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8990-1_424b7.htm"/>
        <w:bookmarkStart w:id="1" w:name="kstm26189901_424b7"/>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557" w:after="283"/>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424(b)(7)</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 Registration No. 333-289863</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PROSPECTUS SUPPLEMENT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(To Prospectus dated August 26,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3,691,796 Shares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Viper Energy,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Class A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the accompanying base prospectus relate to the proposed resale from time to time of up to 3,691,796 shares of our Class A common stock, par value $0.000001 per share (our “Class A common stock”), by the selling stockholders named in this prospectus supplement. The selling stockholders identified in this prospectus supplement may offer and sell or otherwise dispose of their shares of our Class A common stock covered by this prospectus supplement from time to time through public or private transactions at fixed prices, at prevailing market prices at the time of sale, at prices related to the prevailing market price, at varying prices determined at the time of sale or at negotiated prices. See “Plan of Distribution” for more information about how the selling stockholders identified in this prospectus supplement may sell or dispose of their shares of our Class A common stock covered by this prospectus supplement. We will not receive any proceeds from the sale of the shares by the selling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A common stock is listed on The Nasdaq Global Select Market under the symbol “VNOM.” On June 29, 2026, the last reported sales price of our Class A common stock on The Nasdaq Global Select Market was $42.41 per share.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Investing in our Class A common stock involves risks. See “Risk Factors” beginning on page </w:t>
      </w:r>
      <w:hyperlink w:anchor="tRIFA1">
        <w:r>
          <w:rPr>
            <w:rStyle w:val="InternetLink"/>
          </w:rPr>
          <w:t>S-2</w:t>
        </w:r>
      </w:hyperlink>
      <w:r>
        <w:rPr>
          <w:rFonts w:ascii="Times New Roman;Times;serif" w:hAnsi="Times New Roman;Times;serif"/>
          <w:b w:val="false"/>
          <w:i/>
          <w:caps w:val="false"/>
          <w:smallCaps w:val="false"/>
          <w:color w:val="000000"/>
          <w:spacing w:val="4"/>
          <w:sz w:val="20"/>
        </w:rPr>
        <w:t xml:space="preserve"> of this prospectus supplement and beginning on page </w:t>
      </w:r>
      <w:hyperlink w:anchor="bRIFA">
        <w:r>
          <w:rPr>
            <w:rStyle w:val="InternetLink"/>
          </w:rPr>
          <w:t>3</w:t>
        </w:r>
      </w:hyperlink>
      <w:r>
        <w:rPr>
          <w:rFonts w:ascii="Times New Roman;Times;serif" w:hAnsi="Times New Roman;Times;serif"/>
          <w:b w:val="false"/>
          <w:i/>
          <w:caps w:val="false"/>
          <w:smallCaps w:val="false"/>
          <w:color w:val="000000"/>
          <w:spacing w:val="4"/>
          <w:sz w:val="20"/>
        </w:rPr>
        <w:t xml:space="preserve"> of the accompanying base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U.S. Securities and Exchange Commission (the “SEC”) nor any state securities commission has approved or disapproved of these securities or determined if this prospectus supplement or the accompanying base prospectus are truthful or complete. Any representation to the contrary is a criminal offense.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supplement is July 2,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406"/>
        <w:gridCol w:w="109"/>
        <w:gridCol w:w="109"/>
        <w:gridCol w:w="109"/>
        <w:gridCol w:w="109"/>
        <w:gridCol w:w="58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06" w:type="dxa"/>
            <w:tcBorders/>
            <w:shd w:fill="CCEEFF" w:val="clear"/>
            <w:vAlign w:val="center"/>
          </w:tcPr>
          <w:p>
            <w:pPr>
              <w:pStyle w:val="TableContents"/>
              <w:bidi w:val="0"/>
              <w:spacing w:before="0" w:after="0"/>
              <w:jc w:val="left"/>
              <w:rPr/>
            </w:pPr>
            <w:hyperlink w:anchor="tATPSS">
              <w:r>
                <w:rPr>
                  <w:rStyle w:val="InternetLink"/>
                  <w:spacing w:val="4"/>
                </w:rPr>
                <w:t xml:space="preserve">ABOUT THIS PROSPECTUS SUPPLEMENT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82" w:type="dxa"/>
            <w:tcBorders/>
            <w:shd w:fill="CCEEFF" w:val="clear"/>
            <w:vAlign w:val="center"/>
          </w:tcPr>
          <w:p>
            <w:pPr>
              <w:pStyle w:val="TableContents"/>
              <w:bidi w:val="0"/>
              <w:spacing w:before="0" w:after="283"/>
              <w:jc w:val="right"/>
              <w:rPr/>
            </w:pPr>
            <w:hyperlink w:anchor="tATPSS">
              <w:r>
                <w:rPr>
                  <w:rStyle w:val="InternetLink"/>
                  <w:spacing w:val="4"/>
                </w:rPr>
                <w:t>S-ii</w:t>
              </w:r>
            </w:hyperlink>
            <w:hyperlink w:anchor="tATPS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06" w:type="dxa"/>
            <w:tcBorders/>
            <w:vAlign w:val="center"/>
          </w:tcPr>
          <w:p>
            <w:pPr>
              <w:pStyle w:val="TableContents"/>
              <w:bidi w:val="0"/>
              <w:spacing w:before="0" w:after="0"/>
              <w:jc w:val="left"/>
              <w:rPr/>
            </w:pPr>
            <w:hyperlink w:anchor="tCNRFF">
              <w:r>
                <w:rPr>
                  <w:rStyle w:val="InternetLink"/>
                  <w:spacing w:val="4"/>
                </w:rPr>
                <w:t xml:space="preserve">CAUTIONARY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2" w:type="dxa"/>
            <w:tcBorders/>
            <w:vAlign w:val="center"/>
          </w:tcPr>
          <w:p>
            <w:pPr>
              <w:pStyle w:val="TableContents"/>
              <w:bidi w:val="0"/>
              <w:spacing w:before="0" w:after="283"/>
              <w:jc w:val="right"/>
              <w:rPr/>
            </w:pPr>
            <w:hyperlink w:anchor="tCNRFF">
              <w:r>
                <w:rPr>
                  <w:rStyle w:val="InternetLink"/>
                  <w:spacing w:val="4"/>
                </w:rPr>
                <w:t>S-iii</w:t>
              </w:r>
            </w:hyperlink>
            <w:hyperlink w:anchor="tCNRF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06" w:type="dxa"/>
            <w:tcBorders/>
            <w:shd w:fill="CCEEFF" w:val="clear"/>
            <w:vAlign w:val="center"/>
          </w:tcPr>
          <w:p>
            <w:pPr>
              <w:pStyle w:val="TableContents"/>
              <w:bidi w:val="0"/>
              <w:spacing w:before="0" w:after="0"/>
              <w:jc w:val="left"/>
              <w:rPr/>
            </w:pPr>
            <w:hyperlink w:anchor="tPSS1">
              <w:r>
                <w:rPr>
                  <w:rStyle w:val="InternetLink"/>
                  <w:spacing w:val="4"/>
                </w:rPr>
                <w:t xml:space="preserve">PROSPECTUS SUPPLEMENT 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82" w:type="dxa"/>
            <w:tcBorders/>
            <w:shd w:fill="CCEEFF" w:val="clear"/>
            <w:vAlign w:val="center"/>
          </w:tcPr>
          <w:p>
            <w:pPr>
              <w:pStyle w:val="TableContents"/>
              <w:bidi w:val="0"/>
              <w:spacing w:before="0" w:after="283"/>
              <w:jc w:val="right"/>
              <w:rPr/>
            </w:pPr>
            <w:hyperlink w:anchor="tPSS1">
              <w:r>
                <w:rPr>
                  <w:rStyle w:val="InternetLink"/>
                  <w:spacing w:val="4"/>
                </w:rPr>
                <w:t>S-1</w:t>
              </w:r>
            </w:hyperlink>
            <w:hyperlink w:anchor="tPSS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06" w:type="dxa"/>
            <w:tcBorders/>
            <w:vAlign w:val="center"/>
          </w:tcPr>
          <w:p>
            <w:pPr>
              <w:pStyle w:val="TableContents"/>
              <w:bidi w:val="0"/>
              <w:spacing w:before="0" w:after="0"/>
              <w:jc w:val="left"/>
              <w:rPr/>
            </w:pPr>
            <w:hyperlink w:anchor="tRIFA1">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2" w:type="dxa"/>
            <w:tcBorders/>
            <w:vAlign w:val="center"/>
          </w:tcPr>
          <w:p>
            <w:pPr>
              <w:pStyle w:val="TableContents"/>
              <w:bidi w:val="0"/>
              <w:spacing w:before="0" w:after="283"/>
              <w:jc w:val="right"/>
              <w:rPr/>
            </w:pPr>
            <w:hyperlink w:anchor="tRIFA1">
              <w:r>
                <w:rPr>
                  <w:rStyle w:val="InternetLink"/>
                  <w:spacing w:val="4"/>
                </w:rPr>
                <w:t>S-2</w:t>
              </w:r>
            </w:hyperlink>
            <w:hyperlink w:anchor="tRIFA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06" w:type="dxa"/>
            <w:tcBorders/>
            <w:shd w:fill="CCEEFF" w:val="clear"/>
            <w:vAlign w:val="center"/>
          </w:tcPr>
          <w:p>
            <w:pPr>
              <w:pStyle w:val="TableContents"/>
              <w:bidi w:val="0"/>
              <w:spacing w:before="0" w:after="0"/>
              <w:jc w:val="left"/>
              <w:rPr/>
            </w:pPr>
            <w:hyperlink w:anchor="tUOP1">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82" w:type="dxa"/>
            <w:tcBorders/>
            <w:shd w:fill="CCEEFF" w:val="clear"/>
            <w:vAlign w:val="center"/>
          </w:tcPr>
          <w:p>
            <w:pPr>
              <w:pStyle w:val="TableContents"/>
              <w:bidi w:val="0"/>
              <w:spacing w:before="0" w:after="283"/>
              <w:jc w:val="right"/>
              <w:rPr/>
            </w:pPr>
            <w:hyperlink w:anchor="tUOP1">
              <w:r>
                <w:rPr>
                  <w:rStyle w:val="InternetLink"/>
                  <w:spacing w:val="4"/>
                </w:rPr>
                <w:t>S-3</w:t>
              </w:r>
            </w:hyperlink>
            <w:hyperlink w:anchor="tUO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06" w:type="dxa"/>
            <w:tcBorders/>
            <w:vAlign w:val="center"/>
          </w:tcPr>
          <w:p>
            <w:pPr>
              <w:pStyle w:val="TableContents"/>
              <w:bidi w:val="0"/>
              <w:spacing w:before="0" w:after="0"/>
              <w:jc w:val="left"/>
              <w:rPr/>
            </w:pPr>
            <w:hyperlink w:anchor="tSEST1">
              <w:r>
                <w:rPr>
                  <w:rStyle w:val="InternetLink"/>
                  <w:spacing w:val="4"/>
                </w:rPr>
                <w:t xml:space="preserve">SELLING STOCKHOLDERS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2" w:type="dxa"/>
            <w:tcBorders/>
            <w:vAlign w:val="center"/>
          </w:tcPr>
          <w:p>
            <w:pPr>
              <w:pStyle w:val="TableContents"/>
              <w:bidi w:val="0"/>
              <w:spacing w:before="0" w:after="283"/>
              <w:jc w:val="right"/>
              <w:rPr/>
            </w:pPr>
            <w:hyperlink w:anchor="tSEST1">
              <w:r>
                <w:rPr>
                  <w:rStyle w:val="InternetLink"/>
                  <w:spacing w:val="4"/>
                </w:rPr>
                <w:t>S-4</w:t>
              </w:r>
            </w:hyperlink>
            <w:hyperlink w:anchor="tSEST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06" w:type="dxa"/>
            <w:tcBorders/>
            <w:shd w:fill="CCEEFF" w:val="clear"/>
            <w:vAlign w:val="center"/>
          </w:tcPr>
          <w:p>
            <w:pPr>
              <w:pStyle w:val="TableContents"/>
              <w:bidi w:val="0"/>
              <w:spacing w:before="0" w:after="0"/>
              <w:jc w:val="left"/>
              <w:rPr/>
            </w:pPr>
            <w:hyperlink w:anchor="tPOD1">
              <w:r>
                <w:rPr>
                  <w:rStyle w:val="InternetLink"/>
                  <w:spacing w:val="4"/>
                </w:rPr>
                <w:t xml:space="preserve">PLAN OF DISTRIBUTION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82" w:type="dxa"/>
            <w:tcBorders/>
            <w:shd w:fill="CCEEFF" w:val="clear"/>
            <w:vAlign w:val="center"/>
          </w:tcPr>
          <w:p>
            <w:pPr>
              <w:pStyle w:val="TableContents"/>
              <w:bidi w:val="0"/>
              <w:spacing w:before="0" w:after="283"/>
              <w:jc w:val="right"/>
              <w:rPr/>
            </w:pPr>
            <w:hyperlink w:anchor="tPOD1">
              <w:r>
                <w:rPr>
                  <w:rStyle w:val="InternetLink"/>
                  <w:spacing w:val="4"/>
                </w:rPr>
                <w:t>S-6</w:t>
              </w:r>
            </w:hyperlink>
            <w:hyperlink w:anchor="tPOD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06" w:type="dxa"/>
            <w:tcBorders/>
            <w:vAlign w:val="center"/>
          </w:tcPr>
          <w:p>
            <w:pPr>
              <w:pStyle w:val="TableContents"/>
              <w:bidi w:val="0"/>
              <w:spacing w:before="0" w:after="0"/>
              <w:ind w:left="200" w:right="0" w:hanging="200"/>
              <w:jc w:val="left"/>
              <w:rPr/>
            </w:pPr>
            <w:hyperlink w:anchor="tMUFI1">
              <w:r>
                <w:rPr>
                  <w:rStyle w:val="InternetLink"/>
                  <w:spacing w:val="4"/>
                </w:rPr>
                <w:t xml:space="preserve">MATERIAL U.S. FEDERAL INCOME TAX CONSEQUENCES TO NON-U.S. HOLDERS OF </w:t>
              </w:r>
            </w:hyperlink>
            <w:hyperlink w:anchor="tMUFI1">
              <w:r>
                <w:rPr>
                  <w:rStyle w:val="InternetLink"/>
                </w:rPr>
                <w:br/>
              </w:r>
            </w:hyperlink>
            <w:hyperlink w:anchor="tMUFI1">
              <w:r>
                <w:rPr>
                  <w:rStyle w:val="InternetLink"/>
                  <w:spacing w:val="4"/>
                </w:rPr>
                <w:t xml:space="preserve">OUR COMMON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2" w:type="dxa"/>
            <w:tcBorders/>
            <w:vAlign w:val="center"/>
          </w:tcPr>
          <w:p>
            <w:pPr>
              <w:pStyle w:val="TableContents"/>
              <w:bidi w:val="0"/>
              <w:spacing w:before="0" w:after="283"/>
              <w:jc w:val="right"/>
              <w:rPr/>
            </w:pPr>
            <w:hyperlink w:anchor="tMUFI1">
              <w:r>
                <w:rPr>
                  <w:rStyle w:val="InternetLink"/>
                  <w:spacing w:val="4"/>
                </w:rPr>
                <w:t>S-9</w:t>
              </w:r>
            </w:hyperlink>
            <w:hyperlink w:anchor="tMUFI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06" w:type="dxa"/>
            <w:tcBorders/>
            <w:shd w:fill="CCEEFF" w:val="clear"/>
            <w:vAlign w:val="center"/>
          </w:tcPr>
          <w:p>
            <w:pPr>
              <w:pStyle w:val="TableContents"/>
              <w:bidi w:val="0"/>
              <w:spacing w:before="0" w:after="0"/>
              <w:jc w:val="left"/>
              <w:rPr/>
            </w:pPr>
            <w:hyperlink w:anchor="tWYCF1">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82" w:type="dxa"/>
            <w:tcBorders/>
            <w:shd w:fill="CCEEFF" w:val="clear"/>
            <w:vAlign w:val="center"/>
          </w:tcPr>
          <w:p>
            <w:pPr>
              <w:pStyle w:val="TableContents"/>
              <w:bidi w:val="0"/>
              <w:spacing w:before="0" w:after="283"/>
              <w:jc w:val="right"/>
              <w:rPr/>
            </w:pPr>
            <w:hyperlink w:anchor="tWYCF1">
              <w:r>
                <w:rPr>
                  <w:rStyle w:val="InternetLink"/>
                  <w:spacing w:val="4"/>
                </w:rPr>
                <w:t>S-13</w:t>
              </w:r>
            </w:hyperlink>
            <w:hyperlink w:anchor="tWYCF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06" w:type="dxa"/>
            <w:tcBorders/>
            <w:vAlign w:val="center"/>
          </w:tcPr>
          <w:p>
            <w:pPr>
              <w:pStyle w:val="TableContents"/>
              <w:bidi w:val="0"/>
              <w:spacing w:before="0" w:after="0"/>
              <w:jc w:val="left"/>
              <w:rPr/>
            </w:pPr>
            <w:hyperlink w:anchor="tIIBR1">
              <w:r>
                <w:rPr>
                  <w:rStyle w:val="InternetLink"/>
                  <w:spacing w:val="4"/>
                </w:rPr>
                <w:t xml:space="preserve">INFORMATION INCORPORATED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2" w:type="dxa"/>
            <w:tcBorders/>
            <w:vAlign w:val="center"/>
          </w:tcPr>
          <w:p>
            <w:pPr>
              <w:pStyle w:val="TableContents"/>
              <w:bidi w:val="0"/>
              <w:spacing w:before="0" w:after="283"/>
              <w:jc w:val="right"/>
              <w:rPr/>
            </w:pPr>
            <w:hyperlink w:anchor="tIIBR1">
              <w:r>
                <w:rPr>
                  <w:rStyle w:val="InternetLink"/>
                  <w:spacing w:val="4"/>
                </w:rPr>
                <w:t>S-14</w:t>
              </w:r>
            </w:hyperlink>
            <w:hyperlink w:anchor="tIIBR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06" w:type="dxa"/>
            <w:tcBorders/>
            <w:shd w:fill="CCEEFF" w:val="clear"/>
            <w:vAlign w:val="center"/>
          </w:tcPr>
          <w:p>
            <w:pPr>
              <w:pStyle w:val="TableContents"/>
              <w:bidi w:val="0"/>
              <w:spacing w:before="0" w:after="0"/>
              <w:jc w:val="left"/>
              <w:rPr/>
            </w:pPr>
            <w:hyperlink w:anchor="tLEMA1">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82" w:type="dxa"/>
            <w:tcBorders/>
            <w:shd w:fill="CCEEFF" w:val="clear"/>
            <w:vAlign w:val="center"/>
          </w:tcPr>
          <w:p>
            <w:pPr>
              <w:pStyle w:val="TableContents"/>
              <w:bidi w:val="0"/>
              <w:spacing w:before="0" w:after="283"/>
              <w:jc w:val="right"/>
              <w:rPr/>
            </w:pPr>
            <w:hyperlink w:anchor="tLEMA1">
              <w:r>
                <w:rPr>
                  <w:rStyle w:val="InternetLink"/>
                  <w:spacing w:val="4"/>
                </w:rPr>
                <w:t>S-15</w:t>
              </w:r>
            </w:hyperlink>
            <w:hyperlink w:anchor="tLEMA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06" w:type="dxa"/>
            <w:tcBorders/>
            <w:vAlign w:val="center"/>
          </w:tcPr>
          <w:p>
            <w:pPr>
              <w:pStyle w:val="TableContents"/>
              <w:bidi w:val="0"/>
              <w:spacing w:before="0" w:after="0"/>
              <w:jc w:val="left"/>
              <w:rPr/>
            </w:pPr>
            <w:hyperlink w:anchor="tEXP1">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82" w:type="dxa"/>
            <w:tcBorders/>
            <w:vAlign w:val="center"/>
          </w:tcPr>
          <w:p>
            <w:pPr>
              <w:pStyle w:val="TableContents"/>
              <w:bidi w:val="0"/>
              <w:spacing w:before="0" w:after="283"/>
              <w:jc w:val="right"/>
              <w:rPr/>
            </w:pPr>
            <w:hyperlink w:anchor="tEXP1">
              <w:r>
                <w:rPr>
                  <w:rStyle w:val="InternetLink"/>
                  <w:spacing w:val="4"/>
                </w:rPr>
                <w:t>S-16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86"/>
        <w:gridCol w:w="109"/>
        <w:gridCol w:w="109"/>
        <w:gridCol w:w="109"/>
        <w:gridCol w:w="109"/>
        <w:gridCol w:w="40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bATP">
              <w:r>
                <w:rPr>
                  <w:rStyle w:val="InternetLink"/>
                  <w:spacing w:val="4"/>
                </w:rPr>
                <w:t>ii</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bCNRF">
              <w:r>
                <w:rPr>
                  <w:rStyle w:val="InternetLink"/>
                  <w:spacing w:val="4"/>
                </w:rPr>
                <w:t xml:space="preserve">CAUTIONARY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bCNRF">
              <w:r>
                <w:rPr>
                  <w:rStyle w:val="InternetLink"/>
                  <w:spacing w:val="4"/>
                </w:rPr>
                <w:t>iii</w:t>
              </w:r>
            </w:hyperlink>
            <w:hyperlink w:anchor="bC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bOUCO">
              <w:r>
                <w:rPr>
                  <w:rStyle w:val="InternetLink"/>
                  <w:spacing w:val="4"/>
                </w:rPr>
                <w:t xml:space="preserve">OUR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bOUCO">
              <w:r>
                <w:rPr>
                  <w:rStyle w:val="InternetLink"/>
                  <w:spacing w:val="4"/>
                </w:rPr>
                <w:t>1</w:t>
              </w:r>
            </w:hyperlink>
            <w:hyperlink w:anchor="bOU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bRIFA">
              <w:r>
                <w:rPr>
                  <w:rStyle w:val="InternetLink"/>
                  <w:spacing w:val="4"/>
                </w:rPr>
                <w:t>3</w:t>
              </w:r>
            </w:hyperlink>
            <w:hyperlink w:anchor="b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bUOP">
              <w:r>
                <w:rPr>
                  <w:rStyle w:val="InternetLink"/>
                  <w:spacing w:val="4"/>
                </w:rPr>
                <w:t>4</w:t>
              </w:r>
            </w:hyperlink>
            <w:hyperlink w:anchor="b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bSEST">
              <w:r>
                <w:rPr>
                  <w:rStyle w:val="InternetLink"/>
                  <w:spacing w:val="4"/>
                </w:rPr>
                <w:t xml:space="preserve">SELLING STOCKHOLDERS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bSEST">
              <w:r>
                <w:rPr>
                  <w:rStyle w:val="InternetLink"/>
                  <w:spacing w:val="4"/>
                </w:rPr>
                <w:t>5</w:t>
              </w:r>
            </w:hyperlink>
            <w:hyperlink w:anchor="bSE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bDOCS">
              <w:r>
                <w:rPr>
                  <w:rStyle w:val="InternetLink"/>
                  <w:spacing w:val="4"/>
                </w:rPr>
                <w:t>11</w:t>
              </w:r>
            </w:hyperlink>
            <w:hyperlink w:anchor="b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bPOD">
              <w:r>
                <w:rPr>
                  <w:rStyle w:val="InternetLink"/>
                  <w:spacing w:val="4"/>
                </w:rPr>
                <w:t>15</w:t>
              </w:r>
            </w:hyperlink>
            <w:hyperlink w:anchor="b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bWYCF">
              <w:r>
                <w:rPr>
                  <w:rStyle w:val="InternetLink"/>
                  <w:spacing w:val="4"/>
                </w:rPr>
                <w:t>18</w:t>
              </w:r>
            </w:hyperlink>
            <w:hyperlink w:anchor="b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bIIBR">
              <w:r>
                <w:rPr>
                  <w:rStyle w:val="InternetLink"/>
                  <w:spacing w:val="4"/>
                </w:rPr>
                <w:t xml:space="preserve">INFORMATION INCORPORATED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bIIBR">
              <w:r>
                <w:rPr>
                  <w:rStyle w:val="InternetLink"/>
                  <w:spacing w:val="4"/>
                </w:rPr>
                <w:t>19</w:t>
              </w:r>
            </w:hyperlink>
            <w:hyperlink w:anchor="bIIB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bLEMA">
              <w:r>
                <w:rPr>
                  <w:rStyle w:val="InternetLink"/>
                  <w:spacing w:val="4"/>
                </w:rPr>
                <w:t>21</w:t>
              </w:r>
            </w:hyperlink>
            <w:hyperlink w:anchor="b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bEXP">
              <w:r>
                <w:rPr>
                  <w:rStyle w:val="InternetLink"/>
                  <w:spacing w:val="4"/>
                </w:rPr>
                <w:t>21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ATPS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is part of a registration statement that we have filed with the SEC utilizing a “shelf” registration process. This document is in two parts. The first part is this prospectus supplement, which describes the specific terms of this offering and also adds to and updates information contained in the accompanying base prospectus and documents incorporated by reference in this prospectus supplement and the accompanying base prospectus. The second part, the accompanying base prospectus, gives more general information, some of which may not apply to this offering. Generally, when we refer only to the “prospectus,” we are referring to both parts combined. In the event that the information contained in this prospectus supplement differs or varies from the information contained in the accompanying base prospectus, you should rely on the information set forth in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and the selling stockholders have not, authorized any other person to provide you with information or to make any representations different from those contained in this prospectus supplement, the accompanying base prospectus and any free writing prospectus prepared by or on behalf of us relating to this offering of Class A common stock. We and the selling stockholders take no responsibility for, and can provide no assurance as to the reliability of, any other information that others may give you. You should read this entire prospectus supplement, the accompanying base prospectus and any free writing prospectus prepared by or on behalf of us relating to this offering of Class A common stock, as well as the documents incorporated by reference herein and therein that are described under “Where You Can Find More Information” and “Information Incorporated by Reference” in the accompanying base prospectus and “Where You Can Find More Information” and “Information Incorporated by Reference” in this prospectus supplement. The selling stockholders are only offering to sell, and only seeking offers to buy, our Class A common stock in jurisdictions where offers and sales are permitted.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contained in this prospectus supplement, the accompanying base prospectus and any free writing prospectus prepared by or on behalf of us relating to this offering of Class A common stock, or in any document incorporated herein or therein, is accurate and complete only as of the date hereof or thereof, respectively, regardless of the time of delivery of this prospectus supplement, the accompanying base prospectus and any free writing prospectus prepared by or on behalf of us relating to this offering of Class A common stock, or of any sale of our Class A common stock by the selling stockholders. Our business, financial condition, results of operations and prospects may have changed since those dates. We are not making any representation to you regarding the legality of an investment in our Class A common stock by you under applicable laws. You should consult your own legal, tax and business advisors regarding an investment in our Class A common stock. Information in this prospectus supplement and the accompanying base prospectus is not legal, tax or business advice to any prospective investor.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Industry and market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includes or incorporates by reference industry and market data and forecasts that we obtained from internal company surveys, publicly available information and industry publications and surveys. Our internal research and forecasts are based on management’s understanding of industry conditions, and such information has not been verified by independent sources. Industry publications and surveys generally state that the information contained therein has been obtained from sources believed to be reliable.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CNRF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This prospectus supplement, including documents incorporated by reference, contains “forward-looking statements” within the meaning of Section 27A of the Securities Act of 1933, as amended (the “Securities Act”) and Section 21E of the Securities Exchange Act of 1934, as amended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anticipated benefits or other effects of strategic transactions; and plans and objectives of management (including Diamondback’s (as defined herein) plans for developing our acreage, our cash dividend policy and repurchases of shares of our Common Stock, OpCo Units (each as defined herein) or our 4.900% Senior Notes due 2030 and 5.700% Senior Notes due 2035) are forward-looking statements. When used in this prospectus supplement, including documents incorporated by reference,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In particular, the factors discussed in this prospectus under the heading “Risk Factors” and detailed in our </w:t>
      </w:r>
      <w:hyperlink r:id="rId2">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as may be supplemented in our subsequent Quarterly Reports on Form 10-Q and in our other periodic and current reports filed with the SEC, could affect our actual results and cause our actual results to differ materially from expectations, estimates or assumptions expressed, forecasted or implied in such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Factors that could cause the outcomes to differ materially include (but are not limited to)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supply and demand levels for oil, natural gas, and natural gas liquids, and the resulting impact on the price for those commodities; </w:t>
      </w:r>
      <w:r>
        <mc:AlternateContent>
          <mc:Choice Requires="wps">
            <w:drawing>
              <wp:anchor behindDoc="0" distT="74930" distB="0" distL="254000" distR="0" simplePos="0" locked="0" layoutInCell="1" allowOverlap="1" relativeHeight="2">
                <wp:simplePos x="0" y="0"/>
                <wp:positionH relativeFrom="column">
                  <wp:align>left</wp:align>
                </wp:positionH>
                <wp:positionV relativeFrom="line">
                  <wp:align>top</wp:align>
                </wp:positionV>
                <wp:extent cx="127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public health crises, including epidemic or pandemic diseases and any related company or government policies or actions; </w:t>
      </w:r>
      <w:r>
        <mc:AlternateContent>
          <mc:Choice Requires="wps">
            <w:drawing>
              <wp:anchor behindDoc="0" distT="74930" distB="0" distL="254000" distR="0" simplePos="0" locked="0" layoutInCell="1" allowOverlap="1" relativeHeight="3">
                <wp:simplePos x="0" y="0"/>
                <wp:positionH relativeFrom="column">
                  <wp:align>left</wp:align>
                </wp:positionH>
                <wp:positionV relativeFrom="line">
                  <wp:align>top</wp:align>
                </wp:positionV>
                <wp:extent cx="127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taken by the members of OPEC and its non-OPEC allies affecting the production and pricing of oil, as well as other domestic and global political, economic, or diplomatic developments; </w:t>
      </w:r>
      <w:r>
        <mc:AlternateContent>
          <mc:Choice Requires="wps">
            <w:drawing>
              <wp:anchor behindDoc="0" distT="74930" distB="0" distL="254000" distR="0" simplePos="0" locked="0" layoutInCell="1" allowOverlap="1" relativeHeight="4">
                <wp:simplePos x="0" y="0"/>
                <wp:positionH relativeFrom="column">
                  <wp:align>left</wp:align>
                </wp:positionH>
                <wp:positionV relativeFrom="line">
                  <wp:align>top</wp:align>
                </wp:positionV>
                <wp:extent cx="127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general economic, business or industry conditions, including changes in foreign currency exchange rates, interest rates, inflation rates or instability in the financial sector; </w:t>
      </w:r>
      <w:r>
        <mc:AlternateContent>
          <mc:Choice Requires="wps">
            <w:drawing>
              <wp:anchor behindDoc="0" distT="7493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regional supply and demand factors, including delays, curtailment delays or interruptions of production on our mineral and royalty acreage, or governmental orders, rules or regulations that impose production limits on such acreage; </w:t>
      </w:r>
      <w:r>
        <mc:AlternateContent>
          <mc:Choice Requires="wps">
            <w:drawing>
              <wp:anchor behindDoc="0" distT="7493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and state legislative and regulatory initiatives relating to hydraulic fracturing, including the effect of existing and future laws and governmental regulations; </w:t>
      </w:r>
      <w:r>
        <mc:AlternateContent>
          <mc:Choice Requires="wps">
            <w:drawing>
              <wp:anchor behindDoc="0" distT="7493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physical and transition risks relating to climate change and changing political and social perspectives on climate change and other environmental, social and governance factors; </w:t>
      </w:r>
      <w:r>
        <mc:AlternateContent>
          <mc:Choice Requires="wps">
            <w:drawing>
              <wp:anchor behindDoc="0" distT="7493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from our cash dividend policy and uncertainties over future dividends; </w:t>
      </w:r>
      <w:r>
        <mc:AlternateContent>
          <mc:Choice Requires="wps">
            <w:drawing>
              <wp:anchor behindDoc="0" distT="7493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on the use of water, including limits on the use of produced water by our operators and a moratorium on new produced water well permits imposed by the Texas Railroad Commission in an effort to control induced seismicity in the Permian Basin; </w:t>
      </w:r>
      <w:r>
        <mc:AlternateContent>
          <mc:Choice Requires="wps">
            <w:drawing>
              <wp:anchor behindDoc="0" distT="7493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declines in prices for oil, natural gas, or natural gas liquids, which could require recognition of significant impairment charges; </w:t>
      </w:r>
      <w:r>
        <mc:AlternateContent>
          <mc:Choice Requires="wps">
            <w:drawing>
              <wp:anchor behindDoc="0" distT="7493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U.S. energy, environmental, monetary and trade policies, including with respect to tariffs or other trade barriers and any resulting trade tensions; </w:t>
      </w:r>
      <w:r>
        <mc:AlternateContent>
          <mc:Choice Requires="wps">
            <w:drawing>
              <wp:anchor behindDoc="0" distT="7493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96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in the capital, financial and credit markets, including the availability and pricing of capital for drilling and development by our limited number of operators and our ability to replace operators in time of bankruptcy or default; </w:t>
      </w:r>
      <w:r>
        <mc:AlternateContent>
          <mc:Choice Requires="wps">
            <w:drawing>
              <wp:anchor behindDoc="0" distT="0" distB="0" distL="254000" distR="0" simplePos="0" locked="0" layoutInCell="1" allowOverlap="1" relativeHeight="13">
                <wp:simplePos x="0" y="0"/>
                <wp:positionH relativeFrom="column">
                  <wp:align>left</wp:align>
                </wp:positionH>
                <wp:positionV relativeFrom="line">
                  <wp:posOffset>635</wp:posOffset>
                </wp:positionV>
                <wp:extent cx="127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availability or cost of rigs, equipment, raw materials, supplies and oilfield services impacting our operators;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inherent uncertainties over our estimated reserves, the development of our proved undeveloped reserves or the yield from project areas on our properties;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geographical concentration of our producing properties and reserves in the Permian Basin and in a small number of producing horizons;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safety, health, environmental, tax, and other regulations or requirements impacting us or our operators (including those addressing air emissions, water management, or the impact of global climate change);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security threats, including cybersecurity threats and disruptions to our business from breaches of Diamondback’s information technology systems, or from breaches of information technology systems of our operators or third parties with whom we transact business;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lack of, or disruption in, access to adequate and reliable electrical power, internet and telecommunication infrastructure, information and computer systems, transportation, processing, storage, and other facilities impacting our operators;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severe weather conditions and natural disasters;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geopolitics, regional conflicts, acts of war or terrorist acts and the governmental or military response thereto;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financial strength of counterparties to the credit facility and hedging contracts of our operating subsidiary; </w:t>
      </w:r>
      <w:r>
        <mc:AlternateContent>
          <mc:Choice Requires="wps">
            <w:drawing>
              <wp:anchor behindDoc="0" distT="7620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substantial indebtedness and changes in our credit rating; </w:t>
      </w:r>
      <w:r>
        <mc:AlternateContent>
          <mc:Choice Requires="wps">
            <w:drawing>
              <wp:anchor behindDoc="0" distT="7620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develop or acquire additional reserves and identify, complete or integrate acquisitions; </w:t>
      </w:r>
      <w:r>
        <mc:AlternateContent>
          <mc:Choice Requires="wps">
            <w:drawing>
              <wp:anchor behindDoc="0" distT="7620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operational dependence on, and control by, Diamondback and potential conflicts of interest thereof; and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risks and factors discussed in this prospectus supplement or incorporated by reference herein.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light of these factors, the events anticipated by our forward-looking statements contained herein, or incorporated by reference,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or incorporated by reference into this prospectus. All forward-looking statements speak only as of the date of this prospectus or, if earlier, as of the date they were made. We do not intend to, and disclaim any obligation to, update or revise any forward-looking statements, unless required by applicable law.</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PSS1"/>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56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SUPPLEMENT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contained elsewhere in this prospectus supplement, the accompanying base prospectus and the documents we incorporate by reference. It does not contain all of the information you should consider before making an investment decision. You should read the entire prospectus supplement, the accompanying base prospectus, the documents incorporated by reference and the other documents to which we refer for a more complete understanding of our business and this offering. Please read the section entitled “Risk Factors” commencing on page S-2 of this prospectus supplement and additional information contained in our </w:t>
      </w:r>
      <w:hyperlink r:id="rId3">
        <w:r>
          <w:rPr>
            <w:rStyle w:val="InternetLink"/>
          </w:rPr>
          <w:t>Annual Report on Form 10-K for the year ended December 31, 2025</w:t>
        </w:r>
      </w:hyperlink>
      <w:r>
        <w:rPr>
          <w:rFonts w:ascii="Times New Roman;Times;serif" w:hAnsi="Times New Roman;Times;serif"/>
          <w:b w:val="false"/>
          <w:i/>
          <w:caps w:val="false"/>
          <w:smallCaps w:val="false"/>
          <w:color w:val="000000"/>
          <w:spacing w:val="4"/>
          <w:sz w:val="20"/>
          <w:bdr w:val="single" w:sz="8" w:space="1" w:color="000000"/>
        </w:rPr>
        <w:t xml:space="preserve"> and other filings we make with the SEC, which information is incorporated by reference in this prospectus supplement, for financial and other important information you should consider before investing in our Class A common stock.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On August 19, 2025, upon completion of the acquisition of Sitio Royalties Corp. (the “Sitio Acquisition”), Viper Energy, Inc. changed its name to VNOM Sub, Inc. (“Former Viper”) and became a wholly owned subsidiary of New Cobra Pubco, Inc., which subsequently changed its name to Viper Energy, Inc., (“New Viper”), as a result of a merger contemplated by the documents governing the Sitio Acquisition (such merger, the “Viper PubCo Merger”). On December 23, 2025, the Company completed an internal reorganization (the “Reorganization”), pursuant to which, among other things, each outstanding OpCo Unit of Viper Energy Partners LLC, a Delaware limited liability company and Viper’s operating subsidiary (“Old OpCo”), was converted into an equivalent OpCo Unit issued by a newly-formed subsidiary of Viper, VNOM Holding Company LLC (“New OpCo”). References in this prospectus supplement to “Viper” refer to (A) New Viper following the Viper PubCo Merger and (B) Former Viper prior to the Viper PubCo Merger. References to the “Company,” “our company,” “we,” “our,” “us” or like terms refer collectively to Viper and its consolidated subsidiaries. References to the “Operating Company” or “OpCo” refer to (A) New OpCo following the Reorganization and (B) Old OpCo prior to the Reorganization. References to “OpCo Units” refer to the units representing limited liability company interests in the Operating Company. References to our “Common Stock” refer, collectively, to our Class A common stock, par value $0.000001 per share, and Class B common stock, par value $0.000001 per share. References to “Diamondback” refer collectively to Diamondback Energy, Inc. and its subsidiaries other than the Company, the Operating Company and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Viper Energy, Inc.</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publicly traded Delaware corporation focused on owning and acquiring mineral and royalty interests in oil and natural gas properties primarily in the Permian Basin. We operate in one reportable segment. Effective November 13, 2023, we converted our legal status from a Delaware limited partnership into a Delaware corporation.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primary business objective is to provide an attractive return to our stockholders by focusing on business results, generating robust free cash flow, reducing debt and protecting our balance sheet, while maintaining what we believe is a best-in-class cost structure. Our assets consist of mineral and royalty interests in oil and natural gas properties in the Permian Basin in West Texas, substantially all of which are leased to working interest owners who bear the costs of operation and development.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currently focused on oil and natural gas properties primarily in the Permian Basin, which is one of the oldest and most prolific producing basins in North America. The Permian Basin, which consists of approximately 75,000 square miles centered around Midland, Texas, has been a significant source of oil production since the 1920s. The Permian Basin is known to have a number of formations of oil and natural gas bearing rock throughout.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Principal executive offices and internet address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principal executive offices are located at 500 West Texas Ave., Suite 100, Midland, Texas 79701, and our phone number is (432) 221-7400. Our website address is www.viperenergy.com. Information on our website or any other website is not incorporated by reference into, and does not constitute a part of, this prospectus supplement or the accompanying base prospectus.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IFA1"/>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An investment in our Class A common stock involves risks. You should carefully consider the factors disclosed in Part I, Item 1A. Risk Factors in our </w:t>
      </w:r>
      <w:hyperlink r:id="rId4">
        <w:r>
          <w:rPr>
            <w:rStyle w:val="InternetLink"/>
          </w:rPr>
          <w:t>Annual Report on Form 10-K for the year ended December 31, 2025, filed with the SEC on February 25, 2026</w:t>
        </w:r>
      </w:hyperlink>
      <w:r>
        <w:rPr>
          <w:rFonts w:ascii="Times New Roman;Times;serif" w:hAnsi="Times New Roman;Times;serif"/>
          <w:b w:val="false"/>
          <w:i/>
          <w:caps w:val="false"/>
          <w:smallCaps w:val="false"/>
          <w:color w:val="000000"/>
          <w:spacing w:val="4"/>
          <w:sz w:val="20"/>
        </w:rPr>
        <w:t xml:space="preserve">, and other factors discussed in any subsequent filings made with the SEC prior to the filing of this prospectus supplement, together with all of the other information included or incorporated by reference in this prospectus supplement and the accompanying base prospectus, before investing in our Class A common stock. You should also consider similar information contained in any annual report on Form 10-K, quarterly reports on Form 10-Q, current reports on Form 8-K and other documents filed by us with the SEC after the date of this prospectus supplement before deciding to invest in our Class A common stock. This prospectus supplement, the accompanying base prospectus and the documents incorporated by reference herein and therein also contain forward-looking statements that involve risks and uncertainties. Please read “Cautionary Note Regarding Forward-Looking Statements.” Our actual results could differ materially from those anticipated in the forward-looking statements as a result of certain factors, including the risks described in the documents incorporated by reference in this prospectus supplement and the accompanying base prospectus. If any of these risks occur, our business, financial condition or results of operation could be materially and adversely affected. The risks described in the documents incorporated by reference herein and therein are not the only risks facing us. Additional risks and uncertainties not known to us or that we view as immaterial may also impair our business. Any of these risks could materially and adversely affect our business, financial condition, results of operations and cash flows and could result in a loss of all or part of your investment.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UOP1"/>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receive any proceeds from any sale by the selling stockholders of the Class A common stock offered by this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SEST1"/>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registering the resale of up to 3,691,796 shares of Class A common stock covered by this prospectus supplement to allow the selling stockholders to sell or otherwise dispose of, from time to time, such shares of Class A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 2026, we completed the acquisition of Riverbend Oil &amp; Gas IX, L.L.C. (“Riverbend”), pursuant to the Purchase and Sale Agreement, dated May 1, 2026 (the “Riverbend Purchase Agreement”), by and among Viper Energy, Inc. (for the purpose of this section only, “Viper”), Viper Energy Partners LP, a Delaware limited partnership and an indirect wholly owned subsidiary of Viper (“VEP”), Riverbend Oil &amp; Gas IX (AIV), L.L.C., a Delaware limited liability company (“ROG AIV”), and ROG IX, LLC, a Delaware limited liability company (together with ROG AIV, the “ROG Sellers”). Pursuant to the terms of the Riverbend Purchase Agreement, VEP acquired all of the issued and outstanding equity interests of Riverbend under the terms and conditions of such agreement (the “Riverbend Acquisition”). The total consideration for the Riverbend Acquisition consisted of a combination of approximately $339 million in cash and 3,691,796 shares of Class A common stock (the “Stock Consideration”). Our issuance of the Stock Consideration was exempt from registration under the Securities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closing of the Riverbend Acquisition, Viper entered into a registration rights agreement (the “Riverbend Registration Rights Agreement”) with the ROG Sellers, pursuant to which the ROG Sellers received certain registration rights with respect to the Stock Consideration. Additionally, pursuant to the Riverbend Registration Rights Agreement, we agreed to file with the SEC, pursuant to the satisfaction of certain conditions, a shelf registration statement, or an amendment or supplement to an existing shelf registration statement, registering for resale the ROG Sellers’ Registrable Securities (as defined herein) and to cause such Registrable Securities to be listed on the Nasdaq Global Select Market. We also agreed to use commercially reasonable efforts to keep the shelf registration statement relating to the Registrable Securities current and effective (or file a new shelf registration statement, if applicable) until such time as there are no Registrable Securities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Pursuant to the Riverbend Registration Rights Agreement, the term “Registrable Securities” means, at any time, (i) any shares of our Class A common stock held by any ROG Seller and/or its permitted transferees immediately following the closing of the Riverbend Acquisition and (ii) any securities issued or issuable with respect to any such shares of Class A common stock by way of conversion, concession, dividend in the form of Class A common stock or split or other distribution, recapitalization or reclassification or similar transaction;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such Registrable Securities will cease to be Registrable Securities when (x) they have been distributed to the public pursuant to an offering registered under the Securities Act, (y) the date they have all been distributed, or may all legally be distributed in one transaction, to the public pursuant to Rule 144 without volume or manner of sale restrictions or the need for “current public information” or (z) such securities shall have ceased to be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registering the resale of the shares of Class A common stock covered by this prospectus supplement as required by the terms of the Riverbend Registration Rights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Riverbend Registration Rights Agreement, we will pay all expenses relating to the registration, offering and listing of these shares, except that the selling stockholders will pay any underwriting fees, discounts and commissions, placement fees of underwriters, broker commissions, transfer taxes and certain attorney’s fees. Pursuant to the terms of the Riverbend Registration Rights Agreement, we agreed to indemnify the selling stockholders against certain liabilities, including liabilities under the Securities Act, and the selling stockholders have agreed to indemnify us against certain liabilities, including liabilities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the term “selling stockholders” includes ROG AIV and any direct or indirect transferees of Registrable Securities entitled to registration rights under the Riverbend Registration Rights Agreement, including any securityholders that receive the respective Registrable Securities upon a distribution or liquidation, who have been assigned the rights of the transferor holder or holders under the Riverbend Registration Rights Agreement (in compliance with the terms thereof). This prospectus supplement does not cover subsequent sales of our Class A common stock purchased from the selling stockholders identified in this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 the beneficial ownership of shares of our Class A common stock and our Class B common stock and (ii) the maximum number of shares of our Class A common stock that may be sold by or on behalf of each selling stockholder under the registration statement of which this prospectus forms a part. For purposes of the table below, we assume that the selling stockholders will sell all of the shares of our Class A common stock covered by this prospectus supplement. We cannot predict when or in what amount the selling stockholders may sell any of the shares offered in this prospectus and/or in any prospectus supplement, if at all. The table, the related footnotes or additional disclosure below also set forth the nature of any position, office or, if applicable, any other material relationship that each selling stockholder has had, within the past three years, with us or with any of our predecessors or affiliates, and the number of shares of our Class A common stock to be held by each selling stockholder after completion of the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prepared the table based on information provided to us by the selling stockholders. We have not sought to verify such information. Additionally, the selling stockholders may have sold or transferred some or all of the shares of our Class A common stock covered by this prospectus in transactions exempt from the registration requirements of the Securities Act since the date on which the information in the table was provided to us. Other information about the selling stockholders may also change over time. </w:t>
      </w:r>
    </w:p>
    <w:tbl>
      <w:tblPr>
        <w:tblW w:w="10271" w:type="dxa"/>
        <w:jc w:val="left"/>
        <w:tblInd w:w="1393" w:type="dxa"/>
        <w:tblLayout w:type="fixed"/>
        <w:tblCellMar>
          <w:top w:w="0" w:type="dxa"/>
          <w:left w:w="0" w:type="dxa"/>
          <w:bottom w:w="28" w:type="dxa"/>
          <w:right w:w="0" w:type="dxa"/>
        </w:tblCellMar>
      </w:tblPr>
      <w:tblGrid>
        <w:gridCol w:w="1231"/>
        <w:gridCol w:w="109"/>
        <w:gridCol w:w="109"/>
        <w:gridCol w:w="109"/>
        <w:gridCol w:w="109"/>
        <w:gridCol w:w="1066"/>
        <w:gridCol w:w="109"/>
        <w:gridCol w:w="109"/>
        <w:gridCol w:w="109"/>
        <w:gridCol w:w="158"/>
        <w:gridCol w:w="158"/>
        <w:gridCol w:w="501"/>
        <w:gridCol w:w="159"/>
        <w:gridCol w:w="109"/>
        <w:gridCol w:w="109"/>
        <w:gridCol w:w="109"/>
        <w:gridCol w:w="109"/>
        <w:gridCol w:w="496"/>
        <w:gridCol w:w="109"/>
        <w:gridCol w:w="109"/>
        <w:gridCol w:w="109"/>
        <w:gridCol w:w="109"/>
        <w:gridCol w:w="109"/>
        <w:gridCol w:w="1066"/>
        <w:gridCol w:w="109"/>
        <w:gridCol w:w="109"/>
        <w:gridCol w:w="109"/>
        <w:gridCol w:w="158"/>
        <w:gridCol w:w="158"/>
        <w:gridCol w:w="501"/>
        <w:gridCol w:w="159"/>
        <w:gridCol w:w="109"/>
        <w:gridCol w:w="109"/>
        <w:gridCol w:w="158"/>
        <w:gridCol w:w="158"/>
        <w:gridCol w:w="501"/>
        <w:gridCol w:w="159"/>
        <w:gridCol w:w="109"/>
        <w:gridCol w:w="109"/>
        <w:gridCol w:w="133"/>
        <w:gridCol w:w="133"/>
        <w:gridCol w:w="423"/>
        <w:gridCol w:w="134"/>
        <w:gridCol w:w="154"/>
      </w:tblGrid>
      <w:tr>
        <w:trPr/>
        <w:tc>
          <w:tcPr>
            <w:tcW w:w="12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628" w:type="dxa"/>
            <w:gridSpan w:val="16"/>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Securities Beneficially Owned </w:t>
            </w:r>
            <w:r>
              <w:rPr/>
              <w:br/>
            </w:r>
            <w:r>
              <w:rPr>
                <w:spacing w:val="-3"/>
              </w:rPr>
              <w:t>Prior to this Offering</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393"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3"/>
              </w:rPr>
              <w:t>Shares of</w:t>
            </w:r>
            <w:r>
              <w:rPr/>
              <w:t xml:space="preserve"> </w:t>
              <w:br/>
            </w:r>
            <w:r>
              <w:rPr>
                <w:spacing w:val="-3"/>
              </w:rPr>
              <w:t>Class A</w:t>
            </w:r>
            <w:r>
              <w:rPr/>
              <w:t xml:space="preserve"> </w:t>
              <w:br/>
            </w:r>
            <w:r>
              <w:rPr>
                <w:spacing w:val="-3"/>
              </w:rPr>
              <w:t>Common</w:t>
            </w:r>
            <w:r>
              <w:rPr/>
              <w:t xml:space="preserve"> </w:t>
              <w:br/>
            </w:r>
            <w:r>
              <w:rPr>
                <w:spacing w:val="-3"/>
              </w:rPr>
              <w:t xml:space="preserve">Stock Offered </w:t>
            </w:r>
            <w:r>
              <w:rPr/>
              <w:br/>
            </w:r>
            <w:r>
              <w:rPr>
                <w:spacing w:val="-3"/>
              </w:rPr>
              <w:t>in this</w:t>
            </w:r>
            <w:r>
              <w:rPr/>
              <w:t xml:space="preserve"> </w:t>
              <w:br/>
            </w:r>
            <w:r>
              <w:rPr>
                <w:spacing w:val="-3"/>
              </w:rPr>
              <w:t xml:space="preserve">Offering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11" w:type="dxa"/>
            <w:gridSpan w:val="16"/>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Securities Beneficially Owned </w:t>
            </w:r>
            <w:r>
              <w:rPr/>
              <w:br/>
            </w:r>
            <w:r>
              <w:rPr>
                <w:spacing w:val="-3"/>
              </w:rPr>
              <w:t>After this Offering</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31"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of Selling Stockholder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Class A</w:t>
            </w:r>
            <w:r>
              <w:rPr/>
              <w:t xml:space="preserve"> </w:t>
              <w:br/>
            </w:r>
            <w:r>
              <w:rPr>
                <w:spacing w:val="-3"/>
              </w:rPr>
              <w:t>Common</w:t>
            </w:r>
            <w:r>
              <w:rPr/>
              <w:t xml:space="preserve"> </w:t>
              <w:br/>
            </w:r>
            <w:r>
              <w:rPr>
                <w:spacing w:val="-3"/>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Class B</w:t>
            </w:r>
            <w:r>
              <w:rPr/>
              <w:t xml:space="preserve"> </w:t>
              <w:br/>
            </w:r>
            <w:r>
              <w:rPr>
                <w:spacing w:val="-3"/>
              </w:rPr>
              <w:t>Common</w:t>
            </w:r>
            <w:r>
              <w:rPr/>
              <w:t xml:space="preserve"> </w:t>
              <w:br/>
            </w:r>
            <w:r>
              <w:rPr>
                <w:spacing w:val="-3"/>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2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Percent</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393"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97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Class A</w:t>
            </w:r>
            <w:r>
              <w:rPr/>
              <w:t xml:space="preserve"> </w:t>
              <w:br/>
            </w:r>
            <w:r>
              <w:rPr>
                <w:spacing w:val="-3"/>
              </w:rPr>
              <w:t>Common</w:t>
            </w:r>
            <w:r>
              <w:rPr/>
              <w:t xml:space="preserve"> </w:t>
              <w:br/>
            </w:r>
            <w:r>
              <w:rPr>
                <w:spacing w:val="-3"/>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6"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Class B</w:t>
            </w:r>
            <w:r>
              <w:rPr/>
              <w:t xml:space="preserve"> </w:t>
              <w:br/>
            </w:r>
            <w:r>
              <w:rPr>
                <w:spacing w:val="-3"/>
              </w:rPr>
              <w:t>Common</w:t>
            </w:r>
            <w:r>
              <w:rPr/>
              <w:t xml:space="preserve"> </w:t>
              <w:br/>
            </w:r>
            <w:r>
              <w:rPr>
                <w:spacing w:val="-3"/>
              </w:rPr>
              <w:t>Stock</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2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Percent</w:t>
            </w:r>
            <w:r>
              <w:rPr>
                <w:spacing w:val="-2"/>
                <w:sz w:val="10"/>
              </w:rPr>
              <w:t>(2)(3)</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31" w:type="dxa"/>
            <w:tcBorders/>
            <w:shd w:fill="CCEEFF" w:val="clear"/>
            <w:tcMar>
              <w:bottom w:w="0" w:type="dxa"/>
            </w:tcMar>
            <w:vAlign w:val="center"/>
          </w:tcPr>
          <w:p>
            <w:pPr>
              <w:pStyle w:val="TableContents"/>
              <w:bidi w:val="0"/>
              <w:spacing w:before="0" w:after="0"/>
              <w:ind w:left="200" w:right="0" w:hanging="200"/>
              <w:jc w:val="left"/>
              <w:rPr/>
            </w:pPr>
            <w:r>
              <w:rPr>
                <w:spacing w:val="4"/>
              </w:rPr>
              <w:t>Riverbend Oil &amp; Gas IX (AIV), L.L.C.</w:t>
            </w:r>
            <w:r>
              <w:rPr>
                <w:spacing w:val="3"/>
                <w:szCs w:val="13"/>
              </w:rPr>
              <w:t>﻿</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3,691,796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6" w:type="dxa"/>
            <w:tcBorders/>
            <w:shd w:fill="CCEEFF" w:val="clear"/>
            <w:tcMar>
              <w:bottom w:w="0" w:type="dxa"/>
            </w:tcMar>
            <w:vAlign w:val="center"/>
          </w:tcPr>
          <w:p>
            <w:pPr>
              <w:pStyle w:val="TableContents"/>
              <w:bidi w:val="0"/>
              <w:spacing w:before="0" w:after="283"/>
              <w:jc w:val="right"/>
              <w:rPr/>
            </w:pPr>
            <w:r>
              <w:rPr/>
              <w:t xml:space="preserve">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 xml:space="preserve">3,691,796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423"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table, a person or group of persons is deemed to have “beneficial ownership” of any shares which such person has the right to acquire within 60 days. </w:t>
      </w:r>
      <w:r>
        <mc:AlternateContent>
          <mc:Choice Requires="wps">
            <w:drawing>
              <wp:anchor behindDoc="0" distT="1016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Percentage of beneficial ownership is based upon 191,523,549 shares of our Class A common stock outstanding as of June 29, 2026. For purposes of computing the percentage of outstanding shares of our Class A common stock held by each person or group of persons named above, any security which such person or group of persons has the right to acquire within 60 days is deemed to be outstanding for the purpose of computing the percentage ownership for such person or persons, but is not deemed to be outstanding for the purpose of computing the percentage ownership of any other person. As a result, the denominator used in calculating the beneficial ownership among our stockholders may differ. As of June 29, 2026, there were a total of 164,789,844 shares of our Class B common stock outstanding. The shares of our Class B common stock held by the holders of our Class B common stock are exchangeable, together with the equal number of their OpCo Units, for the same number of shares of our Class A common stock and, as a result, are deemed outstanding for the purpose of computing beneficial ownership of such holder, however, are not deemed outstanding for the purpose of computing the percentage ownership of each other person. </w:t>
      </w:r>
      <w:r>
        <mc:AlternateContent>
          <mc:Choice Requires="wps">
            <w:drawing>
              <wp:anchor behindDoc="0" distT="508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Assumes each selling stockholder disposes of all of its shares of Class A common stock covered by this prospectus supplement and does not acquire beneficial ownership of any additional shares of our Class A common stock. </w:t>
      </w:r>
      <w:r>
        <mc:AlternateContent>
          <mc:Choice Requires="wps">
            <w:drawing>
              <wp:anchor behindDoc="0" distT="508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Riverbend Oil &amp; Gas IX (AIV), L.L.C. is managed by Riverbend Oil &amp; Gas, L.L.C. The address of Riverbend Oil &amp; Gas IX (AIV), L.L.C. is 1200 Smith Street, Suite 1950, Houston, Texas 77002. </w:t>
      </w:r>
      <w:r>
        <mc:AlternateContent>
          <mc:Choice Requires="wps">
            <w:drawing>
              <wp:anchor behindDoc="0" distT="508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with Registrant or Its Affiliates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other relationships between the ROG Sellers and their respective affiliates, on one hand, and the registrant or its predecessors or affiliates, on the other hand, except for the transactions discussed in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POD1"/>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which term as used in this prospectus supplement includes the selling stockholders listed in the table under the heading “Selling Stockholders” and any direct or indirect transferees of Registrable Securities entitled to registration rights under the Riverbend Registration Rights Agreement, including any securityholders that receive Registrable Securities upon a distribution or liquidation, who have been assigned the rights of the transferor holder or holders under the Riverbend Registration Rights Agreement (in compliance therewith), and any other permitted transferees, successors or assigns of the selling stockholders selling Class A common stock covered by this prospectus supplement received by them after the date of this prospectus by operation of law, may, from time to time, sell, transfer or otherwise dispose of any or all of the Class A common stock offered by this prospectus supplement on any stock exchange, market or trading facility on which such Class A common stock is traded or in private transactions. These dispositions may be at fixed prices, at prevailing market prices at the time of sale, at prices related to the prevailing market price, at varying prices determined at the time of sale or at negotiated prices. These prices will be determined by the selling stockholders or by agreement between the selling stockholders and underwriters, broker-dealers or agents who may receive fees or commissions in connection with any such sale.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use any one or more of the following methods when disposing of the offered Class A common stock: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on The Nasdaq Stock Market LLC or any national securities exchange or quotation service on which our Class A common stock may be listed or quoted at the time of sale; </w:t>
      </w:r>
      <w:r>
        <mc:AlternateContent>
          <mc:Choice Requires="wps">
            <w:drawing>
              <wp:anchor behindDoc="0" distT="7620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over-the-counter sale or distribution; </w:t>
      </w:r>
      <w:r>
        <mc:AlternateContent>
          <mc:Choice Requires="wps">
            <w:drawing>
              <wp:anchor behindDoc="0" distT="7620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underwritten offerings (whether on a firm commitment or best efforts basis, including through bought deals); </w:t>
      </w:r>
      <w:r>
        <mc:AlternateContent>
          <mc:Choice Requires="wps">
            <w:drawing>
              <wp:anchor behindDoc="0" distT="7620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through agents or to or through underwriters, brokers or dealers; </w:t>
      </w:r>
      <w:r>
        <mc:AlternateContent>
          <mc:Choice Requires="wps">
            <w:drawing>
              <wp:anchor behindDoc="0" distT="7620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broker-dealer solicits purchasers; </w:t>
      </w:r>
      <w:r>
        <mc:AlternateContent>
          <mc:Choice Requires="wps">
            <w:drawing>
              <wp:anchor behindDoc="0" distT="7620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trades (which may involve crosses) in which the broker-dealer will attempt to sell the Class A common stock as agent, but may position and resell a portion of the block as principal to facilitate the transaction; </w:t>
      </w:r>
      <w:r>
        <mc:AlternateContent>
          <mc:Choice Requires="wps">
            <w:drawing>
              <wp:anchor behindDoc="0" distT="7620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the broker-dealer for its account; </w:t>
      </w:r>
      <w:r>
        <mc:AlternateContent>
          <mc:Choice Requires="wps">
            <w:drawing>
              <wp:anchor behindDoc="0" distT="7620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exchange distribution and/or secondary distribution in accordance with the rules of the applicable exchange; </w:t>
      </w:r>
      <w:r>
        <mc:AlternateContent>
          <mc:Choice Requires="wps">
            <w:drawing>
              <wp:anchor behindDoc="0" distT="7620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620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directly to one or more purchasers; </w:t>
      </w:r>
      <w:r>
        <mc:AlternateContent>
          <mc:Choice Requires="wps">
            <w:drawing>
              <wp:anchor behindDoc="0" distT="7620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 sales, whether through a broker-dealer or themselves, effected after the date of this prospectus; </w:t>
      </w:r>
      <w:r>
        <mc:AlternateContent>
          <mc:Choice Requires="wps">
            <w:drawing>
              <wp:anchor behindDoc="0" distT="7620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writing or settlement of options or other hedging transactions, whether through an options exchange or otherwise;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may agree to sell a specified number of such Class A common stock at a stipulated price per share;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distributions of the shares by any selling stockholder to its general or limited partners, members, managers, affiliates, employees, directors or stockholders;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option transactions;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sale; and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elect to make an in-kind distribution of their shares of Class A common stock to their respective members, partners or stockholders. To the extent that such members, partners or stockholders are not affiliates of ours, such members, partners or stockholders would thereby receive freely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tradeable shares of our Class A common stock pursuant to the distribution through the registration statement of which this prospectus forms a part.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also sell their shares of Class A common stock under Rule 144 or any other exemption from registration under the Securities Act, if, when and to the extent such exemption is available to them at the time of such sale, rather than under this prospectus, regardless of whether the securities are covered by this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also may transfer their shares of Class A common stock in other circumstances, in which case the transferees or other successors in interest will be the selling beneficial owners for purposes of this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engaged by the selling stockholders may arrange for other brokers-dealers to participate in sales. Broker-dealers may receive commissions or discounts from the selling stockholders (or, if any broker-dealer acts as agent for the purchaser of Class A common stock, from the purchaser) in amounts to be negotiated, but, except as set forth in a supplement to this prospectus, in the case of an agency transaction not in excess of a customary brokerage commission in compliance with Financial Industry Regulatory Authority, or FINRA, Rule 5110; and in the case of a principal transaction a markup or markdown in compliance with FINRA Rule 2121.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 of the Class A common stock, the selling stockholders may enter into hedging transactions with broker-dealers or other financial institutions, which may in turn engage in short sales of the Class A common stock in the course of hedging the positions they assume. The selling stockholders may also sell Class A common stock short and deliver these shares to close out their short positions, or loan or pledge the securities to broker-dealers that in turn may sell these shares.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supplement, which securities such broker-dealer or other financial institution may resell pursuant to this prospectus supplement (as supplemented or amended to reflect such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from time to time pledge or grant a security interest in some or all of the shares of Class A common stock owned by them and, if they default in the performance of their secured obligations, the pledgees or secured parties may offer and sell Class A common stock from time to time under this prospectus supplement, or, to the extent required under the applicable securities laws, under an amendment to this prospectus under Rule 424 or other applicable provision of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selling stockholders use one or more underwriters in the sale, the underwriters will acquire shares of the Class A common stock covered by this prospectus supplement for their own account, and they may resell such shares from time to time in one or more transactions, including negotiated transactions, at a fixed public offering price or at varying prices determined at the time of sale. Shares of the Class A common stock covered by this prospectus supplement may be offered and sold to the public either through underwriting syndicates represented by one or more managing underwriters or directly by one or more of such firms. The selling stockholders and any underwriters, broker-dealers or agents that are involved in selling the shares of the Class A common stock covered by this prospectus supplement may be deemed to be “underwriters” within the meaning of the Securities Act in connection with such sales. In such event, any commissions received by such underwriters, broker-dealers or agents and any profit on the resale of the shares of Class A common stock purchased by them may be deemed to be underwriting commissions or discounts under the Securities Act. Underwriters may resell the shares to or through dealers, and those dealers may receive compensation in the form of one or more discounts, concessions or commissions from the underwriters and commissions from purchasers for which they may act as agents. Each selling stockholder has informed us that it does not have any written or oral agreement or understanding, directly or indirectly, with any person to distribute the shares of Class A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selling stockholder may enter into derivative transactions with third parties, or sell shares of Class A common stock not covered by this prospectus supplement to third parties in privately negotiated transactions. If the applicable prospectus supplement so indicates, in connection with those derivatives, the third parties may sell shares of Class A common stock covered by this prospectus and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including in short sale transactions. If so, the third party may use shares of Class A common stock pledged by such selling stockholder or borrowed from such selling stockholder or others to settle those sales or to close out any related open borrowings of securities, and may use shares of Class A common stock received from such selling stockholder in settlement of those derivatives to close out any related open borrowings of securities. The third party in such sale transactions will be an underwriter and, if not identified in this prospectus, will be named in the applicable prospectus supplement (or a post-effective amendment).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selling stockholder may otherwise loan or pledge shares of Class A common stock to a financial institution or other third party that in turn may sell the shares short using this prospectus and an applicable prospectus supplement. Such financial institution or other third party may transfer its economic short position to investors in such shares or in connection with a concurrent offering of other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the shares of Class A common stock to be sold, the respective purchase prices and public offering prices, the names of any agents, dealers or underwriters and any applicable discounts, commissions, concessions or other compensation with respect to a particular offering will be set forth in an accompanying prospectus supplement or, if appropriate, a post-effective amendment to the registration statement that includes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Riverbend Registration Rights Agreement, we will pay all expenses relating to the registration, offering and listing of these shares of Class A common stock, except that the selling stockholders will pay any underwriting fees, discounts and commissions, placement fees of underwriters, broker commissions, transfer taxes and certain attorney’s fees. Pursuant to the terms of the Riverbend Registration Rights Agreement, we agreed to indemnify the selling stockholders against certain liabilities, including liabilities under the Securities Act, and the selling stockholders have agreed to indemnify us against certain liabilities, including liabilities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applicable rules and regulations under the Exchange Act, any person engaged in the distribution of the resale shares of Class A common stock may not simultaneously engage in market making activities with respect to the Class A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Class A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assurances that the selling stockholders will sell, nor are the selling stockholders required to sell, any or all of the shares of Class A common stock offered under this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the extent required pursuant to the Riverbend Registration Rights Agreement, this prospectus may be amended and/or supplemented from time to time to describe a specific plan of distribution. If required by the terms of the Riverbend Registration Rights Agreement, we may add permitted transferees, successors and donees by prospectus supplement in instances where the permitted transferee, successor or donee has acquired its shares from holders named in this prospectus after the effective date of this prospectus. Permitted transferees, successors and assigns of identified selling stockholders may not be able to use this prospectus for resales until they are named in the selling stockholders table by prospectus supplement or post-effective amendment. See “Selling Stockholders.” Additional selling stockholders may be named in one or more prospectus supplements.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MUFI1"/>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 TO NON-U.S. HOLDERS OF OUR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summary of the material U.S. federal income tax consequences to Non-U.S. Holders (as defined below) related to the purchase, ownership and disposition of our Class A common stock acquired pursuant to this offering, but does not purport to be a complete analysis of all potential tax effects. The effects of other U.S. federal tax laws, such as estate and gift tax laws, and any applicable state, local, or non-U.S. tax laws are not discussed. This summary is based on the provisions of the Internal Revenue Code of 1986, as amended (the “Code”), U.S. Treasury regulations and administrative rulings and judicial decisions, all as in effect on the date hereof, and all of which are subject to change, possibly with retroactive effect. We have not sought any ruling from the Internal Revenue Service (the “IRS”), with respect to the statements made and the conclusions reached in the following summary, and there can be no assurance that the IRS or a court will not take a contrary position to that discussed below regarding the tax consequences of the purchase, ownership, and disposition of our Class A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this summary does not address tax considerations applicable to investors that may be subject to special treatment under the U.S. federal income tax laws, such as (without limitation):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insurance companies or other financial institutions; </w:t>
      </w:r>
      <w:r>
        <mc:AlternateContent>
          <mc:Choice Requires="wps">
            <w:drawing>
              <wp:anchor behindDoc="0" distT="736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or governmental organizations; </w:t>
      </w:r>
      <w:r>
        <mc:AlternateContent>
          <mc:Choice Requires="wps">
            <w:drawing>
              <wp:anchor behindDoc="0" distT="7366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and former citizens or long-term residents of the United States; </w:t>
      </w:r>
      <w:r>
        <mc:AlternateContent>
          <mc:Choice Requires="wps">
            <w:drawing>
              <wp:anchor behindDoc="0" distT="7366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qualified foreign pension funds” as defined in Section 897(l)(2) of the Code and entities all of the interests of which are held by qualified foreign pension funds; </w:t>
      </w:r>
      <w:r>
        <mc:AlternateContent>
          <mc:Choice Requires="wps">
            <w:drawing>
              <wp:anchor behindDoc="0" distT="7366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50"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dealers or brokers in stock or securities or foreign currencies; </w:t>
      </w:r>
      <w:r>
        <mc:AlternateContent>
          <mc:Choice Requires="wps">
            <w:drawing>
              <wp:anchor behindDoc="0" distT="7366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that use the mark-to-market method of accounting for U.S. federal income tax purposes; </w:t>
      </w:r>
      <w:r>
        <mc:AlternateContent>
          <mc:Choice Requires="wps">
            <w:drawing>
              <wp:anchor behindDoc="0" distT="7493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controlled foreign corporations,” “foreign controlled foreign corporations,” “passive foreign investment companies” and corporations that accumulate earnings to avoid U.S. federal income tax; </w:t>
      </w:r>
      <w:r>
        <mc:AlternateContent>
          <mc:Choice Requires="wps">
            <w:drawing>
              <wp:anchor behindDoc="0" distT="7493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or other pass-through entities for U.S. federal income tax purposes or holders of interests therein; </w:t>
      </w:r>
      <w:r>
        <mc:AlternateContent>
          <mc:Choice Requires="wps">
            <w:drawing>
              <wp:anchor behindDoc="0" distT="7493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that hold or are deemed to sell our Class A common stock under the constructive sale provisions of the Code; </w:t>
      </w:r>
      <w:r>
        <mc:AlternateContent>
          <mc:Choice Requires="wps">
            <w:drawing>
              <wp:anchor behindDoc="0" distT="7493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5"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that hold or acquired our Class A common stock through the exercise of employee stock options or otherwise as compensation or through a tax-qualified retirement plan; </w:t>
      </w:r>
      <w:r>
        <mc:AlternateContent>
          <mc:Choice Requires="wps">
            <w:drawing>
              <wp:anchor behindDoc="0" distT="7493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6"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that hold our Class A common stock as part of a straddle, appreciated financial position, synthetic security, hedge, conversion transaction or other integrated investment or risk reduction transaction; and </w:t>
      </w:r>
      <w:r>
        <mc:AlternateContent>
          <mc:Choice Requires="wps">
            <w:drawing>
              <wp:anchor behindDoc="0" distT="7493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7"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special tax accounting rules as a result of any item of gross income with respect to the stock being taken into account in an applicable financial statement. </w:t>
      </w:r>
      <w:r>
        <mc:AlternateContent>
          <mc:Choice Requires="wps">
            <w:drawing>
              <wp:anchor behindDoc="0" distT="7493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8"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(including an entity or arrangement treated as a partnership for U.S. federal income tax purposes) holds our Class A common stock, the tax treatment of a partner in the partnership generally will depend upon the status of the partner and upon the activities of the partnership. Accordingly, we urge partners of a partnership (including an entity or arrangement treated as a partnership for U.S. federal income tax purposes) investing in our Class A common stock to consult their tax advisors regarding the U.S. federal income tax considerations of the purchase, ownership and disposition of our Class A common stock by such partnership.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 of a Non-U.S. Holder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for purposes of this discussion is any beneficial owner of our Class A common stock that is neither a “U.S. person” nor an entity treated as a partnership for U.S. federal income tax purposes. A U.S. person is any person that, for U.S. federal income tax purposes, is or is treated as any of the following: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who is a citizen or resident of the United States; </w:t>
      </w:r>
      <w:r>
        <mc:AlternateContent>
          <mc:Choice Requires="wps">
            <w:drawing>
              <wp:anchor behindDoc="0" distT="8001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9"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treated as a corporation for U.S. federal income tax purposes) created or organized in or under the laws of the United States, any state thereof or the District of Columbia; </w:t>
      </w:r>
      <w:r>
        <mc:AlternateContent>
          <mc:Choice Requires="wps">
            <w:drawing>
              <wp:anchor behindDoc="0" distT="8001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60"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the income of which is subject to U.S. federal income tax regardless of its source; or </w:t>
      </w:r>
      <w:r>
        <mc:AlternateContent>
          <mc:Choice Requires="wps">
            <w:drawing>
              <wp:anchor behindDoc="0" distT="8001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1"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(i) whose administration is subject to the primary supervision of a U.S. court and that has one or more “United States persons” ​(within the meaning of Section 7701(a)(30) of the Code) who have the authority to control all substantial decisions of the trust or (ii) that has made a valid election to be treated as a United States person for U.S. federal income tax purposes. </w:t>
      </w:r>
      <w:r>
        <mc:AlternateContent>
          <mc:Choice Requires="wps">
            <w:drawing>
              <wp:anchor behindDoc="0" distT="8001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2"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with respect to our Class A common stock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 Sale or Other Taxable Disposition.”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Non-U.S. Holders are encouraged to consult their tax advisors regarding the withholding rules applicable to distributions on our Class A common stock, the requirement for claiming treaty benefits, and any procedures required to obtain a refund of any overwithheld amounts.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or Other Taxable Disposition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withholding requirements under FATCA (as defined below), a Non-U.S. Holder generally will not be subject to U.S. federal income tax on any gain realized upon the sale or other disposition of our Class A common stock unless: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 nonresident alien individual who is present in the United States for a period or periods aggregating 183 days or more during the calendar year in which the sale or disposition occurs and certain other conditions are met; </w:t>
      </w:r>
      <w:r>
        <mc:AlternateContent>
          <mc:Choice Requires="wps">
            <w:drawing>
              <wp:anchor behindDoc="0" distT="7493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3"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a trade or business conducted by the Non-U.S. Holder in the United States (and, if required by an applicable income tax treaty, is attributable to a permanent establishment maintained by the Non-U.S. Holder in the United States); or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4"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A common stock constitutes a U.S. real property interest (“USRPI”) by reason of our status as a U.S. real property holding corporation (“USRPHC”), as defined in the Code and applicable U.S. Treasury regulations, for U.S. federal income tax purposes.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5"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described in the first bullet point above will be subject to U.S. federal income tax at a rate of 30% (or such lower rate as may be specified by an applicable income tax treaty) on the amount of such gain realized upon the sale or other taxable disposition of our Class A common stock, which generally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whose gain is described in the second bullet point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common stock continues to be “regularly traded on an established securities market” ​(within the meaning of U.S. Treasury regulations), only a Non-U.S. Holder that actually or constructively owns, or owned at any time during the shorter of the five-year period ending on the date of the disposition or the Non-U.S. Holder’s holding period for the Class A common stock, more than 5% of our Class A common stock will be taxable on gain realized on the disposition of our Class A common stock as a result of our status as a USRPHC. If our Class A common stock were not considered to be “regularly traded on an established securities market” during the calendar year in which the relevant disposition by a Non-U.S. Holder occurs, such Non-U.S. Holder (regardless of the percentage of our Class A common stock owned) would be subject to U.S. federal income tax on a taxable disposition of our Class A common stock (as described in the preceding paragraph), and a 15% withholding tax would apply to the gross proceeds from such disposition. Non-U.S. Holders should consult their tax advisors with respect to the application of the foregoing rules to their ownership and disposition of our Class A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Backup Withholding and Information Reporting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Withholding Tax on Payments Made to Foreign Accounts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U.S.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applicable U.S. Treasury regulations and administrative guidance, withholding under FATCA generally applies to payments of dividends on our common stock. While withholding under FATCA would have applied also to payments of gross proceeds from the sale or other disposition of stock on or after January 1, 2019, proposed U.S. Treasury regulations eliminate FATCA withholding on payments of gross proceeds entirely, and the preamble to the proposed U.S. Treasury regulations provides that taxpayers may rely on these proposed U.S. Treasury regulations until final U.S. Treasury regulations are issued.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CONSIDERING THE PURCHASE OF OUR CLASS A COMMON STOCK ARE URGED TO CONSULT THEIR OWN TAX ADVISORS REGARDING THE APPLICATION OF THE U.S. FEDERAL INCOME TAX LAWS TO THEIR PARTICULAR SITUATIONS AND THE APPLICABILITY AND EFFECT OF U.S. FEDERAL ESTATE AND GIFT TAX LAWS AND ANY STATE, LOCAL OR NON-U.S. TAX LAWS AND TAX TREATIES.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WYCF1"/>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on Form S-3 under the Securities Act covering the Class A common stock offered by this prospectus supplement. This prospectus supplement and the accompanying base prospectus are each part of that registration statement, but do not contain all of the information that you can find in that registration statement and its exhibits. Certain items are omitted from this prospectus in accordance with the rules and regulations of the SEC. For further information with respect to us and the Class A common stock offered by this prospectus, reference is made to the registration statement and the exhibits filed with the registration statement. Statements contained in this prospectus as to the contents of any contract or other document referred to are not necessarily complete and in each instance such statement is qualified by reference to each such contract or document filed with or incorporated by reference as part of the registration statement. We file reports, proxy and information statements and other information with the SEC. The SEC maintains an Internet site that contains reports, proxy and information statements and other information regarding registrants that file electronically with the SEC. The address of the site is </w:t>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The registration statement, including all exhibits thereto and amendments thereof, has been filed electronically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can also find our SEC filings on our website at </w:t>
      </w:r>
      <w:r>
        <w:rPr>
          <w:rFonts w:ascii="Times New Roman;Times;serif" w:hAnsi="Times New Roman;Times;serif"/>
          <w:b w:val="false"/>
          <w:i/>
          <w:caps w:val="false"/>
          <w:smallCaps w:val="false"/>
          <w:color w:val="000000"/>
          <w:spacing w:val="4"/>
          <w:sz w:val="20"/>
        </w:rPr>
        <w:t>www.viperenergy.com.</w:t>
      </w:r>
      <w:r>
        <w:rPr>
          <w:rFonts w:ascii="Times New Roman;Times;serif" w:hAnsi="Times New Roman;Times;serif"/>
          <w:b w:val="false"/>
          <w:i w:val="false"/>
          <w:caps w:val="false"/>
          <w:smallCaps w:val="false"/>
          <w:color w:val="000000"/>
          <w:spacing w:val="4"/>
          <w:sz w:val="20"/>
        </w:rPr>
        <w:t xml:space="preserve"> The information contained on our website or any other website is not incorporated by reference into this prospectus and does not constitute a part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IIBR1"/>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into this prospectus supplement the information we provide in other documents filed by us with the SEC. The information incorporated by reference is an important part of this prospectus supplement. Any statement contained in a document that is incorporated by reference in this prospectus supplement is automatically updated and superseded if information contained in this prospectus supplement, or information that we later file with the SEC, modifies and replaces this information. For SEC reporting purposes, our predecessor is VNOM Sub, Inc. (f/k/a Viper Energy, Inc.) for the period prior to August 19, 2025. We incorporate by reference the following documents that we or our predecessor have filed with the SEC (except as indicated below with respect to Item 2.02 or Item 7.01 of Form 8-K): </w:t>
      </w:r>
    </w:p>
    <w:p>
      <w:pPr>
        <w:pStyle w:val="TextBody"/>
        <w:bidi w:val="0"/>
        <w:spacing w:lineRule="atLeast" w:line="240" w:before="118" w:after="0"/>
        <w:ind w:left="1993" w:right="0" w:hanging="0"/>
        <w:jc w:val="left"/>
        <w:rPr/>
      </w:pPr>
      <w:hyperlink r:id="rId5">
        <w:r>
          <w:rPr>
            <w:rStyle w:val="InternetLink"/>
          </w:rPr>
          <w:t>Annual Report on Form 10-K for the year ended December 31, 2025 filed with the SEC on February 25,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6"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hyperlink r:id="rId6">
        <w:r>
          <w:rPr>
            <w:rStyle w:val="InternetLink"/>
          </w:rPr>
          <w:t>Quarterly Report on Form 10-Q for the quarter ended March 31, 2026 filed with the SEC on May 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7"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spacing w:val="4"/>
                              </w:rPr>
                            </w:pPr>
                            <w:r>
                              <w:rPr>
                                <w:spacing w:val="4"/>
                              </w:rPr>
                              <w:t xml:space="preserve">• </w:t>
                            </w:r>
                            <w:r>
                              <w:rPr>
                                <w:spacing w:val="4"/>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spacing w:val="4"/>
                        </w:rPr>
                      </w:pPr>
                      <w:r>
                        <w:rPr>
                          <w:spacing w:val="4"/>
                        </w:rPr>
                        <w:t xml:space="preserve">• </w:t>
                      </w:r>
                      <w:r>
                        <w:rPr>
                          <w:spacing w:val="4"/>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our Annual Report on Form 10-K for the fiscal year ended December 31, 2025 from our </w:t>
      </w:r>
      <w:hyperlink r:id="rId7">
        <w:r>
          <w:rPr>
            <w:rStyle w:val="InternetLink"/>
          </w:rPr>
          <w:t>Definitive Proxy Statement on Schedule 14A filed with the SEC on April 8, 2026</w:t>
        </w:r>
      </w:hyperlink>
      <w:r>
        <w:rPr>
          <w:rFonts w:ascii="Times New Roman;Times;serif" w:hAnsi="Times New Roman;Times;serif"/>
          <w:b w:val="false"/>
          <w:i w:val="false"/>
          <w:caps w:val="false"/>
          <w:smallCaps w:val="false"/>
          <w:color w:val="000000"/>
          <w:spacing w:val="4"/>
          <w:sz w:val="20"/>
        </w:rPr>
        <w:t xml:space="preserve">, including any portion of any subsequent reports on Form 8-K filed for the purposes of updating such information; </w:t>
      </w:r>
      <w:r>
        <mc:AlternateContent>
          <mc:Choice Requires="wps">
            <w:drawing>
              <wp:anchor behindDoc="0" distT="7493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8"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r>
        <w:rPr>
          <w:rFonts w:ascii="Times New Roman;Times;serif" w:hAnsi="Times New Roman;Times;serif"/>
          <w:b w:val="false"/>
          <w:i w:val="false"/>
          <w:caps w:val="false"/>
          <w:smallCaps w:val="false"/>
          <w:color w:val="000000"/>
          <w:spacing w:val="4"/>
          <w:sz w:val="20"/>
        </w:rPr>
        <w:t xml:space="preserve">Current Reports on Form 8-K, 8-K/A or 8-K12B filed with the SEC on </w:t>
      </w:r>
      <w:hyperlink r:id="rId8">
        <w:r>
          <w:rPr>
            <w:rStyle w:val="InternetLink"/>
          </w:rPr>
          <w:t>February 19, 2026</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March 3, 2026</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March 4, 2026</w:t>
        </w:r>
      </w:hyperlink>
      <w:r>
        <w:rPr>
          <w:rFonts w:ascii="Times New Roman;Times;serif" w:hAnsi="Times New Roman;Times;serif"/>
          <w:b w:val="false"/>
          <w:i w:val="false"/>
          <w:caps w:val="false"/>
          <w:smallCaps w:val="false"/>
          <w:color w:val="000000"/>
          <w:spacing w:val="4"/>
          <w:sz w:val="20"/>
        </w:rPr>
        <w:t xml:space="preserve">, </w:t>
      </w:r>
      <w:hyperlink r:id="rId11">
        <w:r>
          <w:rPr>
            <w:rStyle w:val="InternetLink"/>
          </w:rPr>
          <w:t>May 19, 2026</w:t>
        </w:r>
      </w:hyperlink>
      <w:r>
        <w:rPr>
          <w:rFonts w:ascii="Times New Roman;Times;serif" w:hAnsi="Times New Roman;Times;serif"/>
          <w:b w:val="false"/>
          <w:i w:val="false"/>
          <w:caps w:val="false"/>
          <w:smallCaps w:val="false"/>
          <w:color w:val="000000"/>
          <w:spacing w:val="4"/>
          <w:sz w:val="20"/>
        </w:rPr>
        <w:t xml:space="preserve"> and </w:t>
      </w:r>
      <w:hyperlink r:id="rId12">
        <w:r>
          <w:rPr>
            <w:rStyle w:val="InternetLink"/>
          </w:rPr>
          <w:t>June 15, 2026</w:t>
        </w:r>
      </w:hyperlink>
      <w:r>
        <w:rPr>
          <w:rFonts w:ascii="Times New Roman;Times;serif" w:hAnsi="Times New Roman;Times;serif"/>
          <w:b w:val="false"/>
          <w:i w:val="false"/>
          <w:caps w:val="false"/>
          <w:smallCaps w:val="false"/>
          <w:color w:val="000000"/>
          <w:spacing w:val="4"/>
          <w:sz w:val="20"/>
        </w:rPr>
        <w:t xml:space="preserve"> (in each case other than documents or portions of those documents deemed to be furnished but not filed); </w:t>
      </w:r>
      <w:r>
        <mc:AlternateContent>
          <mc:Choice Requires="wps">
            <w:drawing>
              <wp:anchor behindDoc="0" distT="749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9"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Class A common stock, contained in Viper’s Current Report on </w:t>
      </w:r>
      <w:hyperlink r:id="rId13">
        <w:r>
          <w:rPr>
            <w:rStyle w:val="InternetLink"/>
          </w:rPr>
          <w:t>Form 8-K12B filed with the SEC on August 19, 2025</w:t>
        </w:r>
      </w:hyperlink>
      <w:r>
        <w:rPr>
          <w:rFonts w:ascii="Times New Roman;Times;serif" w:hAnsi="Times New Roman;Times;serif"/>
          <w:b w:val="false"/>
          <w:i w:val="false"/>
          <w:caps w:val="false"/>
          <w:smallCaps w:val="false"/>
          <w:color w:val="000000"/>
          <w:spacing w:val="4"/>
          <w:sz w:val="20"/>
        </w:rPr>
        <w:t xml:space="preserve">, including </w:t>
      </w:r>
      <w:hyperlink r:id="rId14">
        <w:r>
          <w:rPr>
            <w:rStyle w:val="InternetLink"/>
          </w:rPr>
          <w:t>Exhibit 4.9</w:t>
        </w:r>
      </w:hyperlink>
      <w:r>
        <w:rPr>
          <w:rFonts w:ascii="Times New Roman;Times;serif" w:hAnsi="Times New Roman;Times;serif"/>
          <w:b w:val="false"/>
          <w:i w:val="false"/>
          <w:caps w:val="false"/>
          <w:smallCaps w:val="false"/>
          <w:color w:val="000000"/>
          <w:spacing w:val="4"/>
          <w:sz w:val="20"/>
        </w:rPr>
        <w:t xml:space="preserve"> thereto, and including any amendment or report filed for the purpose of updating such description. </w:t>
      </w:r>
      <w:r>
        <mc:AlternateContent>
          <mc:Choice Requires="wps">
            <w:drawing>
              <wp:anchor behindDoc="0" distT="7493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70"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In addition, we incorporate by reference the audited statements of revenues and operating expenses for the Endeavor Mineral and Royalty Interests for the years ended December 31, 2024 and December 31, 2023, incorporated by reference into this prospectus from Viper Energy’s </w:t>
      </w:r>
      <w:hyperlink r:id="rId15">
        <w:r>
          <w:rPr>
            <w:rStyle w:val="InternetLink"/>
          </w:rPr>
          <w:t>Definitive Proxy Statement on Schedule DEFM 14A filed with the SEC on March 31, 2025</w:t>
        </w:r>
      </w:hyperlink>
      <w:r>
        <w:rPr>
          <w:rFonts w:ascii="Times New Roman;Times;serif" w:hAnsi="Times New Roman;Times;serif"/>
          <w:b w:val="false"/>
          <w:i w:val="false"/>
          <w:caps w:val="false"/>
          <w:smallCaps w:val="false"/>
          <w:color w:val="000000"/>
          <w:spacing w:val="4"/>
          <w:sz w:val="20"/>
        </w:rPr>
        <w:t xml:space="preserve">, in reliance upon the reports of Grant Thornton LLP, independent certified public accountants, which audited statements of revenues and direct operating expenses are included in such filing beginning on page F-1.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all documents filed by us with the SEC under Sections 13(a), 13(c), 14 or 15(d) of the Exchange Act (other than those furnished pursuant to Item 2.02 or Item 7.01 of Form 8-K, unless otherwise stated therein) after the date of this prospectus supplement and prior to the filing of a post-effective amendment that indicates that all securities offered hereby have been sold or that deregisters all securities remaining unsold, will be considered to be incorporated by reference into this prospectus supplement and to be a part of this prospectus supplement from the dates of the filing of such documents. Pursuant to General Instruction B of Form 8-K, any information submitted under Item 2.02, Results of Operations and Financial Condition, or Item 7.01, Regulation FD Disclosure, of Form 8-K is not deemed to be “filed” for the purpose of Section 18 of the Exchange Act, and we are not subject to the liabilities of Section 18 of the Exchange Act with respect to information submitted under Item 2.02 or Item 7.01 of Form 8-K. We are not incorporating by reference any information submitted under Item 2.02 or Item 7.01 of Form 8-K into any filing under the Securities Act or the Exchange Act or into this prospectus supplement, unless otherwise indicated on such Form 8-K.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furnish without charge to you, on written or oral request, a copy of any documents incorporated by reference, including any exhibits to such documents. Copies of any of the documents we file with the SEC may be obtained free of charge on our website, the SEC’s website, by contacting Secretary, Viper Energy, Inc., 500 West Texas Ave., Suite 100, Midland, TX 79701 or by calling (432) 221-7400.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LEMA1"/>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validity of the Class A common stock to be offered hereby by the selling stockholders will be passed upon by Latham &amp; Watkins LLP. If legal matters in connection with offerings made by this prospectus are passed on by counsel for the underwriters, dealers or agents, if any, that counsel will be named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EXP1"/>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audited consolidated financial statements of Viper Energy, Inc. and management’s assessment of the effectiveness of internal control over financial reporting incorporated by reference in this prospectus supplement and elsewhere in the registration statement have been so incorporated by reference in reliance upon the reports of Grant Thornton LLP, independent registered public accountants, upon the authority of said firm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audited statements of revenues and direct operating expenses attributable to certain mineral and royalty interests of Diamondback Energy, Inc. and several of its subsidiaries, Endeavor Energy Resources, LP, 1979 Royalties LP and 1979 Royalties GP, LLC (the “Endeavor Mineral and Royalty Interests”) incorporated by reference in this prospectus supplement and elsewhere in the registration statement have been so incorporated by reference in reliance upon the report of Grant Thornton LLP, independent certified public accountants, upon the authority of said firm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Sitio Royalties Corp. as of December 31, 2024 and 2023, and for each of the years in the three-year period ended December 31, 2024, and management’s assessment of the effectiveness of internal control over financial reporting as of December 31, 2024 have been incorporated by reference herein in reliance upon the report of KPMG LLP, independent registered public accounting firm, incorporated by reference herein, and upon the authority of said firm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incorporated by reference in this prospectus supplement regarding estimated quantities of proved reserves, future production and income attributable to certain royalty interests of the Company is based upon estimates of such reserves, future production and income prepared by Diamondback’s internal reserve engineers and audited by Ryder Scott Company, L.P., an independent petroleum engineering firm. This information is incorporated by reference in this prospectus in reliance upon the authority of such firm as experts in these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incorporated by reference in this prospectus supplement regarding estimates of total proved reserves, future production and income attributable to the Endeavor Mineral and Royalty Interests is based upon estimates of such reserves, future production and income prepared by Diamondback’s internal reserve engineers and audited by Ryder Scott Company, L.P., an independent petroleum engineering firm. This information is incorporated by reference into this prospectus supplement in reliance upon the authority of such firm as experts in these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Information incorporated by reference in this prospectus supplement regarding estimated quantities of proved reserves of Sitio Royalties Corp. and related future net cash flows related to those reserves as of December 31, 2024 is based upon a reserve report audited by independent petroleum engineers, Cawley, Gillespie &amp; Associates, Inc. Such estimates have been so incorporated in reliance on the authority of such firm as an expert in such matters.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203,172,011 Shares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60" w:before="2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Viper Energy,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Class A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proposed resale from time to time of up to 203,172,011 shares of our Class A common stock, par value $0.000001 per share (our “Class A common stock”), by the selling stockholders named herein and any additional selling stockholders that may be named in one or more prospectus supplements. See “Selling Stockholders” for more information. The selling stockholders may offer and sell or otherwise dispose of their shares of our Class A common stock covered by this prospectus from time to time through public or private transactions at fixed prices, at prevailing market prices at the time of sale, at prices related to the prevailing market price, at varying prices determined at the time of sale or at negotiated prices. See “Plan of Distribution” for more information about how the selling stockholders may sell or dispose of their shares of our Class A common stock covered by this prospectus. We will not receive any proceeds from the sale of the shares by the selling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A common stock is listed on The Nasdaq Global Select Market under the symbol “VNOM.” On August 25, 2025, the last reported sales price of our Class A common stock on The Nasdaq Global Select Market was $39.45 per share. Our principal executive offices are located at 500 West Texas Ave., Suite 100, Midland, Texas 79701, and our telephone number is (432) 221-7400. </w:t>
      </w:r>
    </w:p>
    <w:p>
      <w:pPr>
        <w:pStyle w:val="TextBody"/>
        <w:bidi w:val="0"/>
        <w:spacing w:lineRule="atLeast" w:line="240" w:before="160" w:after="283"/>
        <w:ind w:left="1793" w:right="0" w:hanging="0"/>
        <w:jc w:val="left"/>
        <w:rPr/>
      </w:pPr>
      <w:r>
        <w:rPr>
          <w:rFonts w:ascii="Times New Roman;Times;serif" w:hAnsi="Times New Roman;Times;serif"/>
          <w:b/>
          <w:i/>
          <w:caps w:val="false"/>
          <w:smallCaps w:val="false"/>
          <w:color w:val="000000"/>
          <w:spacing w:val="-4"/>
          <w:sz w:val="20"/>
        </w:rPr>
        <w:t xml:space="preserve">Investing in our Class A common stock involves risks. See “Risk Factors” beginning on page </w:t>
      </w:r>
      <w:hyperlink w:anchor="bRIFA">
        <w:r>
          <w:rPr>
            <w:rStyle w:val="InternetLink"/>
          </w:rPr>
          <w:t>3</w:t>
        </w:r>
      </w:hyperlink>
      <w:r>
        <w:rPr>
          <w:rFonts w:ascii="Times New Roman;Times;serif" w:hAnsi="Times New Roman;Times;serif"/>
          <w:b/>
          <w:i/>
          <w:caps w:val="false"/>
          <w:smallCaps w:val="false"/>
          <w:color w:val="000000"/>
          <w:spacing w:val="-4"/>
          <w:sz w:val="20"/>
        </w:rPr>
        <w: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U.S. Securities and Exchange Commission (the “SEC”)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date of this prospectus is August 26, 2025.</w:t>
      </w:r>
      <w:r>
        <w:rPr>
          <w:rFonts w:ascii="Times New Roman;Times;serif" w:hAnsi="Times New Roman;Time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OC3"/>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86"/>
        <w:gridCol w:w="109"/>
        <w:gridCol w:w="109"/>
        <w:gridCol w:w="109"/>
        <w:gridCol w:w="109"/>
        <w:gridCol w:w="40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b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bATP">
              <w:r>
                <w:rPr>
                  <w:rStyle w:val="InternetLink"/>
                  <w:spacing w:val="4"/>
                </w:rPr>
                <w:t>ii</w:t>
              </w:r>
            </w:hyperlink>
            <w:hyperlink w:anchor="b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bCNRF">
              <w:r>
                <w:rPr>
                  <w:rStyle w:val="InternetLink"/>
                  <w:spacing w:val="4"/>
                </w:rPr>
                <w:t xml:space="preserve">CAUTIONARY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bCNRF">
              <w:r>
                <w:rPr>
                  <w:rStyle w:val="InternetLink"/>
                  <w:spacing w:val="4"/>
                </w:rPr>
                <w:t>iii</w:t>
              </w:r>
            </w:hyperlink>
            <w:hyperlink w:anchor="bC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bOUCO">
              <w:r>
                <w:rPr>
                  <w:rStyle w:val="InternetLink"/>
                  <w:spacing w:val="4"/>
                </w:rPr>
                <w:t xml:space="preserve">OUR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bOUCO">
              <w:r>
                <w:rPr>
                  <w:rStyle w:val="InternetLink"/>
                  <w:spacing w:val="4"/>
                </w:rPr>
                <w:t>1</w:t>
              </w:r>
            </w:hyperlink>
            <w:hyperlink w:anchor="bOU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b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bRIFA">
              <w:r>
                <w:rPr>
                  <w:rStyle w:val="InternetLink"/>
                  <w:spacing w:val="4"/>
                </w:rPr>
                <w:t>3</w:t>
              </w:r>
            </w:hyperlink>
            <w:hyperlink w:anchor="b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b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bUOP">
              <w:r>
                <w:rPr>
                  <w:rStyle w:val="InternetLink"/>
                  <w:spacing w:val="4"/>
                </w:rPr>
                <w:t>4</w:t>
              </w:r>
            </w:hyperlink>
            <w:hyperlink w:anchor="b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bSEST">
              <w:r>
                <w:rPr>
                  <w:rStyle w:val="InternetLink"/>
                  <w:spacing w:val="4"/>
                </w:rPr>
                <w:t xml:space="preserve">SELLING STOCKHOLDERS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bSEST">
              <w:r>
                <w:rPr>
                  <w:rStyle w:val="InternetLink"/>
                  <w:spacing w:val="4"/>
                </w:rPr>
                <w:t>5</w:t>
              </w:r>
            </w:hyperlink>
            <w:hyperlink w:anchor="bSES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bDOCS">
              <w:r>
                <w:rPr>
                  <w:rStyle w:val="InternetLink"/>
                  <w:spacing w:val="4"/>
                </w:rPr>
                <w:t xml:space="preserve">DESCRIPTION OF CAPITAL STOCK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bDOCS">
              <w:r>
                <w:rPr>
                  <w:rStyle w:val="InternetLink"/>
                  <w:spacing w:val="4"/>
                </w:rPr>
                <w:t>11</w:t>
              </w:r>
            </w:hyperlink>
            <w:hyperlink w:anchor="bDOC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b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bPOD">
              <w:r>
                <w:rPr>
                  <w:rStyle w:val="InternetLink"/>
                  <w:spacing w:val="4"/>
                </w:rPr>
                <w:t>15</w:t>
              </w:r>
            </w:hyperlink>
            <w:hyperlink w:anchor="b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b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bWYCF">
              <w:r>
                <w:rPr>
                  <w:rStyle w:val="InternetLink"/>
                  <w:spacing w:val="4"/>
                </w:rPr>
                <w:t>18</w:t>
              </w:r>
            </w:hyperlink>
            <w:hyperlink w:anchor="b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bIIBR">
              <w:r>
                <w:rPr>
                  <w:rStyle w:val="InternetLink"/>
                  <w:spacing w:val="4"/>
                </w:rPr>
                <w:t xml:space="preserve">INFORMATION INCORPORATED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bIIBR">
              <w:r>
                <w:rPr>
                  <w:rStyle w:val="InternetLink"/>
                  <w:spacing w:val="4"/>
                </w:rPr>
                <w:t>19</w:t>
              </w:r>
            </w:hyperlink>
            <w:hyperlink w:anchor="bIIB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86" w:type="dxa"/>
            <w:tcBorders/>
            <w:shd w:fill="CCEEFF" w:val="clear"/>
            <w:vAlign w:val="center"/>
          </w:tcPr>
          <w:p>
            <w:pPr>
              <w:pStyle w:val="TableContents"/>
              <w:bidi w:val="0"/>
              <w:spacing w:before="0" w:after="0"/>
              <w:jc w:val="left"/>
              <w:rPr/>
            </w:pPr>
            <w:hyperlink w:anchor="b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02" w:type="dxa"/>
            <w:tcBorders/>
            <w:shd w:fill="CCEEFF" w:val="clear"/>
            <w:vAlign w:val="center"/>
          </w:tcPr>
          <w:p>
            <w:pPr>
              <w:pStyle w:val="TableContents"/>
              <w:bidi w:val="0"/>
              <w:spacing w:before="0" w:after="283"/>
              <w:jc w:val="right"/>
              <w:rPr/>
            </w:pPr>
            <w:hyperlink w:anchor="bLEMA">
              <w:r>
                <w:rPr>
                  <w:rStyle w:val="InternetLink"/>
                  <w:spacing w:val="4"/>
                </w:rPr>
                <w:t>21</w:t>
              </w:r>
            </w:hyperlink>
            <w:hyperlink w:anchor="b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86" w:type="dxa"/>
            <w:tcBorders/>
            <w:vAlign w:val="center"/>
          </w:tcPr>
          <w:p>
            <w:pPr>
              <w:pStyle w:val="TableContents"/>
              <w:bidi w:val="0"/>
              <w:spacing w:before="0" w:after="0"/>
              <w:jc w:val="left"/>
              <w:rPr/>
            </w:pPr>
            <w:hyperlink w:anchor="b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02" w:type="dxa"/>
            <w:tcBorders/>
            <w:vAlign w:val="center"/>
          </w:tcPr>
          <w:p>
            <w:pPr>
              <w:pStyle w:val="TableContents"/>
              <w:bidi w:val="0"/>
              <w:spacing w:before="0" w:after="283"/>
              <w:jc w:val="right"/>
              <w:rPr/>
            </w:pPr>
            <w:hyperlink w:anchor="bEXP">
              <w:r>
                <w:rPr>
                  <w:rStyle w:val="InternetLink"/>
                  <w:spacing w:val="4"/>
                </w:rPr>
                <w:t>21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bATP"/>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“shelf” registration statement that we filed with the SEC, as a “well-known seasoned issuer” ​(as defined in Rule 405 of the Securities Act of 1933, as amended (the “Securities Act”)), using a “shelf” registration process.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this prospectus and in any applicable prospectus supplement, including any information incorporated by reference. Neither we nor the selling stockholders have authorized any other person to provide you with different information. If anyone provides you with different or inconsistent information, you should not rely on it. You should not assume that the information appearing in this prospectus, any prospectus supplement or any document incorporated by reference is accurate at any date other than as of the date of each such document. Our business, financial condition, results of operations and prospects may have changed since the date indicated on the cover page of such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distribution of this prospectus may be restricted by law in certain jurisdictions. You should inform yourself about and observe any of these restrictions. This prospectus does not constitute, and may not be used in connection with, an offer or solicitation by anyone in any jurisdiction in which the offer or solicitation is not authorized, or in which the person making the offer or solicitation is not qualified to do so, or to any person to whom it is unlawful to make the offer 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References in this prospectus or any prospectus supplement to (i) “Viper Energy,” “Viper,” “the Company,” “we,” “our,” “us” or like terms refer to (A) prior to the closing of the Sitio Acquisition (as defined below), VNOM Sub, Inc. (f/k/a Viper Energy, Inc.) individually and collectively with the Operating Company (as defined below) and its subsidiaries, as the context requires, and which is also referred to from time to time in this prospectus or any prospectus supplement as “our predecessor” and (B) from and after the closing of the Sitio Acquisition, Viper Energy, Inc. (f/k/a New Cobra Pubco, Inc.) individually and collectively with the Operating Company and its subsidiaries, as the context requires, (ii) the “Operating Company” or “Opco” refers to Viper Energy Partners LLC, the Company’s operating subsidiary, (iii) “Diamondback” refers individually to Diamondback Energy, Inc. and collectively to Diamondback Energy, Inc. and its subsidiaries other than the Company and the Operating Company and their respective subsidiaries, (iv) “Diamondback E&amp;P” refers to Diamondback E&amp;P LLC, a wholly owned subsidiary of Diamondback and (v) “Endeavor” refers to Endeavor Energy Resources, L.P., a wholly owned subsidiary of Diamondback. References to “Opco Units” are to the units representing limited liability company interests in the Operating Company.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selling stockholders may be named in one or more prospectus supplements.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this prospectus is inconsistent with any prospectus supplement to this prospectus, you should rely upon the prospectus supplement. In addition, the prospectus supplement may also add, update or change the information contained in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bCNRF"/>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This prospectus, including documents incorporated by reference, contains “forward-looking statements” within the meaning of Section 27A of the Securities Act and Section 21E of the Securities Exchange Act of 1934, as amended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anticipated benefits of the acquisition of Sitio Royalties Corp. (“Sitio” and such acquisition, the “Sitio Acquisition”) or of other strategic transactions (including other acquisitions or divestitures); and plans and objectives of management (including Diamondback’s plans for developing our acreage, our cash dividend policy and repurchases of shares of our Class A common stock and/or senior notes) are forward-looking statements. When used in this prospectus, including documents incorporated by reference,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Accordingly, forward-looking statements are not guarantees of our future performance. In particular, the factors discussed in this prospectus under the heading “Risk Factors” and detailed in our </w:t>
      </w:r>
      <w:hyperlink r:id="rId16">
        <w:r>
          <w:rPr>
            <w:rStyle w:val="InternetLink"/>
          </w:rPr>
          <w:t>Annual Report on Form 10-K for the year ended December 31, 2024</w:t>
        </w:r>
      </w:hyperlink>
      <w:r>
        <w:rPr>
          <w:rFonts w:ascii="Times New Roman;Times;serif" w:hAnsi="Times New Roman;Times;serif"/>
          <w:b w:val="false"/>
          <w:i w:val="false"/>
          <w:caps w:val="false"/>
          <w:smallCaps w:val="false"/>
          <w:color w:val="000000"/>
          <w:spacing w:val="4"/>
          <w:sz w:val="20"/>
        </w:rPr>
        <w:t xml:space="preserve">, as may be supplemented in our subsequent Quarterly Reports on Form 10-Q and in our other periodic and current reports filed with the SEC, could affect our actual results and cause our actual results to differ materially from expectations, estimates or assumptions expressed, forecasted or implied in such forward-looking statements. Factors that could cause our outcomes to differ materially include (but are not limited to)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supply and demand levels for oil, natural gas, and natural gas liquids, and the resulting impact on the price for those commodities; </w:t>
      </w:r>
      <w:r>
        <mc:AlternateContent>
          <mc:Choice Requires="wps">
            <w:drawing>
              <wp:anchor behindDoc="0" distT="7874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1"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public health crises, including epidemic or pandemic diseases and any related company or government policies or actions; </w:t>
      </w:r>
      <w:r>
        <mc:AlternateContent>
          <mc:Choice Requires="wps">
            <w:drawing>
              <wp:anchor behindDoc="0" distT="7874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2"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actions taken by the members of OPEC and Russia affecting the production and pricing of oil, as well as other domestic and global political, economic, or diplomatic developments; </w:t>
      </w:r>
      <w:r>
        <mc:AlternateContent>
          <mc:Choice Requires="wps">
            <w:drawing>
              <wp:anchor behindDoc="0" distT="7874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3"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general economic, business or industry conditions, including changes in foreign currency exchange rates, interest rates, inflation rates or instability in the financial sector; </w:t>
      </w:r>
      <w:r>
        <mc:AlternateContent>
          <mc:Choice Requires="wps">
            <w:drawing>
              <wp:anchor behindDoc="0" distT="7874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4"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regional supply and demand factors, including delays, curtailment delays or interruptions of production on our mineral and royalty acreage, or governmental orders, rules or regulations that impose production limits on such acreage; </w:t>
      </w:r>
      <w:r>
        <mc:AlternateContent>
          <mc:Choice Requires="wps">
            <w:drawing>
              <wp:anchor behindDoc="0" distT="7874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5"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federal and state legislative and regulatory initiatives relating to hydraulic fracturing, including the effect of existing and future laws and governmental regulations; </w:t>
      </w:r>
      <w:r>
        <mc:AlternateContent>
          <mc:Choice Requires="wps">
            <w:drawing>
              <wp:anchor behindDoc="0" distT="7874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6"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physical and transition risks relating to climate change; </w:t>
      </w:r>
      <w:r>
        <mc:AlternateContent>
          <mc:Choice Requires="wps">
            <w:drawing>
              <wp:anchor behindDoc="0" distT="7874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7"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on the use of water, including limits on the use of produced water by our operators and new requirements for new Class II produced water well permits recently imposed by the Texas Railroad Commission in an effort to enhance the integrity of the underground disposal of produced water in the Permian Basin; </w:t>
      </w:r>
      <w:r>
        <mc:AlternateContent>
          <mc:Choice Requires="wps">
            <w:drawing>
              <wp:anchor behindDoc="0" distT="7874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8"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declines in prices for oil, natural gas, or natural gas liquids, which could require recognition of significant impairment charges; </w:t>
      </w:r>
      <w:r>
        <mc:AlternateContent>
          <mc:Choice Requires="wps">
            <w:drawing>
              <wp:anchor behindDoc="0" distT="7747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9"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U.S. energy, environmental, monetary and trade policies, including with respect to tariffs or other trade barriers, and any resulting trade tensions; </w:t>
      </w:r>
      <w:r>
        <mc:AlternateContent>
          <mc:Choice Requires="wps">
            <w:drawing>
              <wp:anchor behindDoc="0" distT="7747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80"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0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conditions in the capital, financial and credit markets, including the availability and pricing of capital for drilling and development by our operators and environmental and social responsibility projects undertaken by Diamondback and our other operators; </w:t>
      </w:r>
      <w:r>
        <mc:AlternateContent>
          <mc:Choice Requires="wps">
            <w:drawing>
              <wp:anchor behindDoc="0" distT="0" distB="0" distL="254000" distR="0" simplePos="0" locked="0" layoutInCell="1" allowOverlap="1" relativeHeight="82">
                <wp:simplePos x="0" y="0"/>
                <wp:positionH relativeFrom="column">
                  <wp:align>left</wp:align>
                </wp:positionH>
                <wp:positionV relativeFrom="line">
                  <wp:posOffset>635</wp:posOffset>
                </wp:positionV>
                <wp:extent cx="127000" cy="350520"/>
                <wp:effectExtent l="0" t="0" r="0" b="0"/>
                <wp:wrapSquare wrapText="right"/>
                <wp:docPr id="81"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availability or cost of rigs, equipment, raw materials, supplies and oilfield services impacting our operators; </w:t>
      </w:r>
      <w:r>
        <mc:AlternateContent>
          <mc:Choice Requires="wps">
            <w:drawing>
              <wp:anchor behindDoc="0" distT="7620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2"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safety, health, environmental, tax, and other regulations or requirements impacting us or our operators (including those addressing air emissions, water management, or the impact of global climate change); </w:t>
      </w:r>
      <w:r>
        <mc:AlternateContent>
          <mc:Choice Requires="wps">
            <w:drawing>
              <wp:anchor behindDoc="0" distT="7620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3"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security threats, including cybersecurity threats and disruptions to our business and operations from breaches of Diamondback’s information technology systems, or from breaches of information technology systems of our operators or third parties with whom we transact business; </w:t>
      </w:r>
      <w:r>
        <mc:AlternateContent>
          <mc:Choice Requires="wps">
            <w:drawing>
              <wp:anchor behindDoc="0" distT="7620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4"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lack of, or disruption in, access to adequate and reliable transportation, processing, storage, and other facilities impacting our operators; </w:t>
      </w:r>
      <w:r>
        <mc:AlternateContent>
          <mc:Choice Requires="wps">
            <w:drawing>
              <wp:anchor behindDoc="0" distT="7620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5"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severe weather conditions and natural disasters; </w:t>
      </w:r>
      <w:r>
        <mc:AlternateContent>
          <mc:Choice Requires="wps">
            <w:drawing>
              <wp:anchor behindDoc="0" distT="7620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6"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acts of war or terrorist acts and the governmental or military response thereto; </w:t>
      </w:r>
      <w:r>
        <mc:AlternateContent>
          <mc:Choice Requires="wps">
            <w:drawing>
              <wp:anchor behindDoc="0" distT="7620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7"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financial strength of counterparties to the credit facilities and hedging contracts of the Operating Company; </w:t>
      </w:r>
      <w:r>
        <mc:AlternateContent>
          <mc:Choice Requires="wps">
            <w:drawing>
              <wp:anchor behindDoc="0" distT="7620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8"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our credit rating; </w:t>
      </w:r>
      <w:r>
        <mc:AlternateContent>
          <mc:Choice Requires="wps">
            <w:drawing>
              <wp:anchor behindDoc="0" distT="7620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9"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associated with the Sitio Acquisition, including failure to realize the anticipated benefits from the Sitio Acquisition or our other recently completed acquisitions discussed in this prospectus or our filings with the SEC incorporated by reference herein; and </w:t>
      </w:r>
      <w:r>
        <mc:AlternateContent>
          <mc:Choice Requires="wps">
            <w:drawing>
              <wp:anchor behindDoc="0" distT="7620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90"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risk factors discussed in this prospectus under the heading “Risk Factors” and in Item 1.A. Risk Factors included in our most recent Annual Report on Form 10-K incorporated herein by reference, as well as other risks and uncertainties that may be identified in our subsequent filings with the SEC. </w:t>
      </w:r>
      <w:r>
        <mc:AlternateContent>
          <mc:Choice Requires="wps">
            <w:drawing>
              <wp:anchor behindDoc="0" distT="7620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1"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list of factors should not be construed as exhaustive. In light of these factors, the events anticipated by our forward-looking statements contained herein, or incorporated by reference,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or incorporated by reference into this prospectus. All forward-looking statements speak only as of the date of this prospectus or, if earlier, as of the date they were made. We do not intend to, and disclaim any obligation to, update or revise any forward-looking statements, unless required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bOUCO"/>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publicly traded Delaware corporation focused on owning and acquiring mineral and royalty interests in oil and natural gas properties primarily in the Permian Basin. We operate in one reportable segment. We own substantially all of our assets and conduct substantially all of our operations through the Operating Company. On November 13, 2023, we converted our legal status from a Delaware limited partnership into a Delaware corporation.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500 West Texas Ave., Suite 100, Midland, Texas, 79701 and our telephone number at that address is (432) 221-7400. Our website address is </w:t>
      </w:r>
      <w:r>
        <w:rPr>
          <w:rFonts w:ascii="Times New Roman;Times;serif" w:hAnsi="Times New Roman;Times;serif"/>
          <w:b w:val="false"/>
          <w:i/>
          <w:caps w:val="false"/>
          <w:smallCaps w:val="false"/>
          <w:color w:val="000000"/>
          <w:spacing w:val="4"/>
          <w:sz w:val="20"/>
        </w:rPr>
        <w:t>www.viperenergy.com</w:t>
      </w:r>
      <w:r>
        <w:rPr>
          <w:rFonts w:ascii="Times New Roman;Times;serif" w:hAnsi="Times New Roman;Times;serif"/>
          <w:b w:val="false"/>
          <w:i w:val="false"/>
          <w:caps w:val="false"/>
          <w:smallCaps w:val="false"/>
          <w:color w:val="000000"/>
          <w:spacing w:val="4"/>
          <w:sz w:val="20"/>
        </w:rPr>
        <w:t xml:space="preserve">. Information contained on our website does not constitute part of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Recent Acquisitions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Sitio Acquisition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19, 2025, we completed the acquisition of Sitio, pursuant to the Agreement and Plan of Merger, dated June 2, 2025 (the “Sitio Merger Agreement”), by and among VNOM Sub, Inc. (f/k/a Viper Energy, Inc.) (for the purpose of this section only, “Old Viper”), the Operating Company, Sitio, Sitio Royalties Operating Partnership, LP, a Delaware limited partnership (“Sitio Opco”), Viper Energy, Inc. (f/k/a New Cobra Pubco, Inc.) (for the purpose of this section only, “Viper”), Cobra Merger Sub, Inc., a Delaware corporation and a wholly owned subsidiary of Viper (“Viper Merger Sub”), and Scorpion Merger Sub, Inc., a Delaware corporation and wholly owned subsidiary of Viper (“Sitio Merger Sub”).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the Sitio Merger Agreement, Viper acquired Sitio in an all-equity transaction through: (i) the merger of Sitio Merger Sub with and into Sitio, with Sitio continuing as the surviving corporation and a wholly owned subsidiary of Viper (the “Sitio Pubco Merger”), (ii) the merger of Viper Merger Sub with and into Old Viper, with Old Viper continuing as the surviving corporation and a wholly owned subsidiary of Viper (the “Viper Pubco Merger” and, together with the Sitio Pubco Merger, the “Pubco Mergers”), and (iii) the merger of Sitio Opco with and into the Operating Company, with the Operating Company continuing as the surviving entity (the “Opco Merger” and, together with the Pubco Mergers, the “Mergers”), in each case on the terms set forth in the Sitio Merger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Mergers, among other things: </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of the Sitio Pubco Merger (the “Sitio Pubco Merger Effective Time”, which was 12:01 a.m., Eastern Time, on August 19, 2025), (A) each share of Sitio’s Class A common stock issued and outstanding immediately prior to the Sitio Pubco Merger Effective Time (other than certain excluded shares) was cancelled and automatically converted into the right to receive 0.4855 fully paid and nonassessable shares of Viper’s Class A common stock, and (B) each share of Sitio’s Class C common stock issued and outstanding immediately prior to the Sitio Pubco Merger Effective Time was automatically cancelled and ceased to exist; </w:t>
      </w:r>
      <w:r>
        <mc:AlternateContent>
          <mc:Choice Requires="wps">
            <w:drawing>
              <wp:anchor behindDoc="0" distT="7112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2"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of the Viper Pubco Merger (the “Viper Pubco Merger Effective Time”, which was 12:01 a.m., Eastern Time, on August 19, 2025), (A) each share of Old Viper’s Class A common stock issued and outstanding immediately prior to the Viper Pubco Merger Effective Time (other than certain excluded shares) was cancelled and automatically converted into one share of Viper’s Class A common stock and (B) each share of Old Viper’s Class B common stock issued and outstanding immediately prior to the Viper Pubco Merger Effective Time was automatically cancelled and converted into one share of Viper’s Class B common stock, par value $0.000001 per share (our “Class B common stock”); and </w:t>
      </w:r>
      <w:r>
        <mc:AlternateContent>
          <mc:Choice Requires="wps">
            <w:drawing>
              <wp:anchor behindDoc="0" distT="7112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3"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Pubco Mergers, at the effective time of the Opco Merger (the “Opco Merger Effective Time”, which was 12:02 a.m., Eastern Time, on August 19, 2025), (A) each common unit representing limited partnership interests in Sitio Opco (“Sitio Opco Units”) held by Old Viper, Sitio, Viper, or any of their wholly owned subsidiaries immediately prior to the Opco Merger Effective Time automatically converted into 0.4855 Opco Units and (B) each other Sitio Opco Unit issued and outstanding immediately prior to the Opco Merger Effective Time (other than certain excluded units) converted into the right to receive (i) 0.4855 Opco Units and (ii) 0.4855 shares of Viper’s Class B common stock. </w:t>
      </w:r>
      <w:r>
        <mc:AlternateContent>
          <mc:Choice Requires="wps">
            <w:drawing>
              <wp:anchor behindDoc="0" distT="7239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4"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8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closing of the Sitio Acquisition, we entered into a registration rights agreement (the “Sitio Registration Rights Agreement”) with certain holders of Sitio Opco Units as of immediately prior to the closing (who are now holders of Opco Units and our Class B common stock following the Mergers) (the “Sitio RRA Parties”), pursuant to which the Sitio RRA Parties received certain registration rights with respect to their registrable securities, consisting of shares of our Class A common stock that will be obtained upon the exchange of shares of our Class B common stock (together with an equal number of Opco Units) in accordance with the terms of the Fourth Amended and Restated Limited Liability Company Agreement of the Operating Company. In addition, at the closing of the Sitio Acquisition, we assumed registration rights agreements with (i) certain affiliates of Morita Ranches Minerals, LLC (such affiliates, the “Morita Ranches Equity Recipients” and such agreement, the “Morita Ranches Registration Rights Agreement”), (ii) Tumbleweed Royalty IV, LLC (“TWR IV” and such agreement, the “TWR Registration Rights Agreement”) and (iii) Diamondback (such agreement, the “Diamondback Registration Rights Agreement”). The Sitio Registration Rights Agreement, the Morita Ranches Registration Rights Agreement, the TWR Registration Rights Agreement and the Diamondback Registration Rights Agreement are collectively referred to in this prospectus as the “Registration Rights Agreements.”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Drop Down Transaction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30, 2025, Viper Energy and the Operating Company, as buyer parties, entered into a definitive equity purchase agreement (the “Drop Down Purchase Agreement”) with Endeavor and 1979 Royalties, LP and 1979 Royalties GP, LLC (together, the “Endeavor Subsidiaries”), as seller parties, each of which is a subsidiary of Viper Energy’s parent, Diamondback. The Drop Down Purchase Agreement provided for the acquisition by the Operating Company of all of the issued and outstanding equity interests of the Endeavor Subsidiaries under the terms and conditions of such agreement (the “Drop Down”).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1, 2025, Viper Energy and the Operating Company completed the Drop Down for total consideration consisting of (i) $1.0 billion in cash and (ii) the issuance to Endeavor of 69,626,640 Opco Units and an equivalent number of shares of our Class B common stock, subject to transaction costs and certain customary post-closing adjustments. The Opco Units and shares of our Class B common stock issued at the closing of the Drop Down are exchangeable from time to time for our Class A common stock (that is, one Opco Unit and one share of our Class B common stock, together, are exchangeable for one share of our Class A common stock). The mineral and royalty interests acquired by the Operating Company in the Drop Down represent approximately 24,446 net royalty acres in the Permian Basin (the “Endeavor Mineral and Royalty Interests”), approximately 69% of which are currently operated by Diamondback. Viper Energy funded the cash consideration for the Drop Down with proceeds from its previously reported underwritten public offering of shares of our Class A common stock completed on February 3, 2025 and borrowings under the Operating Company’s revolving credit facility.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bRIFA"/>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Investment in our Class A common stock involves certain risks. You should carefully consider the factors disclosed in Part I, Item 1A. Risk Factors and other factors discussed under the heading “Management’s Discussion and Analysis of Financial Condition and Results of Operations” in our Annual Report on Form 10-K for the year ended December 31, 2024, filed with the SEC on February 26, 2025, in our subsequently filed Quarterly Reports on Form 10-Q and in our other subsequent filings with the SEC, including those incorporated by reference into this prospectus, before investing in our Class A common stock. You should also consider similar information contained in any annual report on Form 10-K, quarterly reports on Form 10-Q, current reports on Form 8-K and other documents filed by us with the SEC after the date of this prospectus before deciding to invest in our Class A common stock. We will also include in any prospectus supplement a description of any other risk factors applicable to an offering contemplated by such prospectus supplement. Additional risks and uncertainties not known to us or that we view as immaterial may also impair our business. Any of these risks could materially and adversely affect our business, financial condition, results of operations and cash flows and could result in a loss of all or part of your investment. Please read “Cautionary Note Regarding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bUOP"/>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shares of Class A common stock covered by this prospectus are being offered and sold by the selling stockholders identified in this prospectus and/or in any prospectus supplement. We will not receive any proceeds from the sale of the Class A common stock by the selling stockholders. See “Selling Stockholders” and “Plan of Distribution” for additional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bSEST"/>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prepared this prospectus to allow the selling stockholders identified below and/or in any prospectus supplement to offer and sell from time to time, for their own account, up to an aggregate of 203,172,011 shares of our Class A common stock, which may be obtained by exchanging shares of our Class B common stock (including shares obtainable through the exercise of certain options) held by Diamondback, TWR IV, the Morita Ranches Equity Recipients, the Sitio RRA Parties (collectively, the “RRA Counterparties”) and/or their permitted transferees (under the applicable Registration Rights Agreement), together with a corresponding number of Opco Units. Additional selling stockholders may be identified in one or more prospectus supplements.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Registration Rights Agreements, the RRA Counterparties received certain registration rights with respect to their registrable securities, consisting of shares of our Class A common stock, which may be obtained by exchanging shares of our Class B common stock (including shares obtainable through the exercise of certain options), together with a corresponding number of Opco Units. Additionally, pursuant to the Registration Rights Agreements, we agreed to file with the SEC, pursuant to the satisfaction of certain conditions, a shelf registration statement registering for resale the RRA Counterparties’ Registrable Securities (as such term is defined below) and to cause such Registrable Securities to be listed on the Nasdaq Global Select Market. We also agreed to use our reasonable best efforts (or in the case of the Diamondback Registration Rights Agreement, commercially reasonable efforts) to keep the shelf registration statement relating to the Registrable Securities current and effective (or file a new shelf registration statement, if applicable) until such time as there are no Registrable Securities outstanding.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 purposes of the Registration Rights Agreements, other than the Diamondback Registration Rights Agreement, the term “Registrable Securities” generally means, at any time, (i) any shares of our Class A common stock acquired (or that may be acquired) by any RRA Counterparty and/or its permitted transferees, pursuant to the terms of the Fourth Amended and Restated Limited Liability Company Agreement of the Operating Company and/or such RRA Counterparty’s applicable exchange agreement and (ii) any securities issued or issuable with respect to any such shares of Class A common stock by way of conversion, concession, dividend in the form of Class A common stock or split or other distribution, recapitalization or reclassification or similar transaction;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such Registrable Securities will cease to be Registrable Securities on (x) the date they have been distributed to the public pursuant to an offering registered under the Securities Act or (y) the later of (1) the date they have all been distributed, or may all legally be distributed in one transaction, to the public pursuant to Rule 144 without volume or manner of sale restrictions or the need for “current public information” or (2) (A) with respect to the TWR Registration Rights Agreement, the date on which TWR IV and its permitted transferees collectively own a number of Opco Units and shares of our Class A common stock for which Opco Units (together with a corresponding number of shares of our Class B common stock) were exchanged that is less than 50% of the aggregate number of Opco Units issued to the Morita Ranches Equity Recipients on February 14, 2025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the number of Opco Units issued to TWR IV on October 1, 2024 (as such number may be adjusted pursuant to (ii) above), (B) with respect to the Morita Ranches Registration Rights Agreement, the date on which the Morita Ranches Equity Recipients and their permitted transferees collectively own a number of Opco Units and shares of our Class A common stock for which Opco Units (together with a corresponding number of shares of our Class B common stock) were exchanged that is less than 50% of the aggregate number of Opco Units issued to the Morita Ranches Equity Recipients on February 14, 2025 </w:t>
      </w:r>
      <w:r>
        <w:rPr>
          <w:rFonts w:ascii="Times New Roman;Times;serif" w:hAnsi="Times New Roman;Times;serif"/>
          <w:b w:val="false"/>
          <w:i/>
          <w:caps w:val="false"/>
          <w:smallCaps w:val="false"/>
          <w:color w:val="000000"/>
          <w:spacing w:val="4"/>
          <w:sz w:val="20"/>
        </w:rPr>
        <w:t>plus</w:t>
      </w:r>
      <w:r>
        <w:rPr>
          <w:rFonts w:ascii="Times New Roman;Times;serif" w:hAnsi="Times New Roman;Times;serif"/>
          <w:b w:val="false"/>
          <w:i w:val="false"/>
          <w:caps w:val="false"/>
          <w:smallCaps w:val="false"/>
          <w:color w:val="000000"/>
          <w:spacing w:val="4"/>
          <w:sz w:val="20"/>
        </w:rPr>
        <w:t xml:space="preserve"> the number of Opco Units issued to TWR IV on October 1, 2024 (as such number may be adjusted pursuant to (ii) above) and (C) with respect to the Sitio Registration Rights Agreement, the date on which the Sitio RRA Parties and their permitted transferees collectively own a number of Opco Units and shares of our Class A common stock for which Opco Units (together with a corresponding number of shares of our Class B common stock) were exchanged that is less than 50% of the number of Opco Units issued to the Sitio RRA Parties on August 19, 2025. For the purpose of the Diamondback Registration Rights Agreement, the term “Registrable Securities” means (i) the aggregate number of shares of our Class A common stock acquired or that may be acquired by Diamondback or its subsidiaries in accordance with Diamondback’s exchange agreement; (ii) any securities of ours or our subsidiaries issuable with respect to the securities referred to in clause (i); and (iii) any other shares of our Class A common stock or other securities of ours held by Diamondback or its subsidiaries from time to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Under the Diamondback Registration Rights Agreement, the TWR Registration Rights Agreement and the Morita Ranches Registration Rights Agreement, the applicable selling stockholders may request to sell all or any portion of their Registrable Securities in an underwritten offering that is registered pursuant to the registration statement of which this prospectus forms a part;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Diamondback, TWR IV, the Morita Ranches Equity Recipients and their respective permitted transferees, in the aggregate, will be entitled to make a demand for a total of three underwritten shelf takedowns and the aggregate amount of Registrable Securities included in any such underwritten shelf takedown must be at least (i) in the case of the Diamondback Registration Rights Agreement, an amount reasonably expected to result in gross proceeds of $50 million and (ii) in the case of the TWR Registration Rights Agreement and the Morita Ranches Registration Rights Agreement, the lesser of the amount reasonably expected to result in aggregate gross proceeds of $100 million (before the deduction of underwriting discounts) and the remainder of the Registrable Securities held by all such holders. For the avoidance of doubt, an underwritten shelf takedown will not include an “at the market” program.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prepared this prospectus and the registration statement of which it is a part to fulfill our registration requirements under the Registration Rights Agreements.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Registration Rights Agreements, we will pay all expenses relating to the registration, offering and listing of these shares, except that the selling stockholders will pay any underwriting fees, discounts and commissions, placement fees of underwriters, broker commissions, transfer taxes and certain attorney’s fees. Pursuant to the terms of the Registration Rights Agreements, we agreed to indemnify the selling stockholders against certain liabilities, including liabilities under the Securities Act, and the selling stockholders have agreed to indemnify us against certain liabilities, including liabilities under the Securities Act, which may arise from any written information furnished to us by the selling stockholders expressly for use in this prospectus and/or in any prospectus supplement, as applicable.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herein, the term “selling stockholders” includes the RRA Counterparties and any direct or indirect transferees of Registrable Securities entitled to registration rights under the applicable Registration Rights Agreement, including any securityholders that receive the respective Registrable Securities upon a distribution or liquidation, who have been assigned the rights of the transferor holder or holders under the applicable Registration Rights Agreement (in compliance with the terms thereof). This prospectus does not cover subsequent sales of our Class A common stock purchased from the selling stockholders identified in this prospectus and/or in any prospectus supplement.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 the beneficial ownership of shares of our Class A common stock and our Class B common stock and (ii) the maximum number of shares of our Class A common stock that may be sold by or on behalf of each selling stockholder under the registration statement of which this prospectus forms a part. For purposes of the table below, we assume that the selling stockholders will sell all of the shares of our Class A common stock covered by this prospectus. We cannot predict when or in what amount the selling stockholders may sell any of the shares offered in this prospectus and/or in any prospectus supplement, if at all. The table, the related footnotes or additional disclosure below also set forth the nature of any position, office or, if applicable, any other material relationship that each selling stockholder has had, within the past three years, with us or with any of our predecessors or affiliates, and the number of shares of our Class A common stock to be held by each selling stockholder after completion of the offering.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prepared the table based on information provided to us by the selling stockholders. We have not sought to verify such information. Additionally, the selling stockholders may have sold or transferred some or all of the shares of our Class A common stock covered by this prospectus in transactions exempt from the registration requirements of the Securities Act since the date on which the information in the table was provided to us. Other information about the selling stockholders may also change over time.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indicated, each of the RRA Counterparties has sole voting and dispositive power with respect to the shares included in the table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1565" w:type="dxa"/>
        <w:jc w:val="left"/>
        <w:tblInd w:w="1393" w:type="dxa"/>
        <w:tblLayout w:type="fixed"/>
        <w:tblCellMar>
          <w:top w:w="0" w:type="dxa"/>
          <w:left w:w="0" w:type="dxa"/>
          <w:bottom w:w="28" w:type="dxa"/>
          <w:right w:w="0" w:type="dxa"/>
        </w:tblCellMar>
      </w:tblPr>
      <w:tblGrid>
        <w:gridCol w:w="1541"/>
        <w:gridCol w:w="109"/>
        <w:gridCol w:w="109"/>
        <w:gridCol w:w="109"/>
        <w:gridCol w:w="109"/>
        <w:gridCol w:w="886"/>
        <w:gridCol w:w="109"/>
        <w:gridCol w:w="109"/>
        <w:gridCol w:w="109"/>
        <w:gridCol w:w="109"/>
        <w:gridCol w:w="109"/>
        <w:gridCol w:w="1306"/>
        <w:gridCol w:w="109"/>
        <w:gridCol w:w="109"/>
        <w:gridCol w:w="109"/>
        <w:gridCol w:w="109"/>
        <w:gridCol w:w="109"/>
        <w:gridCol w:w="526"/>
        <w:gridCol w:w="109"/>
        <w:gridCol w:w="109"/>
        <w:gridCol w:w="109"/>
        <w:gridCol w:w="109"/>
        <w:gridCol w:w="109"/>
        <w:gridCol w:w="1306"/>
        <w:gridCol w:w="109"/>
        <w:gridCol w:w="109"/>
        <w:gridCol w:w="109"/>
        <w:gridCol w:w="109"/>
        <w:gridCol w:w="109"/>
        <w:gridCol w:w="886"/>
        <w:gridCol w:w="109"/>
        <w:gridCol w:w="109"/>
        <w:gridCol w:w="109"/>
        <w:gridCol w:w="158"/>
        <w:gridCol w:w="158"/>
        <w:gridCol w:w="501"/>
        <w:gridCol w:w="159"/>
        <w:gridCol w:w="109"/>
        <w:gridCol w:w="109"/>
        <w:gridCol w:w="133"/>
        <w:gridCol w:w="133"/>
        <w:gridCol w:w="423"/>
        <w:gridCol w:w="134"/>
        <w:gridCol w:w="154"/>
      </w:tblGrid>
      <w:tr>
        <w:trPr/>
        <w:tc>
          <w:tcPr>
            <w:tcW w:w="154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135" w:type="dxa"/>
            <w:gridSpan w:val="16"/>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Securities Beneficially Owned Prior to</w:t>
            </w:r>
            <w:r>
              <w:rPr/>
              <w:t xml:space="preserve"> </w:t>
              <w:br/>
            </w:r>
            <w:r>
              <w:rPr>
                <w:spacing w:val="-3"/>
              </w:rPr>
              <w:t>this Offering</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633" w:type="dxa"/>
            <w:gridSpan w:val="4"/>
            <w:vMerge w:val="restart"/>
            <w:tcBorders>
              <w:bottom w:val="single" w:sz="2" w:space="0" w:color="000000"/>
            </w:tcBorders>
            <w:tcMar>
              <w:bottom w:w="43" w:type="dxa"/>
            </w:tcMar>
            <w:vAlign w:val="center"/>
          </w:tcPr>
          <w:p>
            <w:pPr>
              <w:pStyle w:val="TableContents"/>
              <w:bidi w:val="0"/>
              <w:spacing w:lineRule="atLeast" w:line="180" w:before="0" w:after="0"/>
              <w:jc w:val="center"/>
              <w:rPr/>
            </w:pPr>
            <w:r>
              <w:rPr>
                <w:spacing w:val="-3"/>
              </w:rPr>
              <w:t>Shares of</w:t>
            </w:r>
            <w:r>
              <w:rPr/>
              <w:t xml:space="preserve"> </w:t>
              <w:br/>
            </w:r>
            <w:r>
              <w:rPr>
                <w:spacing w:val="-3"/>
              </w:rPr>
              <w:t>Class A</w:t>
            </w:r>
            <w:r>
              <w:rPr/>
              <w:t xml:space="preserve"> </w:t>
              <w:br/>
            </w:r>
            <w:r>
              <w:rPr>
                <w:spacing w:val="-3"/>
              </w:rPr>
              <w:t>Common</w:t>
            </w:r>
            <w:r>
              <w:rPr/>
              <w:t xml:space="preserve"> </w:t>
              <w:br/>
            </w:r>
            <w:r>
              <w:rPr>
                <w:spacing w:val="-3"/>
              </w:rPr>
              <w:t>Stock</w:t>
            </w:r>
            <w:r>
              <w:rPr/>
              <w:t xml:space="preserve"> </w:t>
              <w:br/>
            </w:r>
            <w:r>
              <w:rPr>
                <w:spacing w:val="-3"/>
              </w:rPr>
              <w:t>Offered in</w:t>
            </w:r>
            <w:r>
              <w:rPr/>
              <w:t xml:space="preserve"> </w:t>
              <w:br/>
            </w:r>
            <w:r>
              <w:rPr>
                <w:spacing w:val="-3"/>
              </w:rPr>
              <w:t>this</w:t>
            </w:r>
            <w:r>
              <w:rPr/>
              <w:t xml:space="preserve"> </w:t>
              <w:br/>
            </w:r>
            <w:r>
              <w:rPr>
                <w:spacing w:val="-3"/>
              </w:rPr>
              <w:t xml:space="preserve">Offering </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48" w:type="dxa"/>
            <w:gridSpan w:val="16"/>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Securities Beneficially Owned After</w:t>
            </w:r>
            <w:r>
              <w:rPr/>
              <w:t xml:space="preserve"> </w:t>
              <w:br/>
            </w:r>
            <w:r>
              <w:rPr>
                <w:spacing w:val="-3"/>
              </w:rPr>
              <w:t>this Offering</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41"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of Selling Stockholder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Class A</w:t>
            </w:r>
            <w:r>
              <w:rPr/>
              <w:t xml:space="preserve"> </w:t>
              <w:br/>
            </w:r>
            <w:r>
              <w:rPr>
                <w:spacing w:val="-3"/>
              </w:rPr>
              <w:t>Common</w:t>
            </w:r>
            <w:r>
              <w:rPr/>
              <w:t xml:space="preserve"> </w:t>
              <w:br/>
            </w:r>
            <w:r>
              <w:rPr>
                <w:spacing w:val="-3"/>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3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Class B</w:t>
            </w:r>
            <w:r>
              <w:rPr/>
              <w:t xml:space="preserve"> </w:t>
              <w:br/>
            </w:r>
            <w:r>
              <w:rPr>
                <w:spacing w:val="-3"/>
              </w:rPr>
              <w:t>Common</w:t>
            </w:r>
            <w:r>
              <w:rPr/>
              <w:t xml:space="preserve"> </w:t>
              <w:br/>
            </w:r>
            <w:r>
              <w:rPr>
                <w:spacing w:val="-3"/>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Percent</w:t>
            </w:r>
            <w:r>
              <w:rPr>
                <w:spacing w:val="-2"/>
                <w:sz w:val="10"/>
              </w:rPr>
              <w:t>(2)</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633" w:type="dxa"/>
            <w:gridSpan w:val="4"/>
            <w:vMerge w:val="continue"/>
            <w:tcBorders>
              <w:bottom w:val="single" w:sz="2" w:space="0" w:color="000000"/>
            </w:tcBorders>
            <w:tcMar>
              <w:bottom w:w="43" w:type="dxa"/>
            </w:tcMar>
            <w:vAlign w:val="center"/>
          </w:tcPr>
          <w:p>
            <w:pPr>
              <w:pStyle w:val="Normal"/>
              <w:bidi w:val="0"/>
              <w:jc w:val="left"/>
              <w:rPr/>
            </w:pPr>
            <w:r>
              <w:rPr/>
            </w:r>
          </w:p>
        </w:tc>
        <w:tc>
          <w:tcPr>
            <w:tcW w:w="109" w:type="dxa"/>
            <w:vMerge w:val="continue"/>
            <w:tcBorders>
              <w:bottom w:val="single" w:sz="2" w:space="0" w:color="FFFFFF"/>
            </w:tcBorders>
            <w:vAlign w:val="center"/>
          </w:tcPr>
          <w:p>
            <w:pPr>
              <w:pStyle w:val="Normal"/>
              <w:bidi w:val="0"/>
              <w:jc w:val="left"/>
              <w:rPr/>
            </w:pPr>
            <w:r>
              <w:rPr/>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Class A</w:t>
            </w:r>
            <w:r>
              <w:rPr/>
              <w:t xml:space="preserve"> </w:t>
              <w:br/>
            </w:r>
            <w:r>
              <w:rPr>
                <w:spacing w:val="-3"/>
              </w:rPr>
              <w:t>Common</w:t>
            </w:r>
            <w:r>
              <w:rPr/>
              <w:t xml:space="preserve"> </w:t>
              <w:br/>
            </w:r>
            <w:r>
              <w:rPr>
                <w:spacing w:val="-3"/>
              </w:rPr>
              <w:t xml:space="preserve">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6"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Class B</w:t>
            </w:r>
            <w:r>
              <w:rPr/>
              <w:t xml:space="preserve"> </w:t>
              <w:br/>
            </w:r>
            <w:r>
              <w:rPr>
                <w:spacing w:val="-3"/>
              </w:rPr>
              <w:t>Common</w:t>
            </w:r>
            <w:r>
              <w:rPr/>
              <w:t xml:space="preserve"> </w:t>
              <w:br/>
            </w:r>
            <w:r>
              <w:rPr>
                <w:spacing w:val="-3"/>
              </w:rPr>
              <w:t>Stock</w:t>
            </w:r>
            <w:r>
              <w:rPr>
                <w:spacing w:val="-2"/>
                <w:sz w:val="10"/>
              </w:rPr>
              <w:t>(3)</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2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Percent</w:t>
            </w:r>
            <w:r>
              <w:rPr>
                <w:spacing w:val="-2"/>
                <w:sz w:val="10"/>
              </w:rPr>
              <w:t>(2)(3)</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41" w:type="dxa"/>
            <w:tcBorders/>
            <w:shd w:fill="CCEEFF" w:val="clear"/>
            <w:tcMar>
              <w:bottom w:w="0" w:type="dxa"/>
            </w:tcMar>
            <w:vAlign w:val="center"/>
          </w:tcPr>
          <w:p>
            <w:pPr>
              <w:pStyle w:val="TableContents"/>
              <w:bidi w:val="0"/>
              <w:spacing w:before="0" w:after="0"/>
              <w:jc w:val="left"/>
              <w:rPr/>
            </w:pPr>
            <w:r>
              <w:rPr>
                <w:spacing w:val="4"/>
              </w:rPr>
              <w:t>Andrew Dax McDavid</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171,767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49,523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49,523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171,767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423"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1" w:type="dxa"/>
            <w:tcBorders/>
            <w:tcMar>
              <w:bottom w:w="0" w:type="dxa"/>
            </w:tcMar>
            <w:vAlign w:val="center"/>
          </w:tcPr>
          <w:p>
            <w:pPr>
              <w:pStyle w:val="TableContents"/>
              <w:bidi w:val="0"/>
              <w:spacing w:before="0" w:after="0"/>
              <w:jc w:val="left"/>
              <w:rPr/>
            </w:pPr>
            <w:r>
              <w:rPr>
                <w:spacing w:val="4"/>
              </w:rPr>
              <w:t>Blake Williams</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55,512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58,159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58,159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55,512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501"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423" w:type="dxa"/>
            <w:tcBorders/>
            <w:tcMar>
              <w:bottom w:w="0" w:type="dxa"/>
            </w:tcMar>
            <w:vAlign w:val="center"/>
          </w:tcPr>
          <w:p>
            <w:pPr>
              <w:pStyle w:val="TableContents"/>
              <w:bidi w:val="0"/>
              <w:spacing w:before="0" w:after="283"/>
              <w:jc w:val="right"/>
              <w:rPr/>
            </w:pPr>
            <w:r>
              <w:rPr/>
              <w:t>*</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1" w:type="dxa"/>
            <w:tcBorders/>
            <w:shd w:fill="CCEEFF" w:val="clear"/>
            <w:tcMar>
              <w:bottom w:w="0" w:type="dxa"/>
            </w:tcMar>
            <w:vAlign w:val="center"/>
          </w:tcPr>
          <w:p>
            <w:pPr>
              <w:pStyle w:val="TableContents"/>
              <w:bidi w:val="0"/>
              <w:spacing w:before="0" w:after="0"/>
              <w:jc w:val="left"/>
              <w:rPr/>
            </w:pPr>
            <w:r>
              <w:rPr>
                <w:spacing w:val="4"/>
              </w:rPr>
              <w:t>Brett S. Riesenfeld</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95,761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18,794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18,794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95,761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423"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1" w:type="dxa"/>
            <w:tcBorders/>
            <w:tcMar>
              <w:bottom w:w="0" w:type="dxa"/>
            </w:tcMar>
            <w:vAlign w:val="center"/>
          </w:tcPr>
          <w:p>
            <w:pPr>
              <w:pStyle w:val="TableContents"/>
              <w:bidi w:val="0"/>
              <w:spacing w:before="0" w:after="0"/>
              <w:jc w:val="left"/>
              <w:rPr/>
            </w:pPr>
            <w:r>
              <w:rPr>
                <w:spacing w:val="4"/>
              </w:rPr>
              <w:t>Britton L. James</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99,201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17,798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17,798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99,201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501"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423" w:type="dxa"/>
            <w:tcBorders/>
            <w:tcMar>
              <w:bottom w:w="0" w:type="dxa"/>
            </w:tcMar>
            <w:vAlign w:val="center"/>
          </w:tcPr>
          <w:p>
            <w:pPr>
              <w:pStyle w:val="TableContents"/>
              <w:bidi w:val="0"/>
              <w:spacing w:before="0" w:after="283"/>
              <w:jc w:val="right"/>
              <w:rPr/>
            </w:pPr>
            <w:r>
              <w:rPr/>
              <w:t>*</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1" w:type="dxa"/>
            <w:tcBorders/>
            <w:shd w:fill="CCEEFF" w:val="clear"/>
            <w:tcMar>
              <w:bottom w:w="0" w:type="dxa"/>
            </w:tcMar>
            <w:vAlign w:val="center"/>
          </w:tcPr>
          <w:p>
            <w:pPr>
              <w:pStyle w:val="TableContents"/>
              <w:bidi w:val="0"/>
              <w:spacing w:before="0" w:after="283"/>
              <w:jc w:val="left"/>
              <w:rPr/>
            </w:pPr>
            <w:r>
              <w:rPr>
                <w:spacing w:val="4"/>
              </w:rPr>
              <w:t>Blackstone</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9,728,421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9,728,421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423"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1" w:type="dxa"/>
            <w:tcBorders/>
            <w:tcMar>
              <w:bottom w:w="0" w:type="dxa"/>
            </w:tcMar>
            <w:vAlign w:val="center"/>
          </w:tcPr>
          <w:p>
            <w:pPr>
              <w:pStyle w:val="TableContents"/>
              <w:bidi w:val="0"/>
              <w:spacing w:before="0" w:after="0"/>
              <w:jc w:val="left"/>
              <w:rPr/>
            </w:pPr>
            <w:r>
              <w:rPr>
                <w:spacing w:val="4"/>
              </w:rPr>
              <w:t>Carrie Osicka</w:t>
            </w:r>
            <w:r>
              <w:rPr>
                <w:spacing w:val="3"/>
                <w:sz w:val="13"/>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126,529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22,919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22,919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126,529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501"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423" w:type="dxa"/>
            <w:tcBorders/>
            <w:tcMar>
              <w:bottom w:w="0" w:type="dxa"/>
            </w:tcMar>
            <w:vAlign w:val="center"/>
          </w:tcPr>
          <w:p>
            <w:pPr>
              <w:pStyle w:val="TableContents"/>
              <w:bidi w:val="0"/>
              <w:spacing w:before="0" w:after="283"/>
              <w:jc w:val="right"/>
              <w:rPr/>
            </w:pPr>
            <w:r>
              <w:rPr/>
              <w:t>*</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1" w:type="dxa"/>
            <w:tcBorders/>
            <w:shd w:fill="CCEEFF" w:val="clear"/>
            <w:tcMar>
              <w:bottom w:w="0" w:type="dxa"/>
            </w:tcMar>
            <w:vAlign w:val="center"/>
          </w:tcPr>
          <w:p>
            <w:pPr>
              <w:pStyle w:val="TableContents"/>
              <w:bidi w:val="0"/>
              <w:spacing w:before="0" w:after="0"/>
              <w:jc w:val="left"/>
              <w:rPr/>
            </w:pPr>
            <w:r>
              <w:rPr>
                <w:spacing w:val="4"/>
              </w:rPr>
              <w:t>Christopher L. Conoscenti</w:t>
            </w:r>
            <w:r>
              <w:rPr>
                <w:spacing w:val="3"/>
                <w:sz w:val="13"/>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365,767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34,871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34,871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365,767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423"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1" w:type="dxa"/>
            <w:tcBorders/>
            <w:tcMar>
              <w:bottom w:w="0" w:type="dxa"/>
            </w:tcMar>
            <w:vAlign w:val="center"/>
          </w:tcPr>
          <w:p>
            <w:pPr>
              <w:pStyle w:val="TableContents"/>
              <w:bidi w:val="0"/>
              <w:spacing w:before="0" w:after="0"/>
              <w:jc w:val="left"/>
              <w:rPr>
                <w:spacing w:val="4"/>
              </w:rPr>
            </w:pPr>
            <w:r>
              <w:rPr>
                <w:spacing w:val="4"/>
              </w:rPr>
              <w:t xml:space="preserve">Craig Charles Langslet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8,000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8,000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501"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423" w:type="dxa"/>
            <w:tcBorders/>
            <w:tcMar>
              <w:bottom w:w="0" w:type="dxa"/>
            </w:tcMar>
            <w:vAlign w:val="center"/>
          </w:tcPr>
          <w:p>
            <w:pPr>
              <w:pStyle w:val="TableContents"/>
              <w:bidi w:val="0"/>
              <w:spacing w:before="0" w:after="283"/>
              <w:jc w:val="right"/>
              <w:rPr/>
            </w:pPr>
            <w:r>
              <w:rPr/>
              <w:t>—</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1" w:type="dxa"/>
            <w:tcBorders/>
            <w:shd w:fill="CCEEFF" w:val="clear"/>
            <w:tcMar>
              <w:bottom w:w="0" w:type="dxa"/>
            </w:tcMar>
            <w:vAlign w:val="center"/>
          </w:tcPr>
          <w:p>
            <w:pPr>
              <w:pStyle w:val="TableContents"/>
              <w:bidi w:val="0"/>
              <w:spacing w:before="0" w:after="0"/>
              <w:jc w:val="left"/>
              <w:rPr>
                <w:spacing w:val="4"/>
              </w:rPr>
            </w:pPr>
            <w:r>
              <w:rPr>
                <w:spacing w:val="4"/>
              </w:rPr>
              <w:t xml:space="preserve">Debra M. Brandes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5,448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6,159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6,159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5,448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423"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1" w:type="dxa"/>
            <w:tcBorders/>
            <w:tcMar>
              <w:bottom w:w="0" w:type="dxa"/>
            </w:tcMar>
            <w:vAlign w:val="center"/>
          </w:tcPr>
          <w:p>
            <w:pPr>
              <w:pStyle w:val="TableContents"/>
              <w:bidi w:val="0"/>
              <w:spacing w:before="0" w:after="283"/>
              <w:jc w:val="left"/>
              <w:rPr/>
            </w:pPr>
            <w:r>
              <w:rPr>
                <w:spacing w:val="4"/>
              </w:rPr>
              <w:t>Diamondback</w:t>
            </w:r>
            <w:r>
              <w:rPr>
                <w:spacing w:val="3"/>
                <w:sz w:val="13"/>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155,058,093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47.8%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155,058,093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501"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423" w:type="dxa"/>
            <w:tcBorders/>
            <w:tcMar>
              <w:bottom w:w="0" w:type="dxa"/>
            </w:tcMar>
            <w:vAlign w:val="center"/>
          </w:tcPr>
          <w:p>
            <w:pPr>
              <w:pStyle w:val="TableContents"/>
              <w:bidi w:val="0"/>
              <w:spacing w:before="0" w:after="283"/>
              <w:jc w:val="right"/>
              <w:rPr/>
            </w:pPr>
            <w:r>
              <w:rPr/>
              <w:t>—</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1" w:type="dxa"/>
            <w:tcBorders/>
            <w:shd w:fill="CCEEFF" w:val="clear"/>
            <w:tcMar>
              <w:bottom w:w="0" w:type="dxa"/>
            </w:tcMar>
            <w:vAlign w:val="center"/>
          </w:tcPr>
          <w:p>
            <w:pPr>
              <w:pStyle w:val="TableContents"/>
              <w:bidi w:val="0"/>
              <w:spacing w:before="0" w:after="0"/>
              <w:ind w:left="200" w:right="0" w:hanging="200"/>
              <w:jc w:val="left"/>
              <w:rPr/>
            </w:pPr>
            <w:r>
              <w:rPr>
                <w:spacing w:val="4"/>
              </w:rPr>
              <w:t>EnCap Energy Capital Fund X, L.P.</w:t>
            </w:r>
            <w:r>
              <w:rPr>
                <w:spacing w:val="3"/>
                <w:szCs w:val="13"/>
              </w:rPr>
              <w:t>﻿</w:t>
            </w:r>
            <w:r>
              <w:rPr>
                <w:spacing w:val="3"/>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1,968,244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1,968,244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423"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1" w:type="dxa"/>
            <w:tcBorders/>
            <w:tcMar>
              <w:bottom w:w="0" w:type="dxa"/>
            </w:tcMar>
            <w:vAlign w:val="center"/>
          </w:tcPr>
          <w:p>
            <w:pPr>
              <w:pStyle w:val="TableContents"/>
              <w:bidi w:val="0"/>
              <w:spacing w:before="0" w:after="0"/>
              <w:jc w:val="left"/>
              <w:rPr/>
            </w:pPr>
            <w:r>
              <w:rPr>
                <w:spacing w:val="4"/>
              </w:rPr>
              <w:t>Good News Minerals, LLC</w:t>
            </w:r>
            <w:r>
              <w:rPr>
                <w:spacing w:val="3"/>
                <w:sz w:val="13"/>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97,100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97,100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501"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423" w:type="dxa"/>
            <w:tcBorders/>
            <w:tcMar>
              <w:bottom w:w="0" w:type="dxa"/>
            </w:tcMar>
            <w:vAlign w:val="center"/>
          </w:tcPr>
          <w:p>
            <w:pPr>
              <w:pStyle w:val="TableContents"/>
              <w:bidi w:val="0"/>
              <w:spacing w:before="0" w:after="283"/>
              <w:jc w:val="right"/>
              <w:rPr/>
            </w:pPr>
            <w:r>
              <w:rPr/>
              <w:t>—</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1" w:type="dxa"/>
            <w:tcBorders/>
            <w:shd w:fill="CCEEFF" w:val="clear"/>
            <w:tcMar>
              <w:bottom w:w="0" w:type="dxa"/>
            </w:tcMar>
            <w:vAlign w:val="center"/>
          </w:tcPr>
          <w:p>
            <w:pPr>
              <w:pStyle w:val="TableContents"/>
              <w:bidi w:val="0"/>
              <w:spacing w:before="0" w:after="0"/>
              <w:jc w:val="left"/>
              <w:rPr/>
            </w:pPr>
            <w:r>
              <w:rPr>
                <w:spacing w:val="4"/>
              </w:rPr>
              <w:t>Ivan Gaidarov</w:t>
            </w:r>
            <w:r>
              <w:rPr>
                <w:spacing w:val="3"/>
                <w:sz w:val="13"/>
              </w:rPr>
              <w:t>(14)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3,410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12,048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12,048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3,410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423"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1" w:type="dxa"/>
            <w:tcBorders/>
            <w:tcMar>
              <w:bottom w:w="0" w:type="dxa"/>
            </w:tcMar>
            <w:vAlign w:val="center"/>
          </w:tcPr>
          <w:p>
            <w:pPr>
              <w:pStyle w:val="TableContents"/>
              <w:bidi w:val="0"/>
              <w:spacing w:before="0" w:after="0"/>
              <w:jc w:val="left"/>
              <w:rPr/>
            </w:pPr>
            <w:r>
              <w:rPr>
                <w:spacing w:val="4"/>
              </w:rPr>
              <w:t>Jarret J. Marcoux</w:t>
            </w:r>
            <w:r>
              <w:rPr>
                <w:spacing w:val="3"/>
                <w:sz w:val="13"/>
              </w:rPr>
              <w:t>(15)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108,131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18,804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18,804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108,131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501"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423" w:type="dxa"/>
            <w:tcBorders/>
            <w:tcMar>
              <w:bottom w:w="0" w:type="dxa"/>
            </w:tcMar>
            <w:vAlign w:val="center"/>
          </w:tcPr>
          <w:p>
            <w:pPr>
              <w:pStyle w:val="TableContents"/>
              <w:bidi w:val="0"/>
              <w:spacing w:before="0" w:after="283"/>
              <w:jc w:val="right"/>
              <w:rPr/>
            </w:pPr>
            <w:r>
              <w:rPr/>
              <w:t>*</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1" w:type="dxa"/>
            <w:tcBorders/>
            <w:shd w:fill="CCEEFF" w:val="clear"/>
            <w:tcMar>
              <w:bottom w:w="0" w:type="dxa"/>
            </w:tcMar>
            <w:vAlign w:val="center"/>
          </w:tcPr>
          <w:p>
            <w:pPr>
              <w:pStyle w:val="TableContents"/>
              <w:bidi w:val="0"/>
              <w:spacing w:before="0" w:after="283"/>
              <w:jc w:val="left"/>
              <w:rPr/>
            </w:pPr>
            <w:r>
              <w:rPr>
                <w:spacing w:val="4"/>
              </w:rPr>
              <w:t>Kimmeridge</w:t>
            </w:r>
            <w:r>
              <w:rPr>
                <w:spacing w:val="3"/>
                <w:sz w:val="13"/>
              </w:rPr>
              <w:t>(16)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17,718,574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17,718,574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423"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1" w:type="dxa"/>
            <w:tcBorders/>
            <w:tcMar>
              <w:bottom w:w="0" w:type="dxa"/>
            </w:tcMar>
            <w:vAlign w:val="center"/>
          </w:tcPr>
          <w:p>
            <w:pPr>
              <w:pStyle w:val="TableContents"/>
              <w:bidi w:val="0"/>
              <w:spacing w:before="0" w:after="0"/>
              <w:jc w:val="left"/>
              <w:rPr/>
            </w:pPr>
            <w:r>
              <w:rPr>
                <w:spacing w:val="4"/>
              </w:rPr>
              <w:t>NGU Management LLC</w:t>
            </w:r>
            <w:r>
              <w:rPr>
                <w:spacing w:val="3"/>
                <w:sz w:val="13"/>
              </w:rPr>
              <w:t>(17)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432,053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432,053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501"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423" w:type="dxa"/>
            <w:tcBorders/>
            <w:tcMar>
              <w:bottom w:w="0" w:type="dxa"/>
            </w:tcMar>
            <w:vAlign w:val="center"/>
          </w:tcPr>
          <w:p>
            <w:pPr>
              <w:pStyle w:val="TableContents"/>
              <w:bidi w:val="0"/>
              <w:spacing w:before="0" w:after="283"/>
              <w:jc w:val="right"/>
              <w:rPr/>
            </w:pPr>
            <w:r>
              <w:rPr/>
              <w:t>—</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1" w:type="dxa"/>
            <w:tcBorders/>
            <w:shd w:fill="CCEEFF" w:val="clear"/>
            <w:tcMar>
              <w:bottom w:w="0" w:type="dxa"/>
            </w:tcMar>
            <w:vAlign w:val="center"/>
          </w:tcPr>
          <w:p>
            <w:pPr>
              <w:pStyle w:val="TableContents"/>
              <w:bidi w:val="0"/>
              <w:spacing w:before="0" w:after="283"/>
              <w:jc w:val="left"/>
              <w:rPr/>
            </w:pPr>
            <w:r>
              <w:rPr>
                <w:spacing w:val="4"/>
              </w:rPr>
              <w:t>Oaktree</w:t>
            </w:r>
            <w:r>
              <w:rPr>
                <w:spacing w:val="3"/>
                <w:sz w:val="13"/>
              </w:rPr>
              <w:t>(18)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5,064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7,497,870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7,497,870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5,064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423"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1" w:type="dxa"/>
            <w:tcBorders/>
            <w:tcMar>
              <w:bottom w:w="0" w:type="dxa"/>
            </w:tcMar>
            <w:vAlign w:val="center"/>
          </w:tcPr>
          <w:p>
            <w:pPr>
              <w:pStyle w:val="TableContents"/>
              <w:bidi w:val="0"/>
              <w:spacing w:before="0" w:after="0"/>
              <w:jc w:val="left"/>
              <w:rPr>
                <w:spacing w:val="4"/>
              </w:rPr>
            </w:pPr>
            <w:r>
              <w:rPr>
                <w:spacing w:val="4"/>
              </w:rPr>
              <w:t xml:space="preserve">Randy Newcomer, Jr.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35,172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35,172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501"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423" w:type="dxa"/>
            <w:tcBorders/>
            <w:tcMar>
              <w:bottom w:w="0" w:type="dxa"/>
            </w:tcMar>
            <w:vAlign w:val="center"/>
          </w:tcPr>
          <w:p>
            <w:pPr>
              <w:pStyle w:val="TableContents"/>
              <w:bidi w:val="0"/>
              <w:spacing w:before="0" w:after="283"/>
              <w:jc w:val="right"/>
              <w:rPr/>
            </w:pPr>
            <w:r>
              <w:rPr/>
              <w:t>—</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1" w:type="dxa"/>
            <w:tcBorders/>
            <w:shd w:fill="CCEEFF" w:val="clear"/>
            <w:tcMar>
              <w:bottom w:w="0" w:type="dxa"/>
            </w:tcMar>
            <w:vAlign w:val="center"/>
          </w:tcPr>
          <w:p>
            <w:pPr>
              <w:pStyle w:val="TableContents"/>
              <w:bidi w:val="0"/>
              <w:spacing w:before="0" w:after="0"/>
              <w:jc w:val="left"/>
              <w:rPr>
                <w:spacing w:val="4"/>
              </w:rPr>
            </w:pPr>
            <w:r>
              <w:rPr>
                <w:spacing w:val="4"/>
              </w:rPr>
              <w:t xml:space="preserve">Scott Rice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16,214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16,214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423"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1" w:type="dxa"/>
            <w:tcBorders/>
            <w:tcMar>
              <w:bottom w:w="0" w:type="dxa"/>
            </w:tcMar>
            <w:vAlign w:val="center"/>
          </w:tcPr>
          <w:p>
            <w:pPr>
              <w:pStyle w:val="TableContents"/>
              <w:bidi w:val="0"/>
              <w:spacing w:before="0" w:after="0"/>
              <w:ind w:left="200" w:right="0" w:hanging="200"/>
              <w:jc w:val="left"/>
              <w:rPr/>
            </w:pPr>
            <w:r>
              <w:rPr>
                <w:spacing w:val="4"/>
              </w:rPr>
              <w:t>Sequoia Legacy Investments, LP</w:t>
            </w:r>
            <w:r>
              <w:rPr>
                <w:spacing w:val="3"/>
                <w:szCs w:val="13"/>
              </w:rPr>
              <w:t>﻿</w:t>
            </w:r>
            <w:r>
              <w:rPr>
                <w:spacing w:val="3"/>
                <w:sz w:val="13"/>
              </w:rPr>
              <w:t>(19)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53,152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53,152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501"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423" w:type="dxa"/>
            <w:tcBorders/>
            <w:tcMar>
              <w:bottom w:w="0" w:type="dxa"/>
            </w:tcMar>
            <w:vAlign w:val="center"/>
          </w:tcPr>
          <w:p>
            <w:pPr>
              <w:pStyle w:val="TableContents"/>
              <w:bidi w:val="0"/>
              <w:spacing w:before="0" w:after="283"/>
              <w:jc w:val="right"/>
              <w:rPr/>
            </w:pPr>
            <w:r>
              <w:rPr/>
              <w:t>—</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1" w:type="dxa"/>
            <w:tcBorders/>
            <w:shd w:fill="CCEEFF" w:val="clear"/>
            <w:tcMar>
              <w:bottom w:w="0" w:type="dxa"/>
            </w:tcMar>
            <w:vAlign w:val="center"/>
          </w:tcPr>
          <w:p>
            <w:pPr>
              <w:pStyle w:val="TableContents"/>
              <w:bidi w:val="0"/>
              <w:spacing w:before="0" w:after="0"/>
              <w:ind w:left="200" w:right="0" w:hanging="200"/>
              <w:jc w:val="left"/>
              <w:rPr/>
            </w:pPr>
            <w:r>
              <w:rPr>
                <w:spacing w:val="4"/>
              </w:rPr>
              <w:t>Silva and Terry Resources &amp; Minerals, LP</w:t>
            </w:r>
            <w:r>
              <w:rPr>
                <w:spacing w:val="3"/>
                <w:szCs w:val="13"/>
              </w:rPr>
              <w:t>﻿</w:t>
            </w:r>
            <w:r>
              <w:rPr>
                <w:spacing w:val="3"/>
                <w:sz w:val="13"/>
              </w:rPr>
              <w:t>(20)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126,359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126,359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423"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41" w:type="dxa"/>
            <w:tcBorders/>
            <w:tcMar>
              <w:bottom w:w="0" w:type="dxa"/>
            </w:tcMar>
            <w:vAlign w:val="center"/>
          </w:tcPr>
          <w:p>
            <w:pPr>
              <w:pStyle w:val="TableContents"/>
              <w:bidi w:val="0"/>
              <w:spacing w:before="0" w:after="0"/>
              <w:jc w:val="left"/>
              <w:rPr>
                <w:spacing w:val="4"/>
              </w:rPr>
            </w:pPr>
            <w:r>
              <w:rPr>
                <w:spacing w:val="4"/>
              </w:rPr>
              <w:t xml:space="preserve">Thomas Galloway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703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703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501" w:type="dxa"/>
            <w:tcBorders/>
            <w:tcMar>
              <w:bottom w:w="0" w:type="dxa"/>
            </w:tcMar>
            <w:vAlign w:val="center"/>
          </w:tcPr>
          <w:p>
            <w:pPr>
              <w:pStyle w:val="TableContents"/>
              <w:bidi w:val="0"/>
              <w:spacing w:before="0" w:after="283"/>
              <w:jc w:val="right"/>
              <w:rPr/>
            </w:pPr>
            <w:r>
              <w:rPr/>
              <w:t>—</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left"/>
              <w:rPr/>
            </w:pPr>
            <w:r>
              <w:rPr/>
              <w:t>​</w:t>
            </w:r>
          </w:p>
        </w:tc>
        <w:tc>
          <w:tcPr>
            <w:tcW w:w="133" w:type="dxa"/>
            <w:tcBorders/>
            <w:tcMar>
              <w:bottom w:w="0" w:type="dxa"/>
            </w:tcMar>
            <w:vAlign w:val="center"/>
          </w:tcPr>
          <w:p>
            <w:pPr>
              <w:pStyle w:val="TableContents"/>
              <w:bidi w:val="0"/>
              <w:spacing w:before="0" w:after="283"/>
              <w:jc w:val="right"/>
              <w:rPr/>
            </w:pPr>
            <w:r>
              <w:rPr/>
              <w:t>​</w:t>
            </w:r>
          </w:p>
        </w:tc>
        <w:tc>
          <w:tcPr>
            <w:tcW w:w="423" w:type="dxa"/>
            <w:tcBorders/>
            <w:tcMar>
              <w:bottom w:w="0" w:type="dxa"/>
            </w:tcMar>
            <w:vAlign w:val="center"/>
          </w:tcPr>
          <w:p>
            <w:pPr>
              <w:pStyle w:val="TableContents"/>
              <w:bidi w:val="0"/>
              <w:spacing w:before="0" w:after="283"/>
              <w:jc w:val="right"/>
              <w:rPr/>
            </w:pPr>
            <w:r>
              <w:rPr/>
              <w:t>—</w:t>
            </w:r>
          </w:p>
        </w:tc>
        <w:tc>
          <w:tcPr>
            <w:tcW w:w="13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41"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Tumbleweed Royalty IV, </w:t>
            </w:r>
            <w:r>
              <w:rPr/>
              <w:br/>
            </w:r>
            <w:r>
              <w:rPr>
                <w:spacing w:val="4"/>
              </w:rPr>
              <w:t>LLC</w:t>
            </w:r>
            <w:r>
              <w:rPr>
                <w:spacing w:val="3"/>
                <w:szCs w:val="13"/>
              </w:rPr>
              <w:t>﻿</w:t>
            </w:r>
            <w:r>
              <w:rPr>
                <w:spacing w:val="3"/>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10,093,670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26" w:type="dxa"/>
            <w:tcBorders/>
            <w:shd w:fill="CCEEFF" w:val="clear"/>
            <w:tcMar>
              <w:bottom w:w="0" w:type="dxa"/>
            </w:tcMar>
            <w:vAlign w:val="center"/>
          </w:tcPr>
          <w:p>
            <w:pPr>
              <w:pStyle w:val="TableContents"/>
              <w:bidi w:val="0"/>
              <w:spacing w:before="0" w:after="283"/>
              <w:jc w:val="right"/>
              <w:rPr/>
            </w:pPr>
            <w:r>
              <w:rPr/>
              <w:t>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10,093,670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501"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left"/>
              <w:rPr/>
            </w:pPr>
            <w:r>
              <w:rPr/>
              <w:t>​</w:t>
            </w:r>
          </w:p>
        </w:tc>
        <w:tc>
          <w:tcPr>
            <w:tcW w:w="133" w:type="dxa"/>
            <w:tcBorders/>
            <w:shd w:fill="CCEEFF" w:val="clear"/>
            <w:tcMar>
              <w:bottom w:w="0" w:type="dxa"/>
            </w:tcMar>
            <w:vAlign w:val="center"/>
          </w:tcPr>
          <w:p>
            <w:pPr>
              <w:pStyle w:val="TableContents"/>
              <w:bidi w:val="0"/>
              <w:spacing w:before="0" w:after="283"/>
              <w:jc w:val="right"/>
              <w:rPr/>
            </w:pPr>
            <w:r>
              <w:rPr/>
              <w:t>​</w:t>
            </w:r>
          </w:p>
        </w:tc>
        <w:tc>
          <w:tcPr>
            <w:tcW w:w="423" w:type="dxa"/>
            <w:tcBorders/>
            <w:shd w:fill="CCEEFF" w:val="clear"/>
            <w:tcMar>
              <w:bottom w:w="0" w:type="dxa"/>
            </w:tcMar>
            <w:vAlign w:val="center"/>
          </w:tcPr>
          <w:p>
            <w:pPr>
              <w:pStyle w:val="TableContents"/>
              <w:bidi w:val="0"/>
              <w:spacing w:before="0" w:after="283"/>
              <w:jc w:val="righ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1%. </w:t>
      </w:r>
      <w:r>
        <mc:AlternateContent>
          <mc:Choice Requires="wps">
            <w:drawing>
              <wp:anchor behindDoc="0" distT="83820" distB="0" distL="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5"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table, a person or group of persons is deemed to have “beneficial ownership” of any shares which such person has the right to acquire within 60 days. </w:t>
      </w:r>
      <w:r>
        <mc:AlternateContent>
          <mc:Choice Requires="wps">
            <w:drawing>
              <wp:anchor behindDoc="0" distT="3302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6"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Percentage of beneficial ownership is based upon 169,318,801 shares of our Class A common stock outstanding as of August 25, 2025. For purposes of computing the percentage of outstanding shares of our Class A common stock held by each person or group of persons named above, any security which such person or group of persons has the right to acquire within 60 days is deemed to be outstanding for the purpose of computing the percentage ownership for such person or persons, but is not deemed to be outstanding for the purpose of computing the percentage ownership of any other person. As a result, the denominator used in calculating the beneficial ownership among our stockholders may differ. As of August 25, 2025, there were a total of 193,078,341 shares of our Class B common stock outstanding. The shares of our Class B common stock held by the holders of our Class B common stock are exchangeable, together with the equal number of their Opco Units, for the same number of shares of our Class A common stock and, as a result, are deemed outstanding for the purpose of computing beneficial ownership of such holder, however, are not deemed outstanding for the purpose of computing the percentage ownership of each other person. </w:t>
      </w:r>
      <w:r>
        <mc:AlternateContent>
          <mc:Choice Requires="wps">
            <w:drawing>
              <wp:anchor behindDoc="0" distT="3302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7"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Assumes each selling stockholder disposes of all of its shares of Class A common stock covered by this prospectus and does not acquire beneficial ownership of any additional shares of our Class A common stock. </w: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254000" cy="350520"/>
                <wp:effectExtent l="0" t="0" r="0" b="0"/>
                <wp:wrapSquare wrapText="right"/>
                <wp:docPr id="98"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Dax McDavid previously served as Senior Vice President of Exploration of Brigham Minerals, Inc. (“Brigham”), an entity acquired by Sitio, from April 2022 until Brigham’s acquisition by Sitio, and then as Executive Vice President of Corporate Development of Sitio until he ceased to hold that position in connection with the Sitio Acquisition. </w:t>
      </w:r>
      <w:r>
        <mc:AlternateContent>
          <mc:Choice Requires="wps">
            <w:drawing>
              <wp:anchor behindDoc="0" distT="4826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9"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Blake Williams previously served as the Chief Financial Officer of Brigham, an entity acquired by Sitio, from June 2017 until he ceased to hold that position in connection with Brigham’s acquisition by Sitio in December 2022. </w:t>
      </w:r>
      <w:r>
        <mc:AlternateContent>
          <mc:Choice Requires="wps">
            <w:drawing>
              <wp:anchor behindDoc="0" distT="4826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100"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Brett S. Riesenfeld previously served as Executive Vice President, General Counsel and Secretary of Sitio from June 2022 until he ceased to hold that position in connection with the Sitio Acquisition. </w:t>
      </w:r>
      <w:r>
        <mc:AlternateContent>
          <mc:Choice Requires="wps">
            <w:drawing>
              <wp:anchor behindDoc="0" distT="48260" distB="0" distL="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101"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Britton L. James previously served as Executive Vice President of Land of Sitio, from December 2018 until he ceased to hold that position in connection with the Sitio Acquisition. </w:t>
      </w:r>
      <w:r>
        <mc:AlternateContent>
          <mc:Choice Requires="wps">
            <w:drawing>
              <wp:anchor behindDoc="0" distT="48260" distB="0" distL="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02"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Includes (i) 4,193,616 Opco Units (along with a corresponding number of shares of our Class B common stock) held by BX Royal Aggregator LP and (ii) 5,534,805 Opco Units (along with a corresponding number of shares of our Class B common stock) held by RRR Aggregator LLC. BCP VI/</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BEP Holdings Manager L.L.C. is the general partner of BX Royal Aggregator LP. Blackstone Energy Management Associates L.L.C. and Blackstone Management Associates VI L.L.C. are the managing members of BCP VI/BEP Holdings Manager L.L.C. Blackstone EMA L.L.C. is the sole member of Blackstone Energy Management Associates L.L.C. BMA VI L.L.C. is the sole member of Blackstone Management Associates VI L.L.C. BX Primexx Topco LLC is the sole member of RRR Aggregator LLC. BCP VII/BEP II Holdings Manager L.L.C. is the managing member of BX Primexx Topco LLC. Blackstone Energy Management Associates II L.L.C. and Blackstone Management Associates VII L.L.C. are the managing members of BCP VII/BEP II Holdings Manager L.L.C. Blackstone EMA II L.L.C. is the sole member of Blackstone Energy Management Associates II L.L.C. BMA VII L.L.C. is the sole member of Blackstone Management Associates VII L.L.C. Blackstone Holdings III L.P. is the managing member of each of BMA VI L.L.C., Blackstone EMA L.L.C., BMA VII L.L.C. and Blackstone EMA II L.L.C. Blackstone Holdings III GP L.P. is the general partner of Blackstone Holdings III L.P. Blackstone Holdings III GP Management L.L.C. is the general partner of Blackstone Holdings III GP L.P. Blackstone Inc. (“Blackstone”) is the sole member of Blackstone Holdings III GP Management L.L.C. The sole holder of the Series II preferred stock of Blackstone is Blackstone Group Management L.L.C. Blackstone Group Management L.L.C. is wholly owned by Blackstone’s senior managing directors and controlled by its founder, Stephen A. Schwarzman. The address of each of the persons identified in this note is c/o Blackstone Inc., 345 Park Avenue, New York, NY 10154. </w:t>
      </w:r>
      <w:r>
        <mc:AlternateContent>
          <mc:Choice Requires="wps">
            <w:drawing>
              <wp:anchor behindDoc="0" distT="48260" distB="0" distL="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3"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Carrie Osicka previously served as Chief Financial Officer of Sitio, from April 2019 until she ceased to hold that position in connection with the Sitio Acquisition. </w:t>
      </w:r>
      <w:r>
        <mc:AlternateContent>
          <mc:Choice Requires="wps">
            <w:drawing>
              <wp:anchor behindDoc="0" distT="4953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4"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Christopher L. Conoscenti previously served as Chief Executive Officer and a director of Sitio, from March 2019 and June 2022, respectively, until he ceased to hold those positions in connection with the Sitio Acquisition. </w:t>
      </w:r>
      <w:r>
        <mc:AlternateContent>
          <mc:Choice Requires="wps">
            <w:drawing>
              <wp:anchor behindDoc="0" distT="49530" distB="0" distL="0" distR="0" simplePos="0" locked="0" layoutInCell="1" allowOverlap="1" relativeHeight="106">
                <wp:simplePos x="0" y="0"/>
                <wp:positionH relativeFrom="column">
                  <wp:align>left</wp:align>
                </wp:positionH>
                <wp:positionV relativeFrom="line">
                  <wp:align>top</wp:align>
                </wp:positionV>
                <wp:extent cx="254000" cy="525780"/>
                <wp:effectExtent l="0" t="0" r="0" b="0"/>
                <wp:wrapSquare wrapText="right"/>
                <wp:docPr id="105" name="Frame10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Diamondback is a publicly traded company, and Diamondback E&amp;P and Endeavor are wholly owned subsidiaries of Diamondback. The address for each of Diamondback, Diamondback E&amp;P and Endeavor is 500 West Texas, Suite 100, Midland, Texas 79701. The number of securities shown as beneficially owned by Diamondback consists of (i) 77,364,925 Opco Units (along with a corresponding number of shares of our Class B common stock) held by Diamondback, (ii) 8,066,528 Opco Units (along with a corresponding number of shares of our Class B common stock) held by Diamondback E&amp;P and (iii) 69,626,640 Opco Units (along with a corresponding number of shares of our Class B common stock) held by Endeavor. </w:t>
      </w:r>
      <w:r>
        <mc:AlternateContent>
          <mc:Choice Requires="wps">
            <w:drawing>
              <wp:anchor behindDoc="0" distT="49530" distB="0" distL="0" distR="0" simplePos="0" locked="0" layoutInCell="1" allowOverlap="1" relativeHeight="107">
                <wp:simplePos x="0" y="0"/>
                <wp:positionH relativeFrom="column">
                  <wp:align>left</wp:align>
                </wp:positionH>
                <wp:positionV relativeFrom="line">
                  <wp:align>top</wp:align>
                </wp:positionV>
                <wp:extent cx="254000" cy="525780"/>
                <wp:effectExtent l="0" t="0" r="0" b="0"/>
                <wp:wrapSquare wrapText="right"/>
                <wp:docPr id="106" name="Frame10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10,093,670 Opco Units owned directly by TWR IV and 1,968,244 Opco Units owned directly by EnCap Fund X. EnCap Partners GP, LLC (“EnCap Partners GP”) is the sole general partner of EnCap Partners, which is the managing member of EnCap Investments Holdings, LLC (“EnCap Holdings”), which is the sole member of EnCap Investments GP, L.L.C. (“EnCap Investments GP”), which is the sole general partner of EnCap Investments L.P. (“EnCap Investments LP”). EnCap </w:t>
      </w:r>
      <w:r>
        <mc:AlternateContent>
          <mc:Choice Requires="wps">
            <w:drawing>
              <wp:anchor behindDoc="0" distT="48260" distB="0" distL="0" distR="0" simplePos="0" locked="0" layoutInCell="1" allowOverlap="1" relativeHeight="108">
                <wp:simplePos x="0" y="0"/>
                <wp:positionH relativeFrom="column">
                  <wp:align>left</wp:align>
                </wp:positionH>
                <wp:positionV relativeFrom="line">
                  <wp:align>top</wp:align>
                </wp:positionV>
                <wp:extent cx="254000" cy="525780"/>
                <wp:effectExtent l="0" t="0" r="0" b="0"/>
                <wp:wrapSquare wrapText="right"/>
                <wp:docPr id="107" name="Frame10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Investments LP is the sole member of EnCap Equity Fund XI GP, LLC (“EnCap Fund XI GP”), which is the general partner of EnCap Equity Fund XI GP, L.P. (“EnCap Fund XI LP”), which is the sole general partner of EnCap Fund XI, which is the managing member of TWR IV. EnCap Investments LP is the general partner of EnCap Equity Fund X GP, L.P. (“EnCap Fund X GP”), which is the general partner of EnCap Fund X. Therefore, EnCap Partners GP, EnCap Partners, EnCap Holdings, EnCap Investments GP, EnCap Investments LP and EnCap Fund XI GP may be deemed to beneficially own securities owned by EnCap Fund XI and TWR IV. EnCap Partners GP, EnCap Partners, EnCap Holdings, EnCap Investments GP, EnCap Investments LP and EnCap Fund X GP may be deemed to beneficially own securities owned by EnCap Fund X. EnCap Partners GP, EnCap Partners, EnCap Holdings, EnCap Investments GP, EnCap Investments LP, EnCap Fund XI GP LLC, EnCap Fund XI GP and EnCap Fund X GP disclaim beneficial ownership of the securities owned by EnCap Fund XI and EnCap Fund X, as applicable, except to the extent of their respective pecuniary interest therein. The address for EnCap entities is 9651 Katy Freeway, Suite 600, Houston, Texas 77024. </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William Crump is the manager of Good News Minerals, LLC. The address of both the entity and person identified in this note is PO Box 50820, Midland, Texas 79710. </w:t>
      </w:r>
      <w:r>
        <mc:AlternateContent>
          <mc:Choice Requires="wps">
            <w:drawing>
              <wp:anchor behindDoc="0" distT="48260" distB="0" distL="0" distR="0" simplePos="0" locked="0" layoutInCell="1" allowOverlap="1" relativeHeight="109">
                <wp:simplePos x="0" y="0"/>
                <wp:positionH relativeFrom="column">
                  <wp:align>left</wp:align>
                </wp:positionH>
                <wp:positionV relativeFrom="line">
                  <wp:align>top</wp:align>
                </wp:positionV>
                <wp:extent cx="254000" cy="525780"/>
                <wp:effectExtent l="0" t="0" r="0" b="0"/>
                <wp:wrapSquare wrapText="right"/>
                <wp:docPr id="108" name="Frame10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January 1, 2022 to December 29, 2022, Ivan Gaidarov served as the Vice President and Chief Accounting Officer of Brigham. </w:t>
      </w:r>
      <w:r>
        <mc:AlternateContent>
          <mc:Choice Requires="wps">
            <w:drawing>
              <wp:anchor behindDoc="0" distT="48260" distB="0" distL="0" distR="0" simplePos="0" locked="0" layoutInCell="1" allowOverlap="1" relativeHeight="110">
                <wp:simplePos x="0" y="0"/>
                <wp:positionH relativeFrom="column">
                  <wp:align>left</wp:align>
                </wp:positionH>
                <wp:positionV relativeFrom="line">
                  <wp:align>top</wp:align>
                </wp:positionV>
                <wp:extent cx="254000" cy="525780"/>
                <wp:effectExtent l="0" t="0" r="0" b="0"/>
                <wp:wrapSquare wrapText="right"/>
                <wp:docPr id="109" name="Frame10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Jarret J. Marcoux previously served as Executive Vice President, Engineering and Acquisitions of Sitio from June 2022 through December 2023, and then as Executive Vice President, Operations of Sitio, until he ceased to hold that position in connection with the Sitio Acquisition. </w:t>
      </w:r>
      <w:r>
        <mc:AlternateContent>
          <mc:Choice Requires="wps">
            <w:drawing>
              <wp:anchor behindDoc="0" distT="48260" distB="0" distL="0" distR="0" simplePos="0" locked="0" layoutInCell="1" allowOverlap="1" relativeHeight="111">
                <wp:simplePos x="0" y="0"/>
                <wp:positionH relativeFrom="column">
                  <wp:align>left</wp:align>
                </wp:positionH>
                <wp:positionV relativeFrom="line">
                  <wp:align>top</wp:align>
                </wp:positionV>
                <wp:extent cx="254000" cy="525780"/>
                <wp:effectExtent l="0" t="0" r="0" b="0"/>
                <wp:wrapSquare wrapText="right"/>
                <wp:docPr id="110" name="Frame11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15,680,938 Opco Units (along with a corresponding number of shares of our Class B common stock) held by KMF DPM HoldCo, LLC and (ii) 2,037,636 Opco Units (along with a corresponding number of shares of our Class B common stock) held by Chambers DPM HoldCo, LLC. Kimmeridge Energy Management Company, LLC, a Delaware limited liability company (“Kimmeridge”), is the investment adviser to the ultimate parent company of KMF DPM HoldCo, LLC and Chambers DPM HoldCo, LLC. Kimmeridge is managed by a board of managers consisting of Benjamin Dell, Henry Makansi, Neil McMahon, Noam Lockshin, Alexander Inkster, Neda Jafar and Emily Mills. The address of each of the foregoing is 15 Little West 12th Street, 4th Floor, New York, NY 10014. </w:t>
      </w:r>
      <w:r>
        <mc:AlternateContent>
          <mc:Choice Requires="wps">
            <w:drawing>
              <wp:anchor behindDoc="0" distT="49530" distB="0" distL="0" distR="0" simplePos="0" locked="0" layoutInCell="1" allowOverlap="1" relativeHeight="112">
                <wp:simplePos x="0" y="0"/>
                <wp:positionH relativeFrom="column">
                  <wp:align>left</wp:align>
                </wp:positionH>
                <wp:positionV relativeFrom="line">
                  <wp:align>top</wp:align>
                </wp:positionV>
                <wp:extent cx="254000" cy="525780"/>
                <wp:effectExtent l="0" t="0" r="0" b="0"/>
                <wp:wrapSquare wrapText="right"/>
                <wp:docPr id="111" name="Frame11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NGU Management LLC is controlled by four managers. The address of NGU Management LLC is 400 N. Marienfeld Street, Midland, Texas 79701. </w:t>
      </w:r>
      <w:r>
        <mc:AlternateContent>
          <mc:Choice Requires="wps">
            <w:drawing>
              <wp:anchor behindDoc="0" distT="49530" distB="0" distL="0" distR="0" simplePos="0" locked="0" layoutInCell="1" allowOverlap="1" relativeHeight="113">
                <wp:simplePos x="0" y="0"/>
                <wp:positionH relativeFrom="column">
                  <wp:align>left</wp:align>
                </wp:positionH>
                <wp:positionV relativeFrom="line">
                  <wp:align>top</wp:align>
                </wp:positionV>
                <wp:extent cx="254000" cy="525780"/>
                <wp:effectExtent l="0" t="0" r="0" b="0"/>
                <wp:wrapSquare wrapText="right"/>
                <wp:docPr id="112" name="Frame11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3,583,329 Opco Units (along with a corresponding number of shares of our Class B common stock) held by Source Energy Leasehold, LP, (ii) 2,723 Opco Units (along with a corresponding number of shares of our Class B common stock) held by Source Energy Permian II, LLC, (iii) 1,215,148 Opco Units (along with a corresponding number of shares of our Class B common stock) held by Sierra Energy Royalties, LLC, (iv) 2,696,670 Opco Units (along with a corresponding number of shares of our Class B common stock) held by Permian Mineral Acquisitions, LP and (v) 5,064 shares of our Class A common stock held by OCM FIE, LLC. The general partner of Source Energy Leasehold, L.P. is Source Energy Operating, L.P. (“Source Operating”). The general partner of Source Operating is Source Energy Manager, LLC. The sole member of Source Energy Manager, LLC is Source Energy Partners, LLC (“Source Energy”). Source Energy is governed by its board of managers. The majority equityholders of Source Energy are OCM Source Holdings, L.P. (“OCM Source”) and OCM Source Holdings II, L.P. (“OCM Source II”). Oaktree Fund GP, LLC (“Fund GP”) is the general partner of OCM Source. Oaktree Fund GP I, L.P. (“Fund GP I”) is the managing member of Fund GP. Oaktree Capital I, L.P. (“Capital I”) is the general partner of Fund GP I. OCM Holdings I, LLC (“Holdings I”) is the general partner of Capital I. Oaktree Holdings, LLC (“Holdings”) is the managing member of Holdings I. Oaktree Capital Group, LLC (“OCG”) is the managing member of Holdings. Oaktree Capital Group Holdings GP, LLC, in its capacity as the indirect owner of the class B units of OCG, has the ability to appoint and remove certain directors of OCG and, as such, may indirectly control the decisions of OCG. The general partner of Permian Mineral Acquisitions, L.P. is Permian Mineral Acquisitions GP, LLC. The sole member of Permian Mineral Acquisitions GP, LLC is Source Operating, whose controlling parties are as set forth above. The sole member of Sierra Energy Royalties, LLC is Sierra Energy Intermediate, LLC (“Sierra Intermediate”). The sole member of Sierra Intermediate is Sierra Energy Holdings, LLC (“Sierra Holdings”). Sierra Holdings is governed by its board of managers. </w:t>
      </w:r>
      <w:r>
        <mc:AlternateContent>
          <mc:Choice Requires="wps">
            <w:drawing>
              <wp:anchor behindDoc="0" distT="49530" distB="0" distL="0" distR="0" simplePos="0" locked="0" layoutInCell="1" allowOverlap="1" relativeHeight="114">
                <wp:simplePos x="0" y="0"/>
                <wp:positionH relativeFrom="column">
                  <wp:align>left</wp:align>
                </wp:positionH>
                <wp:positionV relativeFrom="line">
                  <wp:align>top</wp:align>
                </wp:positionV>
                <wp:extent cx="254000" cy="525780"/>
                <wp:effectExtent l="0" t="0" r="0" b="0"/>
                <wp:wrapSquare wrapText="right"/>
                <wp:docPr id="113" name="Frame11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majority equity holder of Sierra Holdings is Opps XI PVDC PT, L.P (“Opps XI”). The general partner of Opps XI is Oaktree Fund AIF Series (Cayman), L.P. (“Oaktree Fund AIF Series”). The general partner of Oaktree Fund AIF Series is Oaktree AIF (Cayman) GP Ltd. (“Oaktree AIF”). The sole director of Oaktree AIF is Oaktree Capital Management, L.P. (“OCMP LP”). The general partner of OCMP LP is Oaktree Capital Management GP, LLC (“Management GP”). The managing member of Management GP is Oaktree Capital Holdings, LLC (“Oaktree Capital Holdings”). Oaktree Capital Holdings is governed by its board of directors. The sole member of Source Energy Permian II, LLC is Sierra Intermediate, whose controlling parties are described above. The managing member of OCM FIE, LLC is OCMP LP, which is governed as set forth above. All of the foregoing members, managers, managing members, general partners and directors disclaim ownership of the securities except to the extent of their pecuniary interest therein (if any). The address of each of the foregoing persons identified in this note is 333 S. Grand Avenue, 28th Floor, Los Angeles, California 90071.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Sequoia Legacy Investments GP, LLC is the general partner of Sequoia Legacy Investments, LP. Matthew J. Weber is the manager of Sequoia Legacy Investments GP, LLC. The address of each of the entities and the person identified in this note is 10690 Grand Summit Blvd., Dripping Spring, Texas 78620. </w:t>
      </w:r>
      <w:r>
        <mc:AlternateContent>
          <mc:Choice Requires="wps">
            <w:drawing>
              <wp:anchor behindDoc="0" distT="50800" distB="0" distL="0" distR="0" simplePos="0" locked="0" layoutInCell="1" allowOverlap="1" relativeHeight="115">
                <wp:simplePos x="0" y="0"/>
                <wp:positionH relativeFrom="column">
                  <wp:align>left</wp:align>
                </wp:positionH>
                <wp:positionV relativeFrom="line">
                  <wp:align>top</wp:align>
                </wp:positionV>
                <wp:extent cx="254000" cy="525780"/>
                <wp:effectExtent l="0" t="0" r="0" b="0"/>
                <wp:wrapSquare wrapText="right"/>
                <wp:docPr id="114" name="Frame11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(19)</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(i) 58,584 Opco Units (along with a corresponding number of shares of our Class B common stock) held by Silva and Terry Vested Brigham Units, LLC and (ii) 67,775 Opco Units (along with a corresponding number of shares of our Class B common stock) held by Silva and Terry Unvested Brigham Units, LLC. Silva and Terry Resources &amp; Minerals, LP, is the sole member of each of Silva and Terry Unvested Brigham Units, LLC, and Silva and Terry Vested Brigham Units, LLC. JKQ Investments, LLC is the general partner of Silva and Terry Resources &amp; Minerals, LP. J. Silva is the sole manager of JKQ Investments, LLC. The address of each of the entities and persons identified in this note is 304 Bent Tree Ct., Austin, Texas 78746. </w:t>
      </w:r>
      <w:r>
        <mc:AlternateContent>
          <mc:Choice Requires="wps">
            <w:drawing>
              <wp:anchor behindDoc="0" distT="50800" distB="0" distL="0" distR="0" simplePos="0" locked="0" layoutInCell="1" allowOverlap="1" relativeHeight="116">
                <wp:simplePos x="0" y="0"/>
                <wp:positionH relativeFrom="column">
                  <wp:align>left</wp:align>
                </wp:positionH>
                <wp:positionV relativeFrom="line">
                  <wp:align>top</wp:align>
                </wp:positionV>
                <wp:extent cx="254000" cy="525780"/>
                <wp:effectExtent l="0" t="0" r="0" b="0"/>
                <wp:wrapSquare wrapText="right"/>
                <wp:docPr id="115" name="Frame11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(20)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with Registrant or Its Affiliates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There are no other relationships between the RRA Counterparties and their respective affiliates, on one hand, and the registrant or its predecessors or affiliates, on the other hand, except for (i) the transactions discussed in this prospectus, (ii) the acquisition pursuant to a definitive purchase agreement, dated as of February 14, 2025, entered into by our parent Diamondback with Double Eagle IV Midco, LCC (“Double Eagle”), to acquire all of the issued and outstanding equity interests of DE Permian, LLC, DE IV Combo, LLC, and DE IV Operating, LLC, each of which is a wholly owned subsidiary of Double Eagle and an affiliate of EnCap Partners (the “Double Eagle Acquisition”), for consideration consisting of $3.0 billion in cash and approximately 6.9 million shares of Diamondback common stock, subject to customary adjustments, (iii) certain voting and support agreements, each dated June 2, 2025, entered into in connection with the Sitio Merger Agreement by us and certain Sitio equityholders, pursuant to which, among other things, such Sitio equityholders were obligated to vote their shares in favor of the transactions contemplated by the Sitio Merger Agreement, (iv) the Parent Support Agreement, dated June 2, 2025, entered into in connection with the Sitio Merger Agreement by us, VNOM Sub, Inc., Sitio, Diamondback, Diamondback E&amp;P and Endeavor, pursuant to which Diamondback, Diamondback E&amp;P and Endeavor, among other things, agreed not to transfer or otherwise dispose of any Opco Units or shares of our common stock from the date of the Sitio Merger Agreement until 90 days following the closing of the Sitio Acquisition and (v) the relationships with Diamondback, Diamondback E&amp;P and Endeavor described in our predecessor’s definitive proxy statement for its 2025 Annual Meeting of Stockholders, filed with the SEC on Schedule 14A on April 10, 2025, in the sections entitled “Payments to Diamondback and Its Affiliates under the Services and Secondment Agreement”, “Dividends paid to Diamondback and Diamondback E&amp;P” and “Diamondback Registration Rights Agreement and Exchange Agreement”. The Double Eagle Acquisition closed on April 1, 2025. The Sitio Acquisition closed on August 19, 2025, at which time the voting and support agreements automatically terminated in accordance with their terms.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bDOCS"/>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Class A common stock, our amended and restated certificate of incorporation (our “certificate of incorporation”) and our amended and restated bylaws (our “bylaws”) are summaries thereof and are qualified by reference to our certificate of incorporation and our bylaws, copies of which have been filed with the SEC.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prospectus, our authorized capital stock consists of (i) 1,000,000,000 shares of our Class A common stock, (ii) 1,000,000,000 shares of our Class B common stock (together with our Class A common stock, the “common stock”), and (iii) 100,000,000 shares of preferred stock, par value $0.000001 per share. Each share of our Class B common stock is exchangeable, at the discretion of the holder of such share of our Class B common stock, together with one Opco Unit, into one share of our Class A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shares of common stock are entitled to one vote per share on all matters submitted to a vote of stockholders. Holders of Class A common stock and Class B common stock vote together as a single class. Shares of common stock do not have cumulative voting rights, which means that the holders of more than 50% of the shares voting for the election of the board of directors can elect all the directors to be elected at that time, and, in such event, the holders of the remaining shares will be unable to elect any directors to be elected at that time. Our certificate of incorporation denies stockholders any preemptive rights to acquire or subscribe for any stock, obligation, warrant or other securities of ours. Holders of shares of our common stock have no redemption or conversion rights nor are they entitled to the benefits of any sinking fund provisions.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our liquidation, dissolution or winding up, the remaining assets of the Company available for distribution shall (i) first be distributed, pari passu, to the holders of Class B common stock, ratably in proportion to the number of shares of Class B common stock, until the holders of all outstanding Class B common stock have received $0.014 (which amount is adjusted accordingly in the case of any stock split, subdivision or combination with respect to Class B common stock) in respect of each share of Class B common stock then outstanding and (ii) then be distributed, pari passu, to the holders of all outstanding shares of Class A common stock, ratably in proportion to the number of shares of Class A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record of shares of Class A common stock are entitled to receive dividends when and if declared by the board of directors out of any assets legally available for such dividends, subject to (i) the rights of all outstanding shares of capital stock ranking senior to the common stock in respect of dividends and (ii) to any dividend restrictions contained in debt agreements. Holders of Class B common stock are entitled to receive a mandatory cash dividend, paid quarterly, in an amount per share of Class B common stock equal to (A) $20,000 divided by (B) the number of shares of Class B common stock then outstanding. All outstanding shares of our common stock are fully paid and nonassessable. As of August 25, 2025, there were 169,318,801 shares of Class A common stock and 193,078,341 shares of Class B common stock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is authorized to issue up to 100,000,000 shares of preferred stock in one or more series. The board of directors may fix for each series: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distinctive serial designation and number of shares of the series; </w:t>
      </w:r>
      <w:r>
        <mc:AlternateContent>
          <mc:Choice Requires="wps">
            <w:drawing>
              <wp:anchor behindDoc="0" distT="7747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6"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voting powers and the right, if any, to elect a director or directors; </w:t>
      </w:r>
      <w:r>
        <mc:AlternateContent>
          <mc:Choice Requires="wps">
            <w:drawing>
              <wp:anchor behindDoc="0" distT="7747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7"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office of any directors the holders of preferred shares are entitled to elect; </w:t>
      </w:r>
      <w:r>
        <mc:AlternateContent>
          <mc:Choice Requires="wps">
            <w:drawing>
              <wp:anchor behindDoc="0" distT="7747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8"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rights, if any; </w:t>
      </w:r>
      <w:r>
        <mc:AlternateContent>
          <mc:Choice Requires="wps">
            <w:drawing>
              <wp:anchor behindDoc="0" distT="7747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9"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redemption, and the amount of and provisions regarding any sinking fund for the purchase or redemption thereof; </w:t>
      </w:r>
      <w:r>
        <mc:AlternateContent>
          <mc:Choice Requires="wps">
            <w:drawing>
              <wp:anchor behindDoc="0" distT="0" distB="0" distL="254000" distR="0" simplePos="0" locked="0" layoutInCell="1" allowOverlap="1" relativeHeight="121">
                <wp:simplePos x="0" y="0"/>
                <wp:positionH relativeFrom="column">
                  <wp:align>left</wp:align>
                </wp:positionH>
                <wp:positionV relativeFrom="line">
                  <wp:posOffset>635</wp:posOffset>
                </wp:positionV>
                <wp:extent cx="127000" cy="350520"/>
                <wp:effectExtent l="0" t="0" r="0" b="0"/>
                <wp:wrapSquare wrapText="right"/>
                <wp:docPr id="120"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liquidation preferences and the amounts payable on dissolution or liquidation; </w:t>
      </w:r>
      <w:r>
        <mc:AlternateContent>
          <mc:Choice Requires="wps">
            <w:drawing>
              <wp:anchor behindDoc="0" distT="7239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1"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under which shares of the series may or shall be converted into any other series or class of stock or debt of the Company; and </w:t>
      </w:r>
      <w:r>
        <mc:AlternateContent>
          <mc:Choice Requires="wps">
            <w:drawing>
              <wp:anchor behindDoc="0" distT="7239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2"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or provisions which the board of directors is legally authorized to fix or alter. </w:t>
      </w:r>
      <w:r>
        <mc:AlternateContent>
          <mc:Choice Requires="wps">
            <w:drawing>
              <wp:anchor behindDoc="0" distT="7239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3"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need stockholder approval to issue or fix the terms of the preferred stock. The actual effect of the authorization of the preferred stock upon your rights as holders of common stock is unknown until our board of directors determines the specific rights of owners of any series of preferred stock. Depending upon the rights granted to any series of preferred stock, your voting power, liquidation preference or other rights could be adversely affected. Preferred stock may be issued in acquisitions or for other corporate purposes. Issuance in connection with a stockholder rights plan or other takeover defense could have the effect of making it more difficult for a third party to acquire, or of discouraging a third party from acquiring, control of the Company. We currently have no outstanding preferred stock and have no present plans to issue any shares of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Related Party Transactions and Corporate Opportunities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limitations of applicable law, our certificate of incorporation, among other things: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permits us to enter into transactions with entities in which one or more of our officers or directors are financially or otherwise interested so long as it has been approved by our board of directors; </w:t>
      </w:r>
      <w:r>
        <mc:AlternateContent>
          <mc:Choice Requires="wps">
            <w:drawing>
              <wp:anchor behindDoc="0" distT="7239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4"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permits certain of our stockholders, officers and directors, including our non-employee directors, to conduct business that competes with us and to make investments in any kind of property in which we may make investments; and </w:t>
      </w:r>
      <w:r>
        <mc:AlternateContent>
          <mc:Choice Requires="wps">
            <w:drawing>
              <wp:anchor behindDoc="0" distT="7239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5"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provides that if certain of our officers or directors, including our non-employee directors, becomes aware of a potential business opportunity, transaction or other matter (other than one expressly offered to that director or officer solely in his or her capacity as our director or officer), that director or officer will have no duty to communicate or offer that opportunity to us, and will be permitted to communicate or offer that opportunity to any other entity or individual and that director or officer will not be deemed to have (i) acted in a manner inconsistent with his or her fiduciary duty to us or our stockholders regarding the opportunity or (ii) acted in bad faith or in a manner inconsistent with our best interests. </w:t>
      </w:r>
      <w:r>
        <mc:AlternateContent>
          <mc:Choice Requires="wps">
            <w:drawing>
              <wp:anchor behindDoc="0" distT="7366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6"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Provisions of Our Certificate of Incorporation and Our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provisions of our certificate of incorporation and our bylaws contain provisions that could make it more difficult to acquire us by means of a merger, tender offer, proxy contest or otherwise, or to remove our incumbent officers and directors. 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such proposals because negotiation of such proposals could result in an improvement of their terms.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Undesignated preferred stock.</w:t>
      </w:r>
      <w:r>
        <w:rPr>
          <w:rFonts w:ascii="Times New Roman;Times;serif" w:hAnsi="Times New Roman;Times;serif"/>
          <w:b w:val="false"/>
          <w:i w:val="false"/>
          <w:caps w:val="false"/>
          <w:smallCaps w:val="false"/>
          <w:color w:val="000000"/>
          <w:spacing w:val="4"/>
          <w:sz w:val="20"/>
        </w:rPr>
        <w:t xml:space="preserve">   The ability to authorize and issue undesignated preferred stock may enable our board of directors to render more difficult or discourage an attempt to change control of us by means of a merger, tender offer, proxy contest or otherwise. For example, if in the due exercise of its fiduciary obligations, the board of directors were to determine that a takeover proposal is not in our best interest, the board of directors could cause shares of preferred stock to be issued without stockholder approval in one or more private offerings or other transactions that might dilute the voting or other rights of the proposed acquirer or insurgent stockholder or stockholder group.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Stockholder meetings.</w:t>
      </w:r>
      <w:r>
        <w:rPr>
          <w:rFonts w:ascii="Times New Roman;Times;serif" w:hAnsi="Times New Roman;Times;serif"/>
          <w:b w:val="false"/>
          <w:i w:val="false"/>
          <w:caps w:val="false"/>
          <w:smallCaps w:val="false"/>
          <w:color w:val="000000"/>
          <w:spacing w:val="4"/>
          <w:sz w:val="20"/>
        </w:rPr>
        <w:t xml:space="preserve">   Our certificate of incorporation and bylaws provide that a special meeting of stockholders may be called only by the Chairman of the Board, the Chief Executive Officer, by a resolution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adopted by a majority of our board of directors, assuming there are no vacancies or by the Chairman of the Board following receipt of a written request of one or more of our stockholders (acting on their own behalf and not by assigning or delegating their rights to any other person or entity) that together have continuously held, for their own accounts, beneficial ownership of at least 20% aggregate “net long position” (as such term is defined therein) in our issued and outstanding voting stock entitled to vote generally in the election of directors for at least one year prior to the date such request is delivered to us and at the special meeting date. Special meetings of our stockholders may not be called by any other person or persons.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Requirements for advance notification of stockholder nominations and proposals.</w:t>
      </w:r>
      <w:r>
        <w:rPr>
          <w:rFonts w:ascii="Times New Roman;Times;serif" w:hAnsi="Times New Roman;Times;serif"/>
          <w:b w:val="false"/>
          <w:i w:val="false"/>
          <w:caps w:val="false"/>
          <w:smallCaps w:val="false"/>
          <w:color w:val="000000"/>
          <w:spacing w:val="4"/>
          <w:sz w:val="20"/>
        </w:rPr>
        <w:t xml:space="preserve">   Our bylaws establish advance notice procedures with respect to stockholder proposals and the nomination of candidates for election as directors, other than nominations made by or at the direction of the board of directors.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Board Designees.</w:t>
      </w:r>
      <w:r>
        <w:rPr>
          <w:rFonts w:ascii="Times New Roman;Times;serif" w:hAnsi="Times New Roman;Times;serif"/>
          <w:b w:val="false"/>
          <w:i w:val="false"/>
          <w:caps w:val="false"/>
          <w:smallCaps w:val="false"/>
          <w:color w:val="000000"/>
          <w:spacing w:val="4"/>
          <w:sz w:val="20"/>
        </w:rPr>
        <w:t xml:space="preserve">   Pursuant to our bylaws, Diamondback has the right to designate up to three persons to serve as directors for so long as Diamondback along with its affiliates collectively own at least 25% of the outstanding common stock.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Stockholder action by written consent.</w:t>
      </w:r>
      <w:r>
        <w:rPr>
          <w:rFonts w:ascii="Times New Roman;Times;serif" w:hAnsi="Times New Roman;Times;serif"/>
          <w:b w:val="false"/>
          <w:i w:val="false"/>
          <w:caps w:val="false"/>
          <w:smallCaps w:val="false"/>
          <w:color w:val="000000"/>
          <w:spacing w:val="4"/>
          <w:sz w:val="20"/>
        </w:rPr>
        <w:t xml:space="preserve">   Our certificate of incorporation provides that, except as may otherwise be provided with respect to the rights of the holders of preferred stock, no action that is required or permitted to be taken by our stockholders at any annual or special meeting may be effected by written consent of stockholders in lieu of a meeting of stockholders, unless the action to be effected by written consent of stockholders and the taking of such action by such written consent have expressly been approved in advance by our board. This provision, which may not be amended except by the affirmative vote of at least a majority of the voting power of all then outstanding shares of capital stock entitled to vote generally in the election of directors, voting together as a single class, makes it difficult for stockholders to initiate or effect an action by written consent that is opposed by our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Amendment of the bylaws.</w:t>
      </w:r>
      <w:r>
        <w:rPr>
          <w:rFonts w:ascii="Times New Roman;Times;serif" w:hAnsi="Times New Roman;Times;serif"/>
          <w:b w:val="false"/>
          <w:i w:val="false"/>
          <w:caps w:val="false"/>
          <w:smallCaps w:val="false"/>
          <w:color w:val="000000"/>
          <w:spacing w:val="4"/>
          <w:sz w:val="20"/>
        </w:rPr>
        <w:t xml:space="preserve">   Under Delaware law, the power to adopt, amend or repeal bylaws is conferred upon the stockholders. A corporation may, however, in its certificate of incorporation also confer upon the board of directors the power to adopt, amend or repeal its bylaws. Our certificate of incorporation and bylaws grant our board the power to adopt, amend and repeal our bylaws at any regular or special meeting of the board on the affirmative vote of a majority of the directors, assuming there are no vacancies. Our stockholders may adopt, amend or repeal our bylaws but only at any regular or special meeting of stockholders by an affirmative vote of holders of at least a majority of the voting power of all then outstanding shares of capital stock entitled to vote generally in the election of directors, voting together as a single class.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Removal of Directors.</w:t>
      </w:r>
      <w:r>
        <w:rPr>
          <w:rFonts w:ascii="Times New Roman;Times;serif" w:hAnsi="Times New Roman;Times;serif"/>
          <w:b w:val="false"/>
          <w:i w:val="false"/>
          <w:caps w:val="false"/>
          <w:smallCaps w:val="false"/>
          <w:color w:val="000000"/>
          <w:spacing w:val="4"/>
          <w:sz w:val="20"/>
        </w:rPr>
        <w:t xml:space="preserve">   Our certificate of incorporation provides that members of our board of directors may only be removed by the affirmative vote of holders of a majority of the voting power of all then outstanding shares of capital stock entitled to vote generally in the election of directors, voting together as a single class.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an increase in the number of authorized shares of our common stock, could be used to make it more difficult to, or discourage an attempt to, obtain control of the Company by means of a takeover bid that our board of directors determines is not in our best interests or the best interests of our stockholders.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our certificate of incorporation and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which stockholders may otherwise deem to be in their best interests.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Choice of Forum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provides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or other employees to us or our stockholders; (iii)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action asserting a claim against us arising pursuant to any provision of the DGCL or our certificate of incorporation or bylaws; or (iv) any action asserting a claim against us pertaining to internal affairs of the Company. Our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certificate of incorporation is inapplicable or unenforceable if it is challenged in a proceeding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provision would not apply to claims arising under the Securities Act, the Exchange Act or other federal securities laws for which there is exclusive federal or concurrent federal and state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claims under the Securities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A common stock is listed on The Nasdaq Global Select Market under the symbol “VNOM.”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Computershare Trust Company, National Association is the transfer agent and registrar for our common stock.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bPOD"/>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which term as used in this prospectus includes the selling stockholders listed in the table under the heading “Selling Stockholders” and any direct or indirect transferees of Registrable Securities entitled to registration rights under the applicable Registration Rights Agreement and such other stockholders as may be identified in one or more prospectus supplements, including any securityholders that receive Registrable Securities upon a distribution or liquidation, who have been assigned the rights of the transferor holder or holders under the applicable Registration Rights Agreement (in compliance therewith), and any other permitted transferees, successors or assigns of the selling stockholders selling Class A common stock covered by this prospectus received by them after the date of this prospectus by operation of law, may, from time to time, sell, transfer or otherwise dispose of any or all of the Class A common stock offered by this prospectus or any applicable prospectus supplement on any stock exchange, market or trading facility on which such Class A common stock is traded or in private transactions. These dispositions may be at fixed prices, at prevailing market prices at the time of sale, at prices related to the prevailing market price, at varying prices determined at the time of sale or at negotiated prices. These prices will be determined by the selling stockholders or by agreement between the selling stockholders and underwriters, broker-dealers or agents who may receive fees or commissions in connection with any such sale.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use any one or more of the following methods when disposing of the offered Class A common stock: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on The Nasdaq Stock Market LLC or any national securities exchange or quotation service on which our Class A common stock may be listed or quoted at the time of sale; </w:t>
      </w:r>
      <w:r>
        <mc:AlternateContent>
          <mc:Choice Requires="wps">
            <w:drawing>
              <wp:anchor behindDoc="0" distT="7239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7"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over-the-counter sale or distribution; </w:t>
      </w:r>
      <w:r>
        <mc:AlternateContent>
          <mc:Choice Requires="wps">
            <w:drawing>
              <wp:anchor behindDoc="0" distT="7239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8"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underwritten offerings (whether on a firm commitment or best efforts basis, including through bought deals); </w:t>
      </w:r>
      <w:r>
        <mc:AlternateContent>
          <mc:Choice Requires="wps">
            <w:drawing>
              <wp:anchor behindDoc="0" distT="7239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9"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through agents or to or through underwriters, brokers or dealers; </w:t>
      </w:r>
      <w:r>
        <mc:AlternateContent>
          <mc:Choice Requires="wps">
            <w:drawing>
              <wp:anchor behindDoc="0" distT="7239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30"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broker-dealer solicits purchasers; </w:t>
      </w:r>
      <w:r>
        <mc:AlternateContent>
          <mc:Choice Requires="wps">
            <w:drawing>
              <wp:anchor behindDoc="0" distT="7239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1"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trades (which may involve crosses) in which the broker-dealer will attempt to sell the Class A common stock as agent, but may position and resell a portion of the block as principal to facilitate the transaction; </w:t>
      </w:r>
      <w:r>
        <mc:AlternateContent>
          <mc:Choice Requires="wps">
            <w:drawing>
              <wp:anchor behindDoc="0" distT="7239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2"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the broker-dealer for its account; </w:t>
      </w:r>
      <w:r>
        <mc:AlternateContent>
          <mc:Choice Requires="wps">
            <w:drawing>
              <wp:anchor behindDoc="0" distT="7239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3"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exchange distribution and/or secondary distribution in accordance with the rules of the applicable exchange; </w:t>
      </w:r>
      <w:r>
        <mc:AlternateContent>
          <mc:Choice Requires="wps">
            <w:drawing>
              <wp:anchor behindDoc="0" distT="7239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4"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239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5"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directly to one or more purchasers; </w:t>
      </w:r>
      <w:r>
        <mc:AlternateContent>
          <mc:Choice Requires="wps">
            <w:drawing>
              <wp:anchor behindDoc="0" distT="7239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6"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 sales, whether through a broker-dealer or themselves, effected after the date of this prospectus; </w:t>
      </w:r>
      <w:r>
        <mc:AlternateContent>
          <mc:Choice Requires="wps">
            <w:drawing>
              <wp:anchor behindDoc="0" distT="7239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7"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writing or settlement of options or other hedging transactions, whether through an options exchange or otherwise; </w:t>
      </w:r>
      <w:r>
        <mc:AlternateContent>
          <mc:Choice Requires="wps">
            <w:drawing>
              <wp:anchor behindDoc="0" distT="7239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8"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may agree to sell a specified number of such Class A common stock at a stipulated price per share; </w:t>
      </w:r>
      <w:r>
        <mc:AlternateContent>
          <mc:Choice Requires="wps">
            <w:drawing>
              <wp:anchor behindDoc="0" distT="7239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9"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distributions of the shares by any selling stockholder to its general or limited partners, members, managers, affiliates, employees, directors or stockholders; </w:t>
      </w:r>
      <w:r>
        <mc:AlternateContent>
          <mc:Choice Requires="wps">
            <w:drawing>
              <wp:anchor behindDoc="0" distT="7239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40"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option transactions; </w:t>
      </w:r>
      <w:r>
        <mc:AlternateContent>
          <mc:Choice Requires="wps">
            <w:drawing>
              <wp:anchor behindDoc="0" distT="7239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41"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sale; and </w:t>
      </w:r>
      <w:r>
        <mc:AlternateContent>
          <mc:Choice Requires="wps">
            <w:drawing>
              <wp:anchor behindDoc="0" distT="7239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2"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7239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3"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elect to make an in-kind distribution of their shares of Class A common stock to their respective members, partners or stockholders. To the extent that such members, partners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are not affiliates of ours, such members, partners or stockholders would thereby receive freely tradeable shares of our Class A common stock pursuant to the distribution through the registration statement of which this prospectus forms a part.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also sell their shares of Class A common stock under Rule 144 or any other exemption from registration under the Securities Act, if, when and to the extent such exemption is available to them at the time of such sale, rather than under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also may transfer their shares of Class A common stock in other circumstances, in which case the transferees or other successors in interest will be the selling beneficial owners for purposes of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engaged by the selling stockholders may arrange for other brokers-dealers to participate in sales. Broker-dealers may receive commissions or discounts from the selling stockholders (or, if any broker-dealer acts as agent for the purchaser of Class A common stock, from the purchaser) in amounts to be negotiated, but, except as set forth in a supplement to this prospectus, in the case of an agency transaction not in excess of a customary brokerage commission in compliance with Financial Industry Regulatory Authority, or FINRA, Rule 5110; and in the case of a principal transaction a markup or markdown in compliance with FINRA Rule 2121.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 of the Class A common stock, the selling stockholders may enter into hedging transactions with broker-dealers or other financial institutions, which may in turn engage in short sales of the Class A common stock in the course of hedging the positions they assume. The selling stockholders may also sell Class A common stock short and deliver these shares to close out their short positions, or loan or pledge the securities to broker-dealers that in turn may sell these shares.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from time to time pledge or grant a security interest in some or all of the shares of Class A common stock owned by them and, if they default in the performance of their secured obligations, the pledgees or secured parties may offer and sell Class A common stock from time to time under this prospectus, or, to the extent required under the applicable securities laws, under an amendment to this prospectus under Rule 424 or other applicable provision of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selling stockholders use one or more underwriters in the sale, the underwriters will acquire shares of the Class A common stock covered by this prospectus for their own account, and they may resell such shares from time to time in one or more transactions, including negotiated transactions, at a fixed public offering price or at varying prices determined at the time of sale. Shares of the Class A common stock covered by this prospectus may be offered and sold to the public either through underwriting syndicates represented by one or more managing underwriters or directly by one or more of such firms. The selling stockholders and any underwriters, broker-dealers or agents that are involved in selling the shares of the Class A common stock covered by this prospectus may be deemed to be “underwriters” within the meaning of the Securities Act in connection with such sales. In such event, any commissions received by such underwriters, broker-dealers or agents and any profit on the resale of the shares of Class A common stock purchased by them may be deemed to be underwriting commissions or discounts under the Securities Act. Underwriters may resell the shares to or through dealers, and those dealers may receive compensation in the form of one or more discounts, concessions or commissions from the underwriters and commissions from purchasers for which they may act as agents. Each selling stockholder has informed us that it does not have any written or oral agreement or understanding, directly or indirectly, with any person to distribute the shares of Class A common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selling stockholder may enter into derivative transactions with third parties, or sell shares of Class A common stock not covered by this prospectus to third parties in privately negotiated transactions. If the applicable prospectus supplement so indicates, in connection with those derivatives, the third parties may sell shares of Class A common stock covered by this prospectus and the applicable prospectus supplement, including in short sale transactions. If so, the third party may use shares of Class A common stock pledged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such selling stockholder or borrowed from such selling stockholder or others to settle those sales or to close out any related open borrowings of securities, and may use shares of Class A common stock received from such selling stockholder in settlement of those derivatives to close out any related open borrowings of securities. The third party in such sale transactions will be an underwriter and, if not identified in this prospectus, will be named in the applicable prospectus supplement (or a post-effective amendment).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selling stockholder may otherwise loan or pledge shares of Class A common stock to a financial institution or other third party that in turn may sell the shares short using this prospectus and an applicable prospectus supplement. Such financial institution or other third party may transfer its economic short position to investors in such shares or in connection with a concurrent offering of other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the shares of Class A common stock to be sold, the respective purchase prices and public offering prices, the names of any agents, dealers or underwriters and any applicable discounts, commissions, concessions or other compensation with respect to a particular offering will be set forth in an accompanying prospectus supplement or, if appropriate, a post-effective amendment to the registration statement that includes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Registration Rights Agreements, we will pay all expenses relating to the registration, offering and listing of these shares of Class A common stock, except that the selling stockholders will pay any underwriting fees, discounts and commissions, placement fees of underwriters, broker commissions, transfer taxes and certain attorney’s fees. Pursuant to the terms of the Registration Rights Agreements, we agreed to indemnify the selling stockholders against certain liabilities, including liabilities under the Securities Act, and the selling stockholders have agreed to indemnify us against certain liabilities, including liabilities under the Securities Act, which may arise from any written information furnished to us by the selling stockholders expressly for use in this prospectus and/or in any prospectus supplement, as applicable.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applicable rules and regulations under the Exchange Act, any person engaged in the distribution of the resale shares of Class A common stock may not simultaneously engage in market making activities with respect to the Class A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Class A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assurances that the selling stockholders will sell, nor are the selling stockholders required to sell, any or all of the shares of Class A common stock offered under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pursuant to the Registration Rights Agreements, this prospectus may be amended and/or supplemented from time to time to describe a specific plan of distribution. If required by the terms of the applicable Registration Rights Agreement, we may add permitted transferees, successors and donees by prospectus supplement in instances where the permitted transferee, successor or donee has acquired its shares from holders named in this prospectus after the effective date of this prospectus. Permitted transferees, successors and assigns of identified selling stockholders may not be able to use this prospectus for resales until they are named in the selling stockholders table by prospectus supplement or post-effective amendment. See “Selling Stockholders.” Additional selling stockholders may be named in one or more prospectus supplements.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bWYCF"/>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on Form S-3 under the Securities Act covering the Class A common stock offered by this prospectus. This prospectus does not contain all of the information that you can find in that registration statement and its exhibits. Certain items are omitted from this prospectus in accordance with the rules and regulations of the SEC. For further information with respect to us and the Class A common stock offered by this prospectus, reference is made to the registration statement and the exhibits filed with the registration statement. Statements contained in this prospectus as to the contents of any contract or other document referred to are not necessarily complete and in each instance such statement is qualified by reference to each such contract or document filed with or incorporated by reference as part of the registration statement. We file reports, proxy and information statements and other information with the SEC. The SEC maintains an Internet site that contains reports, proxy and information statements and other information regarding registrants that file electronically with the SEC. The address of the site is http://www.sec.gov. The registration statement, including all exhibits thereto and amendments thereof, has been filed electronically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can also find our SEC filings on our website at </w:t>
      </w:r>
      <w:r>
        <w:rPr>
          <w:rFonts w:ascii="Times New Roman;Times;serif" w:hAnsi="Times New Roman;Times;serif"/>
          <w:b w:val="false"/>
          <w:i/>
          <w:caps w:val="false"/>
          <w:smallCaps w:val="false"/>
          <w:color w:val="000000"/>
          <w:spacing w:val="4"/>
          <w:sz w:val="20"/>
        </w:rPr>
        <w:t>www.viperenergy.com</w:t>
      </w:r>
      <w:r>
        <w:rPr>
          <w:rFonts w:ascii="Times New Roman;Times;serif" w:hAnsi="Times New Roman;Times;serif"/>
          <w:b w:val="false"/>
          <w:i w:val="false"/>
          <w:caps w:val="false"/>
          <w:smallCaps w:val="false"/>
          <w:color w:val="000000"/>
          <w:spacing w:val="4"/>
          <w:sz w:val="20"/>
        </w:rPr>
        <w:t xml:space="preserve">. The information contained on our website or any other website is not incorporated by reference into this prospectus and does not constitute a part of this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bIIBR"/>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INCORPORATED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into this prospectus the information we provide in other documents filed by us with the SEC. The information incorporated by reference is an important part of this prospectus and any prospectus supplement. Any statement contained in a document that is incorporated by reference in this prospectus is automatically updated and superseded if information contained in this prospectus and any prospectus supplement, or information that we later file with the SEC, modifies and replaces this information. For SEC reporting purposes, our predecessor is VNOM Sub, Inc. (f/k/a Viper Energy, Inc.) for the period prior to August 19, 2025. We incorporate by reference the following documents that we or our predecessor have filed with the SEC (except as indicated below with respect to Item 2.02 or Item 7.01 of Form 8-K): </w:t>
      </w:r>
    </w:p>
    <w:p>
      <w:pPr>
        <w:pStyle w:val="TextBody"/>
        <w:bidi w:val="0"/>
        <w:spacing w:lineRule="atLeast" w:line="240" w:before="118" w:after="0"/>
        <w:ind w:left="1993" w:right="0" w:hanging="0"/>
        <w:jc w:val="left"/>
        <w:rPr/>
      </w:pPr>
      <w:r>
        <w:rPr>
          <w:rFonts w:ascii="Times New Roman;Times;serif" w:hAnsi="Times New Roman;Times;serif"/>
          <w:b w:val="false"/>
          <w:i w:val="false"/>
          <w:caps w:val="false"/>
          <w:smallCaps w:val="false"/>
          <w:color w:val="000000"/>
          <w:spacing w:val="4"/>
          <w:sz w:val="20"/>
        </w:rPr>
        <w:t xml:space="preserve">Viper Energy’s </w:t>
      </w:r>
      <w:hyperlink r:id="rId17">
        <w:r>
          <w:rPr>
            <w:rStyle w:val="InternetLink"/>
          </w:rPr>
          <w:t>Annual Report on Form 10-K for the year ended December 31, 2024, filed with the SEC on February 26, 2025</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4"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r>
        <w:rPr>
          <w:rFonts w:ascii="Times New Roman;Times;serif" w:hAnsi="Times New Roman;Times;serif"/>
          <w:b w:val="false"/>
          <w:i w:val="false"/>
          <w:caps w:val="false"/>
          <w:smallCaps w:val="false"/>
          <w:color w:val="000000"/>
          <w:spacing w:val="4"/>
          <w:sz w:val="20"/>
        </w:rPr>
        <w:t xml:space="preserve">Viper Energy’s Quarterly Reports on Form 10-Q for the quarters ended June 30, 2025 and March 31, 2025, filed with the SEC on </w:t>
      </w:r>
      <w:hyperlink r:id="rId18">
        <w:r>
          <w:rPr>
            <w:rStyle w:val="InternetLink"/>
          </w:rPr>
          <w:t>August 6, 2025</w:t>
        </w:r>
      </w:hyperlink>
      <w:r>
        <w:rPr>
          <w:rFonts w:ascii="Times New Roman;Times;serif" w:hAnsi="Times New Roman;Times;serif"/>
          <w:b w:val="false"/>
          <w:i w:val="false"/>
          <w:caps w:val="false"/>
          <w:smallCaps w:val="false"/>
          <w:color w:val="000000"/>
          <w:spacing w:val="4"/>
          <w:sz w:val="20"/>
        </w:rPr>
        <w:t xml:space="preserve"> and </w:t>
      </w:r>
      <w:hyperlink r:id="rId19">
        <w:r>
          <w:rPr>
            <w:rStyle w:val="InternetLink"/>
          </w:rPr>
          <w:t>May 7, 2025</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493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5"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Viper Energy’s Annual Report on Form 10-K for the fiscal year ended December 31, 2024 from Viper Energy’s </w:t>
      </w:r>
      <w:hyperlink r:id="rId20">
        <w:r>
          <w:rPr>
            <w:rStyle w:val="InternetLink"/>
          </w:rPr>
          <w:t>definitive proxy statement on Schedule 14A, filed on April 10, 2025</w:t>
        </w:r>
      </w:hyperlink>
      <w:r>
        <w:rPr>
          <w:rFonts w:ascii="Times New Roman;Times;serif" w:hAnsi="Times New Roman;Times;serif"/>
          <w:b w:val="false"/>
          <w:i w:val="false"/>
          <w:caps w:val="false"/>
          <w:smallCaps w:val="false"/>
          <w:color w:val="000000"/>
          <w:spacing w:val="4"/>
          <w:sz w:val="20"/>
        </w:rPr>
        <w:t xml:space="preserve">, including any portion of any subsequent reports on Form 8-K filed for the purposes of updating such information; </w:t>
      </w:r>
      <w:r>
        <mc:AlternateContent>
          <mc:Choice Requires="wps">
            <w:drawing>
              <wp:anchor behindDoc="0" distT="7493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6"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r>
        <w:rPr>
          <w:rFonts w:ascii="Times New Roman;Times;serif" w:hAnsi="Times New Roman;Times;serif"/>
          <w:b w:val="false"/>
          <w:i w:val="false"/>
          <w:caps w:val="false"/>
          <w:smallCaps w:val="false"/>
          <w:color w:val="000000"/>
          <w:spacing w:val="4"/>
          <w:sz w:val="20"/>
        </w:rPr>
        <w:t xml:space="preserve">Viper Energy’s Current Reports on Form 8-K, 8-K/A or 8-K12B filed with the SEC on </w:t>
      </w:r>
      <w:hyperlink r:id="rId21">
        <w:r>
          <w:rPr>
            <w:rStyle w:val="InternetLink"/>
          </w:rPr>
          <w:t>January 30, 2025</w:t>
        </w:r>
      </w:hyperlink>
      <w:r>
        <w:rPr>
          <w:rFonts w:ascii="Times New Roman;Times;serif" w:hAnsi="Times New Roman;Times;serif"/>
          <w:b w:val="false"/>
          <w:i w:val="false"/>
          <w:caps w:val="false"/>
          <w:smallCaps w:val="false"/>
          <w:color w:val="000000"/>
          <w:spacing w:val="4"/>
          <w:sz w:val="20"/>
        </w:rPr>
        <w:t xml:space="preserve">, </w:t>
      </w:r>
      <w:hyperlink r:id="rId22">
        <w:r>
          <w:rPr>
            <w:rStyle w:val="InternetLink"/>
          </w:rPr>
          <w:t>February 3, 2025</w:t>
        </w:r>
      </w:hyperlink>
      <w:r>
        <w:rPr>
          <w:rFonts w:ascii="Times New Roman;Times;serif" w:hAnsi="Times New Roman;Times;serif"/>
          <w:b w:val="false"/>
          <w:i w:val="false"/>
          <w:caps w:val="false"/>
          <w:smallCaps w:val="false"/>
          <w:color w:val="000000"/>
          <w:spacing w:val="4"/>
          <w:sz w:val="20"/>
        </w:rPr>
        <w:t xml:space="preserve">, </w:t>
      </w:r>
      <w:hyperlink r:id="rId23">
        <w:r>
          <w:rPr>
            <w:rStyle w:val="InternetLink"/>
          </w:rPr>
          <w:t>February 20, 2025</w:t>
        </w:r>
      </w:hyperlink>
      <w:r>
        <w:rPr>
          <w:rFonts w:ascii="Times New Roman;Times;serif" w:hAnsi="Times New Roman;Times;serif"/>
          <w:b w:val="false"/>
          <w:i w:val="false"/>
          <w:caps w:val="false"/>
          <w:smallCaps w:val="false"/>
          <w:color w:val="000000"/>
          <w:spacing w:val="4"/>
          <w:sz w:val="20"/>
        </w:rPr>
        <w:t xml:space="preserve">, </w:t>
      </w:r>
      <w:hyperlink r:id="rId24">
        <w:r>
          <w:rPr>
            <w:rStyle w:val="InternetLink"/>
          </w:rPr>
          <w:t>April 23, 2025</w:t>
        </w:r>
      </w:hyperlink>
      <w:r>
        <w:rPr>
          <w:rFonts w:ascii="Times New Roman;Times;serif" w:hAnsi="Times New Roman;Times;serif"/>
          <w:b w:val="false"/>
          <w:i w:val="false"/>
          <w:caps w:val="false"/>
          <w:smallCaps w:val="false"/>
          <w:color w:val="000000"/>
          <w:spacing w:val="4"/>
          <w:sz w:val="20"/>
        </w:rPr>
        <w:t xml:space="preserve">, </w:t>
      </w:r>
      <w:hyperlink r:id="rId25">
        <w:r>
          <w:rPr>
            <w:rStyle w:val="InternetLink"/>
          </w:rPr>
          <w:t>May 5, 2025</w:t>
        </w:r>
      </w:hyperlink>
      <w:r>
        <w:rPr>
          <w:rFonts w:ascii="Times New Roman;Times;serif" w:hAnsi="Times New Roman;Times;serif"/>
          <w:b w:val="false"/>
          <w:i w:val="false"/>
          <w:caps w:val="false"/>
          <w:smallCaps w:val="false"/>
          <w:color w:val="000000"/>
          <w:spacing w:val="4"/>
          <w:sz w:val="20"/>
        </w:rPr>
        <w:t xml:space="preserve"> </w:t>
      </w:r>
      <w:hyperlink r:id="rId26">
        <w:r>
          <w:rPr>
            <w:rStyle w:val="InternetLink"/>
          </w:rPr>
          <w:t>(Two filings)</w:t>
        </w:r>
      </w:hyperlink>
      <w:r>
        <w:rPr>
          <w:rFonts w:ascii="Times New Roman;Times;serif" w:hAnsi="Times New Roman;Times;serif"/>
          <w:b w:val="false"/>
          <w:i w:val="false"/>
          <w:caps w:val="false"/>
          <w:smallCaps w:val="false"/>
          <w:color w:val="000000"/>
          <w:spacing w:val="4"/>
          <w:sz w:val="20"/>
        </w:rPr>
        <w:t xml:space="preserve">, </w:t>
      </w:r>
      <w:hyperlink r:id="rId27">
        <w:r>
          <w:rPr>
            <w:rStyle w:val="InternetLink"/>
          </w:rPr>
          <w:t>May 20, 2025</w:t>
        </w:r>
      </w:hyperlink>
      <w:r>
        <w:rPr>
          <w:rFonts w:ascii="Times New Roman;Times;serif" w:hAnsi="Times New Roman;Times;serif"/>
          <w:b w:val="false"/>
          <w:i w:val="false"/>
          <w:caps w:val="false"/>
          <w:smallCaps w:val="false"/>
          <w:color w:val="000000"/>
          <w:spacing w:val="4"/>
          <w:sz w:val="20"/>
        </w:rPr>
        <w:t xml:space="preserve">, </w:t>
      </w:r>
      <w:hyperlink r:id="rId28">
        <w:r>
          <w:rPr>
            <w:rStyle w:val="InternetLink"/>
          </w:rPr>
          <w:t>June 4, 2025</w:t>
        </w:r>
      </w:hyperlink>
      <w:r>
        <w:rPr>
          <w:rFonts w:ascii="Times New Roman;Times;serif" w:hAnsi="Times New Roman;Times;serif"/>
          <w:b w:val="false"/>
          <w:i w:val="false"/>
          <w:caps w:val="false"/>
          <w:smallCaps w:val="false"/>
          <w:color w:val="000000"/>
          <w:spacing w:val="4"/>
          <w:sz w:val="20"/>
        </w:rPr>
        <w:t xml:space="preserve">, </w:t>
      </w:r>
      <w:hyperlink r:id="rId29">
        <w:r>
          <w:rPr>
            <w:rStyle w:val="InternetLink"/>
          </w:rPr>
          <w:t>June 12, 2025</w:t>
        </w:r>
      </w:hyperlink>
      <w:r>
        <w:rPr>
          <w:rFonts w:ascii="Times New Roman;Times;serif" w:hAnsi="Times New Roman;Times;serif"/>
          <w:b w:val="false"/>
          <w:i w:val="false"/>
          <w:caps w:val="false"/>
          <w:smallCaps w:val="false"/>
          <w:color w:val="000000"/>
          <w:spacing w:val="4"/>
          <w:sz w:val="20"/>
        </w:rPr>
        <w:t xml:space="preserve">, </w:t>
      </w:r>
      <w:hyperlink r:id="rId30">
        <w:r>
          <w:rPr>
            <w:rStyle w:val="InternetLink"/>
          </w:rPr>
          <w:t>June 30, 2025</w:t>
        </w:r>
      </w:hyperlink>
      <w:r>
        <w:rPr>
          <w:rFonts w:ascii="Times New Roman;Times;serif" w:hAnsi="Times New Roman;Times;serif"/>
          <w:b w:val="false"/>
          <w:i w:val="false"/>
          <w:caps w:val="false"/>
          <w:smallCaps w:val="false"/>
          <w:color w:val="000000"/>
          <w:spacing w:val="4"/>
          <w:sz w:val="20"/>
        </w:rPr>
        <w:t xml:space="preserve">, </w:t>
      </w:r>
      <w:hyperlink r:id="rId31">
        <w:r>
          <w:rPr>
            <w:rStyle w:val="InternetLink"/>
          </w:rPr>
          <w:t>July 11, 2025</w:t>
        </w:r>
      </w:hyperlink>
      <w:r>
        <w:rPr>
          <w:rFonts w:ascii="Times New Roman;Times;serif" w:hAnsi="Times New Roman;Times;serif"/>
          <w:b w:val="false"/>
          <w:i w:val="false"/>
          <w:caps w:val="false"/>
          <w:smallCaps w:val="false"/>
          <w:color w:val="000000"/>
          <w:spacing w:val="4"/>
          <w:sz w:val="20"/>
        </w:rPr>
        <w:t xml:space="preserve">, </w:t>
      </w:r>
      <w:hyperlink r:id="rId32">
        <w:r>
          <w:rPr>
            <w:rStyle w:val="InternetLink"/>
          </w:rPr>
          <w:t>July 23, 2025</w:t>
        </w:r>
      </w:hyperlink>
      <w:r>
        <w:rPr>
          <w:rFonts w:ascii="Times New Roman;Times;serif" w:hAnsi="Times New Roman;Times;serif"/>
          <w:b w:val="false"/>
          <w:i w:val="false"/>
          <w:caps w:val="false"/>
          <w:smallCaps w:val="false"/>
          <w:color w:val="000000"/>
          <w:spacing w:val="4"/>
          <w:sz w:val="20"/>
        </w:rPr>
        <w:t xml:space="preserve">, </w:t>
      </w:r>
      <w:hyperlink r:id="rId33">
        <w:r>
          <w:rPr>
            <w:rStyle w:val="InternetLink"/>
          </w:rPr>
          <w:t>August 19, 2025</w:t>
        </w:r>
      </w:hyperlink>
      <w:r>
        <w:rPr>
          <w:rFonts w:ascii="Times New Roman;Times;serif" w:hAnsi="Times New Roman;Times;serif"/>
          <w:b w:val="false"/>
          <w:i w:val="false"/>
          <w:caps w:val="false"/>
          <w:smallCaps w:val="false"/>
          <w:color w:val="000000"/>
          <w:spacing w:val="4"/>
          <w:sz w:val="20"/>
        </w:rPr>
        <w:t xml:space="preserve">, </w:t>
      </w:r>
      <w:hyperlink r:id="rId34">
        <w:r>
          <w:rPr>
            <w:rStyle w:val="InternetLink"/>
          </w:rPr>
          <w:t>August 19, 2025</w:t>
        </w:r>
      </w:hyperlink>
      <w:r>
        <w:rPr>
          <w:rFonts w:ascii="Times New Roman;Times;serif" w:hAnsi="Times New Roman;Times;serif"/>
          <w:b w:val="false"/>
          <w:i w:val="false"/>
          <w:caps w:val="false"/>
          <w:smallCaps w:val="false"/>
          <w:color w:val="000000"/>
          <w:spacing w:val="4"/>
          <w:sz w:val="20"/>
        </w:rPr>
        <w:t xml:space="preserve"> and </w:t>
      </w:r>
      <w:hyperlink r:id="rId35">
        <w:r>
          <w:rPr>
            <w:rStyle w:val="InternetLink"/>
          </w:rPr>
          <w:t>August 25, 2025</w:t>
        </w:r>
      </w:hyperlink>
      <w:r>
        <w:rPr>
          <w:rFonts w:ascii="Times New Roman;Times;serif" w:hAnsi="Times New Roman;Times;serif"/>
          <w:b w:val="false"/>
          <w:i w:val="false"/>
          <w:caps w:val="false"/>
          <w:smallCaps w:val="false"/>
          <w:color w:val="000000"/>
          <w:spacing w:val="4"/>
          <w:sz w:val="20"/>
        </w:rPr>
        <w:t xml:space="preserve"> (other than documents or portions of those documents deemed to be furnished but not filed); </w:t>
      </w:r>
      <w:r>
        <mc:AlternateContent>
          <mc:Choice Requires="wps">
            <w:drawing>
              <wp:anchor behindDoc="0" distT="7493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7"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Class A common stock, contained in Viper Energy’s Current Report on Form 8-K12B filed with the SEC on August 19, 2025, including </w:t>
      </w:r>
      <w:hyperlink r:id="rId36">
        <w:r>
          <w:rPr>
            <w:rStyle w:val="InternetLink"/>
          </w:rPr>
          <w:t>Exhibit 4.9</w:t>
        </w:r>
      </w:hyperlink>
      <w:r>
        <w:rPr>
          <w:rFonts w:ascii="Times New Roman;Times;serif" w:hAnsi="Times New Roman;Times;serif"/>
          <w:b w:val="false"/>
          <w:i w:val="false"/>
          <w:caps w:val="false"/>
          <w:smallCaps w:val="false"/>
          <w:color w:val="000000"/>
          <w:spacing w:val="4"/>
          <w:sz w:val="20"/>
        </w:rPr>
        <w:t xml:space="preserve"> thereto, and including any amendment or report filed for the purpose of updating such description. </w:t>
      </w:r>
      <w:r>
        <mc:AlternateContent>
          <mc:Choice Requires="wps">
            <w:drawing>
              <wp:anchor behindDoc="0" distT="7493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8"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In addition, we incorporate by reference the audited consolidated financial statements of Tumbleweed-Q Royalty Partners, LLC and MC Tumbleweed Royalty, LLC, acquired by the Operating Company on September 3, 2024, and TWR IV, acquired by the Operating Company on October 1, 2024, in each case as of and for the year ended December 31, 2023, incorporated by reference into this prospectus in reliance upon the reports of Grant Thornton LLP, independent certified public accountants, which audited financial statements are included as Exhibits </w:t>
      </w:r>
      <w:hyperlink r:id="rId37">
        <w:r>
          <w:rPr>
            <w:rStyle w:val="InternetLink"/>
          </w:rPr>
          <w:t>99.2</w:t>
        </w:r>
      </w:hyperlink>
      <w:r>
        <w:rPr>
          <w:rFonts w:ascii="Times New Roman;Times;serif" w:hAnsi="Times New Roman;Times;serif"/>
          <w:b w:val="false"/>
          <w:i w:val="false"/>
          <w:caps w:val="false"/>
          <w:smallCaps w:val="false"/>
          <w:color w:val="000000"/>
          <w:spacing w:val="4"/>
          <w:sz w:val="20"/>
        </w:rPr>
        <w:t xml:space="preserve">, </w:t>
      </w:r>
      <w:hyperlink r:id="rId38">
        <w:r>
          <w:rPr>
            <w:rStyle w:val="InternetLink"/>
          </w:rPr>
          <w:t>99.3</w:t>
        </w:r>
      </w:hyperlink>
      <w:r>
        <w:rPr>
          <w:rFonts w:ascii="Times New Roman;Times;serif" w:hAnsi="Times New Roman;Times;serif"/>
          <w:b w:val="false"/>
          <w:i w:val="false"/>
          <w:caps w:val="false"/>
          <w:smallCaps w:val="false"/>
          <w:color w:val="000000"/>
          <w:spacing w:val="4"/>
          <w:sz w:val="20"/>
        </w:rPr>
        <w:t xml:space="preserve"> and </w:t>
      </w:r>
      <w:hyperlink r:id="rId39">
        <w:r>
          <w:rPr>
            <w:rStyle w:val="InternetLink"/>
          </w:rPr>
          <w:t>99.4</w:t>
        </w:r>
      </w:hyperlink>
      <w:r>
        <w:rPr>
          <w:rFonts w:ascii="Times New Roman;Times;serif" w:hAnsi="Times New Roman;Times;serif"/>
          <w:b w:val="false"/>
          <w:i w:val="false"/>
          <w:caps w:val="false"/>
          <w:smallCaps w:val="false"/>
          <w:color w:val="000000"/>
          <w:spacing w:val="4"/>
          <w:sz w:val="20"/>
        </w:rPr>
        <w:t xml:space="preserve">, respectively, to our Current Report on Form 8-K, filed with the SEC on September 11, 2024.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We also incorporate by reference the unaudited consolidated financial statements of Tumbleweed-Q Royalty Partners, LLC as of and for the six months ended June 30, 2024 and the unaudited consolidated financial statements of MC Tumbleweed Royalty, LLC as of and for the six months ended June 30, 2024, which are included as Exhibits </w:t>
      </w:r>
      <w:hyperlink r:id="rId40">
        <w:r>
          <w:rPr>
            <w:rStyle w:val="InternetLink"/>
          </w:rPr>
          <w:t>99.5</w:t>
        </w:r>
      </w:hyperlink>
      <w:r>
        <w:rPr>
          <w:rFonts w:ascii="Times New Roman;Times;serif" w:hAnsi="Times New Roman;Times;serif"/>
          <w:b w:val="false"/>
          <w:i w:val="false"/>
          <w:caps w:val="false"/>
          <w:smallCaps w:val="false"/>
          <w:color w:val="000000"/>
          <w:spacing w:val="4"/>
          <w:sz w:val="20"/>
        </w:rPr>
        <w:t xml:space="preserve"> and </w:t>
      </w:r>
      <w:hyperlink r:id="rId41">
        <w:r>
          <w:rPr>
            <w:rStyle w:val="InternetLink"/>
          </w:rPr>
          <w:t>99.6</w:t>
        </w:r>
      </w:hyperlink>
      <w:r>
        <w:rPr>
          <w:rFonts w:ascii="Times New Roman;Times;serif" w:hAnsi="Times New Roman;Times;serif"/>
          <w:b w:val="false"/>
          <w:i w:val="false"/>
          <w:caps w:val="false"/>
          <w:smallCaps w:val="false"/>
          <w:color w:val="000000"/>
          <w:spacing w:val="4"/>
          <w:sz w:val="20"/>
        </w:rPr>
        <w:t xml:space="preserve">, respectively to our Current Report on Form 8-K, filed with the SEC on September 11, 2024.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In addition, we incorporate by reference the audited statements of revenues and operating expenses for the Endeavor Mineral and Royalty Interests for the years ended December 31, 2024 and December 31, 2023, incorporated by reference into this prospectus from Viper Energy’s </w:t>
      </w:r>
      <w:hyperlink r:id="rId42">
        <w:r>
          <w:rPr>
            <w:rStyle w:val="InternetLink"/>
          </w:rPr>
          <w:t>Definitive Proxy Statement on Schedule DEFM 14A filed with the SEC on March 31, 2025</w:t>
        </w:r>
      </w:hyperlink>
      <w:r>
        <w:rPr>
          <w:rFonts w:ascii="Times New Roman;Times;serif" w:hAnsi="Times New Roman;Times;serif"/>
          <w:b w:val="false"/>
          <w:i w:val="false"/>
          <w:caps w:val="false"/>
          <w:smallCaps w:val="false"/>
          <w:color w:val="000000"/>
          <w:spacing w:val="4"/>
          <w:sz w:val="20"/>
        </w:rPr>
        <w:t xml:space="preserve">, in reliance upon the reports of Grant Thornton LLP, independent certified public accountants, which audited statements of revenues and direct operating expenses are included in such filing beginning on page F-1. </w:t>
      </w:r>
    </w:p>
    <w:p>
      <w:pPr>
        <w:pStyle w:val="TextBody"/>
        <w:bidi w:val="0"/>
        <w:spacing w:lineRule="atLeast" w:line="23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Further, we incorporate by reference into this prospectus certain estimates of total proved reserves, future production and income attributable to the Endeavor Mineral and Royalty Interests based upon estimates of such reserves, future production and income as of December 31, 2024 and 2023 prepared by Diamondback’s internal reserve engineers and audited by Ryder Scott Company, L.P., an independent petroleum engineering firm, incorporated by reference in this prospectus from our </w:t>
      </w:r>
      <w:hyperlink r:id="rId43">
        <w:r>
          <w:rPr>
            <w:rStyle w:val="InternetLink"/>
          </w:rPr>
          <w:t>Definitive Proxy Statement on Schedule DEFM 14A filed with the SEC on March 31, 2025</w:t>
        </w:r>
      </w:hyperlink>
      <w:r>
        <w:rPr>
          <w:rFonts w:ascii="Times New Roman;Times;serif" w:hAnsi="Times New Roman;Times;serif"/>
          <w:b w:val="false"/>
          <w:i w:val="false"/>
          <w:caps w:val="false"/>
          <w:smallCaps w:val="false"/>
          <w:color w:val="000000"/>
          <w:spacing w:val="4"/>
          <w:sz w:val="20"/>
        </w:rPr>
        <w:t xml:space="preserve">, in reliance upon the authority of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firm as experts in these matters, which reserve reports are included in such filing immediately following the statements of revenues and direct operating expenses of the Endeavor Mineral and Royalty Interests.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all documents filed by us with the SEC under Sections 13(a), 13(c), 14 or 15(d) of the Exchange Act (other than those furnished pursuant to Item 2.02 or Item 7.01 of Form 8-K, unless otherwise stated therein) after the date of this prospectus and prior to the filing of a post-effective amendment that indicates that all securities offered hereby have been sold or that deregisters all securities remaining unsold, will be considered to be incorporated by reference into this prospectus and to be a part of this prospectus from the dates of the filing of such documents. Pursuant to General Instruction B of Form 8-K, any information submitted under Item 2.02, Results of Operations and Financial Condition, or Item 7.01, Regulation FD Disclosure, of Form 8-K is not deemed to be “filed” for the purpose of Section 18 of the Exchange Act, and we are not subject to the liabilities of Section 18 of the Exchange Act with respect to information submitted under Item 2.02 or Item 7.01 of Form 8-K. We are not incorporating by reference any information submitted under Item 2.02 or Item 7.01 of Form 8-K into any filing under the Securities Act or the Exchange Act or into this prospectus or any prospectus supplement, unless otherwise indicated on such Form 8-K.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furnish without charge to you, on written or oral request, a copy of any documents incorporated by reference, including any exhibits to such documents. Copies of any of the documents we file with the SEC may be obtained free of charge on our website, the SEC’s website, by contacting Secretary, Viper Energy, Inc., 500 West Texas Ave., Suite 100, Midland, TX 79701 or by calling (432) 221-7400.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bLEMA"/>
      <w:bookmarkEnd w:id="27"/>
      <w:r>
        <w:rPr>
          <w:rFonts w:ascii="calibri;arial;sans-serif" w:hAnsi="calibri;arial;sans-serif"/>
          <w:b w:val="false"/>
          <w:i w:val="false"/>
          <w:caps w:val="false"/>
          <w:smallCaps w:val="false"/>
          <w:color w:val="000000"/>
          <w:sz w:val="16"/>
        </w:rPr>
        <w:t>​</w:t>
      </w:r>
      <w:bookmarkStart w:id="28" w:name="bEXP"/>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validity of the Class A common stock to be offered hereby by the selling stockholders will be passed upon by Wachtell, Lipton, Rosen &amp; Katz. If legal matters in connection with offerings made by this prospectus are passed on by counsel for the underwriters, dealers or agents, if any, that counsel will be named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audited consolidated financial statements of Viper Energy, Inc. (now known as VNOM Sub, Inc.)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audited consolidated financial statements of Tumbleweed-Q Royalty Partners, LLC, MC Tumbleweed Royalty, LLC and Tumbleweed Royalty IV, LLC, incorporated by reference in this prospectus and elsewhere in the registration statement have been so incorporated by reference in reliance upon the reports of Grant Thornton LLP, independent certified public accountants, upon the authority of said firm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audited statements of revenues and direct operating expenses attributable to certain mineral and royalty interests of Diamondback Energy, Inc. and several of its subsidiaries, Endeavor Energy Resources, LP, 1979 Royalties LP and 1979 Royalties GP, LLC (the “Endeavor Mineral and Royalty Interests”) incorporated by reference in this prospectus and elsewhere in the registration statement have been so incorporated by reference in reliance upon the report of Grant Thornton LLP, independent certified public accountants, upon the authority of said firm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incorporated by reference in this prospectus regarding estimated quantities of proved reserves, future production and income attributable to certain royalty interests of the Company is based upon estimates of such reserves, future production and income prepared by Diamondback’s internal reserve engineers and audited by Ryder Scott Company, L.P., an independent petroleum engineering firm. This information is incorporated by reference in this prospectus in reliance upon the authority of such firm as experts in these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incorporated by reference into this prospectus regarding estimates of total proved reserves, future production and income attributable to the Endeavor Mineral and Royalty Interests is based upon estimates of such reserves, future production and income prepared by Diamondback’s internal reserve engineers and audited by Ryder Scott Company, L.P., an independent petroleum engineering firm. This information is incorporated by reference into this prospectus in reliance upon the authority of such firm as experts in these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Sitio as of December 31, 2024 and 2023, and for each of the years in the three-year period ended December 31, 2024, and management’s assessment of the effectiveness of internal control over financial reporting as of December 31, 2024 have been incorporated by reference herein in reliance upon the report of KPMG LLP, independent registered public accounting firm, incorporated by reference herein, and upon the authority of said firm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information incorporated by reference herein regarding estimated quantities of proved reserves of Sitio and related future net cash flows related to those reserves as of December 31, 2024 is based upon a reserve report audited by independent petroleum engineers, Cawley, Gillespie &amp; Associates, Inc. Such estimates have been so incorporated in reliance on the authority of such firm as an expert in such matters.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29" w:name="tm2618990d1_ex-filingfees.htm"/>
      <w:bookmarkStart w:id="30" w:name="kstm2618990d1_exfilingfees"/>
      <w:bookmarkStart w:id="31" w:name="tm2618990d1_ex-filingfees.htm"/>
      <w:bookmarkStart w:id="32" w:name="kstm2618990d1_exfilingfees"/>
      <w:bookmarkEnd w:id="31"/>
      <w:bookmarkEnd w:id="32"/>
      <w:r>
        <w:br w:type="page"/>
      </w:r>
    </w:p>
    <w:tbl>
      <w:tblPr>
        <w:tblW w:w="3567" w:type="dxa"/>
        <w:jc w:val="left"/>
        <w:tblInd w:w="0" w:type="dxa"/>
        <w:tblLayout w:type="fixed"/>
        <w:tblCellMar>
          <w:top w:w="28" w:type="dxa"/>
          <w:left w:w="28" w:type="dxa"/>
          <w:bottom w:w="28" w:type="dxa"/>
          <w:right w:w="28" w:type="dxa"/>
        </w:tblCellMar>
      </w:tblPr>
      <w:tblGrid>
        <w:gridCol w:w="3413"/>
        <w:gridCol w:w="154"/>
      </w:tblGrid>
      <w:tr>
        <w:trPr/>
        <w:tc>
          <w:tcPr>
            <w:tcW w:w="356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3"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13" w:type="dxa"/>
            <w:tcBorders/>
            <w:vAlign w:val="center"/>
          </w:tcPr>
          <w:p>
            <w:pPr>
              <w:pStyle w:val="TableContents"/>
              <w:bidi w:val="0"/>
              <w:spacing w:before="0" w:after="283"/>
              <w:jc w:val="left"/>
              <w:rPr>
                <w:b/>
              </w:rPr>
            </w:pPr>
            <w:r>
              <w:rPr>
                <w:b/>
              </w:rPr>
              <w:t xml:space="preserve">Viper Energy,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89" w:type="dxa"/>
        <w:jc w:val="left"/>
        <w:tblInd w:w="0" w:type="dxa"/>
        <w:tblLayout w:type="fixed"/>
        <w:tblCellMar>
          <w:top w:w="28" w:type="dxa"/>
          <w:left w:w="28" w:type="dxa"/>
          <w:bottom w:w="28" w:type="dxa"/>
          <w:right w:w="28" w:type="dxa"/>
        </w:tblCellMar>
      </w:tblPr>
      <w:tblGrid>
        <w:gridCol w:w="1126"/>
        <w:gridCol w:w="226"/>
        <w:gridCol w:w="946"/>
        <w:gridCol w:w="1126"/>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12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8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126" w:type="dxa"/>
            <w:tcBorders/>
            <w:shd w:fill="E7E7E2" w:val="clear"/>
            <w:vAlign w:val="center"/>
          </w:tcPr>
          <w:p>
            <w:pPr>
              <w:pStyle w:val="TableContents"/>
              <w:bidi w:val="0"/>
              <w:spacing w:before="0" w:after="283"/>
              <w:jc w:val="left"/>
              <w:rPr/>
            </w:pPr>
            <w:r>
              <w:rPr/>
              <w:t xml:space="preserve">Class A common stock, par value $0.000001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3,691,796 </w:t>
            </w:r>
          </w:p>
        </w:tc>
        <w:tc>
          <w:tcPr>
            <w:tcW w:w="1156" w:type="dxa"/>
            <w:tcBorders/>
            <w:shd w:fill="E7E7E2" w:val="clear"/>
            <w:vAlign w:val="center"/>
          </w:tcPr>
          <w:p>
            <w:pPr>
              <w:pStyle w:val="TableContents"/>
              <w:bidi w:val="0"/>
              <w:spacing w:before="0" w:after="283"/>
              <w:jc w:val="right"/>
              <w:rPr/>
            </w:pPr>
            <w:r>
              <w:rPr/>
              <w:t xml:space="preserve">$ 43.205 </w:t>
            </w:r>
          </w:p>
        </w:tc>
        <w:tc>
          <w:tcPr>
            <w:tcW w:w="1786" w:type="dxa"/>
            <w:tcBorders/>
            <w:shd w:fill="E7E7E2" w:val="clear"/>
            <w:vAlign w:val="center"/>
          </w:tcPr>
          <w:p>
            <w:pPr>
              <w:pStyle w:val="TableContents"/>
              <w:bidi w:val="0"/>
              <w:spacing w:before="0" w:after="283"/>
              <w:jc w:val="right"/>
              <w:rPr/>
            </w:pPr>
            <w:r>
              <w:rPr/>
              <w:t xml:space="preserve">$ 159,504,046.18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$ 22,027.51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8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3" w:name="MaxAggtOfferingPrice"/>
            <w:bookmarkEnd w:id="33"/>
            <w:r>
              <w:rPr/>
              <w:t xml:space="preserve">$ 159,504,046.18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4" w:name="TotalFeeAmt"/>
            <w:bookmarkEnd w:id="34"/>
            <w:r>
              <w:rPr/>
              <w:t xml:space="preserve">$ 22,027.51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5" w:name="TotalPreviouslyPaidAmt"/>
            <w:bookmarkEnd w:id="3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6" w:name="TotalOffsetAmt"/>
            <w:bookmarkEnd w:id="3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8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7" w:name="NetFeeAmt"/>
            <w:bookmarkEnd w:id="37"/>
            <w:r>
              <w:rPr/>
              <w:t xml:space="preserve">$ 22,027.51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0"/>
        <w:gridCol w:w="1298"/>
        <w:gridCol w:w="8697"/>
      </w:tblGrid>
      <w:tr>
        <w:trPr/>
        <w:tc>
          <w:tcPr>
            <w:tcW w:w="21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5" w:type="dxa"/>
            <w:gridSpan w:val="2"/>
            <w:tcBorders/>
            <w:vAlign w:val="center"/>
          </w:tcPr>
          <w:p>
            <w:pPr>
              <w:pStyle w:val="TableContents"/>
              <w:bidi w:val="0"/>
              <w:spacing w:before="0" w:after="283"/>
              <w:jc w:val="left"/>
              <w:rPr/>
            </w:pPr>
            <w:r>
              <w:rPr/>
              <w:t xml:space="preserve">Estimated solely for the purpose of calculating the registration fee pursuant to Rule 457(c) under the Securities Act. The offering price per share and aggregate offering price are based upon the average of the high and low prices per share of Common Stock as reported on the Nasdaq Global Select Market on June 26, 2026, a date within five business days prior to the filing of this registration statement. </w:t>
            </w:r>
          </w:p>
        </w:tc>
      </w:tr>
      <w:tr>
        <w:trPr/>
        <w:tc>
          <w:tcPr>
            <w:tcW w:w="1508" w:type="dxa"/>
            <w:gridSpan w:val="2"/>
            <w:tcBorders/>
            <w:vAlign w:val="center"/>
          </w:tcPr>
          <w:p>
            <w:pPr>
              <w:pStyle w:val="HorizontalLine"/>
              <w:pBdr>
                <w:bottom w:val="double" w:sz="2" w:space="0" w:color="808080"/>
              </w:pBdr>
              <w:bidi w:val="0"/>
              <w:spacing w:before="0" w:after="283"/>
              <w:jc w:val="left"/>
              <w:rPr/>
            </w:pPr>
            <w:r>
              <w:rPr/>
            </w:r>
          </w:p>
        </w:tc>
        <w:tc>
          <w:tcPr>
            <w:tcW w:w="869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2074176/000207417626000010/vnom-20251231.htm" TargetMode="External"/><Relationship Id="rId3" Type="http://schemas.openxmlformats.org/officeDocument/2006/relationships/hyperlink" Target="https://www.sec.gov/ix?doc=/Archives/edgar/data/2074176/000207417626000010/vnom-20251231.htm" TargetMode="External"/><Relationship Id="rId4" Type="http://schemas.openxmlformats.org/officeDocument/2006/relationships/hyperlink" Target="https://www.sec.gov/ix?doc=/Archives/edgar/data/2074176/000207417626000010/vnom-20251231.htm" TargetMode="External"/><Relationship Id="rId5" Type="http://schemas.openxmlformats.org/officeDocument/2006/relationships/hyperlink" Target="https://www.sec.gov/ix?doc=/Archives/edgar/data/2074176/000207417626000010/vnom-20251231.htm" TargetMode="External"/><Relationship Id="rId6" Type="http://schemas.openxmlformats.org/officeDocument/2006/relationships/hyperlink" Target="https://www.sec.gov/ix?doc=/Archives/edgar/data/2074176/000207417626000030/vnom-20260331.htm" TargetMode="External"/><Relationship Id="rId7" Type="http://schemas.openxmlformats.org/officeDocument/2006/relationships/hyperlink" Target="https://www.sec.gov/ix?doc=/Archives/edgar/data/2074176/000119312526146417/d78130ddef14a.htm" TargetMode="External"/><Relationship Id="rId8" Type="http://schemas.openxmlformats.org/officeDocument/2006/relationships/hyperlink" Target="https://www.sec.gov/ix?doc=/Archives/edgar/data/2074176/000110465926017566/tm266596d1_8k.htm" TargetMode="External"/><Relationship Id="rId9" Type="http://schemas.openxmlformats.org/officeDocument/2006/relationships/hyperlink" Target="https://www.sec.gov/ix?doc=/Archives/edgar/data/2074176/000110465926022427/tm267697d1_8k.htm" TargetMode="External"/><Relationship Id="rId10" Type="http://schemas.openxmlformats.org/officeDocument/2006/relationships/hyperlink" Target="https://www.sec.gov/ix?doc=/Archives/edgar/data/2074176/000110465926023479/tm267705d4_8k.htm" TargetMode="External"/><Relationship Id="rId11" Type="http://schemas.openxmlformats.org/officeDocument/2006/relationships/hyperlink" Target="https://www.sec.gov/ix?doc=/Archives/edgar/data/2074176/000207417626000033/vnom-20260519.htm" TargetMode="External"/><Relationship Id="rId12" Type="http://schemas.openxmlformats.org/officeDocument/2006/relationships/hyperlink" Target="https://www.sec.gov/ix?doc=/Archives/edgar/data/2074176/000110465926074042/tm2617785d1_8k.htm" TargetMode="External"/><Relationship Id="rId13" Type="http://schemas.openxmlformats.org/officeDocument/2006/relationships/hyperlink" Target="https://www.sec.gov/ix?doc=/Archives/edgar/data/2074176/000119312525183036/d66098d8k12b.htm" TargetMode="External"/><Relationship Id="rId14" Type="http://schemas.openxmlformats.org/officeDocument/2006/relationships/hyperlink" Target="https://www.sec.gov/Archives/edgar/data/2074176/000119312525183036/d66098dex49.htm" TargetMode="External"/><Relationship Id="rId15" Type="http://schemas.openxmlformats.org/officeDocument/2006/relationships/hyperlink" Target="https://www.sec.gov/Archives/edgar/data/1602065/000119312525067943/d842453ddefm14a.htm" TargetMode="External"/><Relationship Id="rId16" Type="http://schemas.openxmlformats.org/officeDocument/2006/relationships/hyperlink" Target="http://www.sec.gov/ix?doc=/Archives/edgar/data/1602065/000160206525000010/vnom-20241231.htm" TargetMode="External"/><Relationship Id="rId17" Type="http://schemas.openxmlformats.org/officeDocument/2006/relationships/hyperlink" Target="http://www.sec.gov/ix?doc=/Archives/edgar/data/1602065/000160206525000010/vnom-20241231.htm" TargetMode="External"/><Relationship Id="rId18" Type="http://schemas.openxmlformats.org/officeDocument/2006/relationships/hyperlink" Target="http://www.sec.gov/ix?doc=/Archives/edgar/data/1602065/000160206525000061/vnom-20250630.htm" TargetMode="External"/><Relationship Id="rId19" Type="http://schemas.openxmlformats.org/officeDocument/2006/relationships/hyperlink" Target="http://www.sec.gov/ix?doc=/Archives/edgar/data/1602065/000160206525000035/vnom-20250331.htm" TargetMode="External"/><Relationship Id="rId20" Type="http://schemas.openxmlformats.org/officeDocument/2006/relationships/hyperlink" Target="http://www.sec.gov/ix?doc=/Archives/edgar/data/1602065/000119312525077960/d884560ddef14a.htm" TargetMode="External"/><Relationship Id="rId21" Type="http://schemas.openxmlformats.org/officeDocument/2006/relationships/hyperlink" Target="http://www.sec.gov/ix?doc=/Archives/edgar/data/1602065/000160206525000003/vnom-20250130.htm" TargetMode="External"/><Relationship Id="rId22" Type="http://schemas.openxmlformats.org/officeDocument/2006/relationships/hyperlink" Target="http://www.sec.gov/ix?doc=/Archives/edgar/data/1602065/000119312525019284/d791790d8k.htm" TargetMode="External"/><Relationship Id="rId23" Type="http://schemas.openxmlformats.org/officeDocument/2006/relationships/hyperlink" Target="http://www.sec.gov/ix?doc=/Archives/edgar/data/1602065/000114036125005265/ef20043982_8k.htm" TargetMode="External"/><Relationship Id="rId24" Type="http://schemas.openxmlformats.org/officeDocument/2006/relationships/hyperlink" Target="http://www.sec.gov/ix?doc=/Archives/edgar/data/1602065/000119312525091371/d83178d8k.htm" TargetMode="External"/><Relationship Id="rId25" Type="http://schemas.openxmlformats.org/officeDocument/2006/relationships/hyperlink" Target="http://www.sec.gov/ix?doc=/Archives/edgar/data/1602065/000160206525000027/vnom-20250501.htm" TargetMode="External"/><Relationship Id="rId26" Type="http://schemas.openxmlformats.org/officeDocument/2006/relationships/hyperlink" Target="http://www.sec.gov/ix?doc=/Archives/edgar/data/1602065/000160206525000030/vnom-20250505.htm" TargetMode="External"/><Relationship Id="rId27" Type="http://schemas.openxmlformats.org/officeDocument/2006/relationships/hyperlink" Target="http://www.sec.gov/ix?doc=/Archives/edgar/data/1602065/000160206525000039/vnom-20250520.htm" TargetMode="External"/><Relationship Id="rId28" Type="http://schemas.openxmlformats.org/officeDocument/2006/relationships/hyperlink" Target="http://www.sec.gov/ix?doc=/Archives/edgar/data/1602065/000119312525134303/d40523d8k.htm" TargetMode="External"/><Relationship Id="rId29" Type="http://schemas.openxmlformats.org/officeDocument/2006/relationships/hyperlink" Target="http://www.sec.gov/ix?doc=/Archives/edgar/data/1602065/000119312525139995/d88464d8k.htm" TargetMode="External"/><Relationship Id="rId30" Type="http://schemas.openxmlformats.org/officeDocument/2006/relationships/hyperlink" Target="http://www.sec.gov/ix?doc=/Archives/edgar/data/1602065/000119312525152799/d941838d8k.htm" TargetMode="External"/><Relationship Id="rId31" Type="http://schemas.openxmlformats.org/officeDocument/2006/relationships/hyperlink" Target="http://www.sec.gov/ix?doc=/Archives/edgar/data/1602065/000119312525157855/d27273d8k.htm" TargetMode="External"/><Relationship Id="rId32" Type="http://schemas.openxmlformats.org/officeDocument/2006/relationships/hyperlink" Target="http://www.sec.gov/ix?doc=/Archives/edgar/data/1602065/000119312525163455/d901207d8k.htm" TargetMode="External"/><Relationship Id="rId33" Type="http://schemas.openxmlformats.org/officeDocument/2006/relationships/hyperlink" Target="http://www.sec.gov/ix?doc=/Archives/edgar/data/1602065/000119312525183040/d65540d8k.htm" TargetMode="External"/><Relationship Id="rId34" Type="http://schemas.openxmlformats.org/officeDocument/2006/relationships/hyperlink" Target="http://www.sec.gov/ix?doc=/Archives/edgar/data/2074176/000119312525183036/d66098d8k12b.htm" TargetMode="External"/><Relationship Id="rId35" Type="http://schemas.openxmlformats.org/officeDocument/2006/relationships/hyperlink" Target="http://www.sec.gov/ix?doc=/Archives/edgar/data/2074176/000119312525187727/d97296d8ka.htm" TargetMode="External"/><Relationship Id="rId36" Type="http://schemas.openxmlformats.org/officeDocument/2006/relationships/hyperlink" Target="http://www.sec.gov/Archives/edgar/data/2074176/000119312525183036/d66098dex49.htm" TargetMode="External"/><Relationship Id="rId37" Type="http://schemas.openxmlformats.org/officeDocument/2006/relationships/hyperlink" Target="http://www.sec.gov/Archives/edgar/data/1602065/000160206524000067/viperex992-2023tumbleweedx.htm" TargetMode="External"/><Relationship Id="rId38" Type="http://schemas.openxmlformats.org/officeDocument/2006/relationships/hyperlink" Target="http://www.sec.gov/Archives/edgar/data/1602065/000160206524000067/viperex993-2023mctumblewee.htm" TargetMode="External"/><Relationship Id="rId39" Type="http://schemas.openxmlformats.org/officeDocument/2006/relationships/hyperlink" Target="http://www.sec.gov/Archives/edgar/data/1602065/000160206524000067/viperex994-2023tumbleweedr.htm" TargetMode="External"/><Relationship Id="rId40" Type="http://schemas.openxmlformats.org/officeDocument/2006/relationships/hyperlink" Target="http://www.sec.gov/Archives/edgar/data/1602065/000160206524000067/viperex995-q22024tumblewee.htm" TargetMode="External"/><Relationship Id="rId41" Type="http://schemas.openxmlformats.org/officeDocument/2006/relationships/hyperlink" Target="http://www.sec.gov/Archives/edgar/data/1602065/000160206524000067/viperex996-q22024mctumblew.htm" TargetMode="External"/><Relationship Id="rId42" Type="http://schemas.openxmlformats.org/officeDocument/2006/relationships/hyperlink" Target="http://www.sec.gov/Archives/edgar/data/1602065/000119312525067943/d842453ddefm14a.htm" TargetMode="External"/><Relationship Id="rId43" Type="http://schemas.openxmlformats.org/officeDocument/2006/relationships/hyperlink" Target="http://www.sec.gov/Archives/edgar/data/1602065/000119312525067943/d842453ddefm14a.htm"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25172</Words>
  <Characters>134764</Characters>
  <CharactersWithSpaces>163256</CharactersWithSpaces>
  <Paragraphs>2379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