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55880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2"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-256540</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SECURITIES EXCHANGE ACT OF 1934</w:t>
      </w:r>
    </w:p>
    <w:p>
      <w:pPr>
        <w:spacing w:after="0" w:line="137"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124460</wp:posOffset>
            </wp:positionV>
            <wp:extent cx="2614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Viper Energy,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73025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8" w:lineRule="exact"/>
        <w:rPr>
          <w:sz w:val="24"/>
          <w:szCs w:val="24"/>
          <w:color w:val="auto"/>
        </w:rPr>
      </w:pPr>
    </w:p>
    <w:tbl>
      <w:tblPr>
        <w:tblLayout w:type="fixed"/>
        <w:tblInd w:w="1980" w:type="dxa"/>
        <w:tblCellMar>
          <w:top w:w="0" w:type="dxa"/>
          <w:left w:w="0" w:type="dxa"/>
          <w:bottom w:w="0" w:type="dxa"/>
          <w:right w:w="0" w:type="dxa"/>
        </w:tblCellMar>
      </w:tblPr>
      <w:tr>
        <w:trPr>
          <w:trHeight w:val="190"/>
        </w:trPr>
        <w:tc>
          <w:tcPr>
            <w:tcW w:w="378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DE</w:t>
            </w:r>
          </w:p>
        </w:tc>
        <w:tc>
          <w:tcPr>
            <w:tcW w:w="3340" w:type="dxa"/>
            <w:vAlign w:val="bottom"/>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46-5001985</w:t>
            </w:r>
          </w:p>
        </w:tc>
      </w:tr>
      <w:tr>
        <w:trPr>
          <w:trHeight w:val="431"/>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334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190"/>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340" w:type="dxa"/>
            <w:vAlign w:val="bottom"/>
          </w:tcPr>
          <w:p>
            <w:pPr>
              <w:spacing w:after="0"/>
              <w:rPr>
                <w:sz w:val="16"/>
                <w:szCs w:val="16"/>
                <w:color w:val="auto"/>
              </w:rPr>
            </w:pPr>
          </w:p>
        </w:tc>
      </w:tr>
      <w:tr>
        <w:trPr>
          <w:trHeight w:val="419"/>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w w:val="99"/>
              </w:rPr>
              <w:t>500 West Texas Ave.,</w:t>
            </w:r>
          </w:p>
        </w:tc>
        <w:tc>
          <w:tcPr>
            <w:tcW w:w="3340" w:type="dxa"/>
            <w:vAlign w:val="bottom"/>
          </w:tcPr>
          <w:p>
            <w:pPr>
              <w:spacing w:after="0"/>
              <w:rPr>
                <w:sz w:val="24"/>
                <w:szCs w:val="24"/>
                <w:color w:val="auto"/>
              </w:rPr>
            </w:pPr>
          </w:p>
        </w:tc>
      </w:tr>
      <w:tr>
        <w:trPr>
          <w:trHeight w:val="229"/>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Suite 100</w:t>
            </w:r>
          </w:p>
        </w:tc>
        <w:tc>
          <w:tcPr>
            <w:tcW w:w="3340" w:type="dxa"/>
            <w:vAlign w:val="bottom"/>
          </w:tcPr>
          <w:p>
            <w:pPr>
              <w:spacing w:after="0"/>
              <w:rPr>
                <w:sz w:val="19"/>
                <w:szCs w:val="19"/>
                <w:color w:val="auto"/>
              </w:rPr>
            </w:pPr>
          </w:p>
        </w:tc>
      </w:tr>
      <w:tr>
        <w:trPr>
          <w:trHeight w:val="230"/>
        </w:trPr>
        <w:tc>
          <w:tcPr>
            <w:tcW w:w="378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Midland, TX</w:t>
            </w:r>
          </w:p>
        </w:tc>
        <w:tc>
          <w:tcPr>
            <w:tcW w:w="3340" w:type="dxa"/>
            <w:vAlign w:val="bottom"/>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79701</w:t>
            </w:r>
          </w:p>
        </w:tc>
      </w:tr>
      <w:tr>
        <w:trPr>
          <w:trHeight w:val="230"/>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4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(432) 221-7400</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pacing w:after="0" w:line="160" w:lineRule="exact"/>
        <w:rPr>
          <w:sz w:val="24"/>
          <w:szCs w:val="24"/>
          <w:color w:val="auto"/>
        </w:rPr>
      </w:pPr>
    </w:p>
    <w:tbl>
      <w:tblPr>
        <w:tblLayout w:type="fixed"/>
        <w:tblInd w:w="274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6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Class A Common Stock</w:t>
            </w:r>
          </w:p>
        </w:tc>
        <w:tc>
          <w:tcPr>
            <w:tcW w:w="4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VNOM</w:t>
            </w:r>
          </w:p>
        </w:tc>
        <w:tc>
          <w:tcPr>
            <w:tcW w:w="3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18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$0.000001 par value</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7"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2, 2025, 131,083,704 shares of Class A Common Stock and 157,458,390 shares of Class B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Page</w:t>
            </w: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FF"/>
            </w:tcBorders>
            <w:gridSpan w:val="1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Glossary of Oil and Natural Gas Terms</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0000FF"/>
                <w:w w:val="89"/>
              </w:rPr>
              <w:t>ii</w:t>
            </w: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54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Glossary of Certain Other Terms</w:t>
            </w:r>
          </w:p>
        </w:tc>
        <w:tc>
          <w:tcPr>
            <w:tcW w:w="280" w:type="dxa"/>
            <w:vAlign w:val="bottom"/>
          </w:tcPr>
          <w:p>
            <w:pPr>
              <w:spacing w:after="0"/>
              <w:rPr>
                <w:sz w:val="16"/>
                <w:szCs w:val="16"/>
                <w:color w:val="auto"/>
              </w:rPr>
            </w:pPr>
          </w:p>
        </w:tc>
        <w:tc>
          <w:tcPr>
            <w:tcW w:w="3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0000FF"/>
                <w:w w:val="79"/>
              </w:rPr>
              <w:t>iv</w:t>
            </w: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9"/>
                <w:szCs w:val="19"/>
                <w:color w:val="auto"/>
              </w:rPr>
            </w:pPr>
          </w:p>
        </w:tc>
        <w:tc>
          <w:tcPr>
            <w:tcW w:w="38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0000FF"/>
                <w:w w:val="99"/>
              </w:rPr>
              <w:t>v</w:t>
            </w:r>
          </w:p>
        </w:tc>
      </w:tr>
      <w:tr>
        <w:trPr>
          <w:trHeight w:val="216"/>
        </w:trPr>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0000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35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54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Item 1. Condensed Consolidated Financial Statements (Unaudited)</w:t>
            </w:r>
          </w:p>
        </w:tc>
        <w:tc>
          <w:tcPr>
            <w:tcW w:w="36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36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36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Condensed Consolidated Statements of Changes to Stockholders’ Equity</w:t>
            </w:r>
          </w:p>
        </w:tc>
        <w:tc>
          <w:tcPr>
            <w:tcW w:w="36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472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5280" w:type="dxa"/>
            <w:vAlign w:val="bottom"/>
            <w:tcBorders>
              <w:top w:val="single" w:sz="8" w:color="CCEEFF"/>
            </w:tcBorders>
            <w:gridSpan w:val="4"/>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0000FF"/>
            </w:tcBorders>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0000FF"/>
              </w:rPr>
              <w:t>Notes to the Condensed Consolidated Financial Statements</w:t>
            </w:r>
          </w:p>
        </w:tc>
        <w:tc>
          <w:tcPr>
            <w:tcW w:w="6160" w:type="dxa"/>
            <w:vAlign w:val="bottom"/>
            <w:tcBorders>
              <w:bottom w:val="single" w:sz="8" w:color="CCEEFF"/>
            </w:tcBorders>
            <w:gridSpan w:val="6"/>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0000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1040" w:type="dxa"/>
            <w:vAlign w:val="bottom"/>
            <w:gridSpan w:val="5"/>
          </w:tcPr>
          <w:p>
            <w:pPr>
              <w:ind w:left="900"/>
              <w:spacing w:after="0"/>
              <w:rPr>
                <w:sz w:val="20"/>
                <w:szCs w:val="20"/>
                <w:color w:val="auto"/>
              </w:rPr>
            </w:pPr>
            <w:r>
              <w:rPr>
                <w:rFonts w:ascii="Times New Roman" w:cs="Times New Roman" w:eastAsia="Times New Roman" w:hAnsi="Times New Roman"/>
                <w:sz w:val="16"/>
                <w:szCs w:val="16"/>
                <w:color w:val="0000FF"/>
                <w:w w:val="99"/>
              </w:rPr>
              <w:t>1.</w:t>
            </w:r>
          </w:p>
        </w:tc>
        <w:tc>
          <w:tcPr>
            <w:tcW w:w="9520" w:type="dxa"/>
            <w:vAlign w:val="bottom"/>
            <w:gridSpan w:val="33"/>
          </w:tcPr>
          <w:p>
            <w:pPr>
              <w:ind w:left="20"/>
              <w:spacing w:after="0"/>
              <w:rPr>
                <w:sz w:val="20"/>
                <w:szCs w:val="20"/>
                <w:color w:val="auto"/>
              </w:rPr>
            </w:pPr>
            <w:r>
              <w:rPr>
                <w:rFonts w:ascii="Times New Roman" w:cs="Times New Roman" w:eastAsia="Times New Roman" w:hAnsi="Times New Roman"/>
                <w:sz w:val="16"/>
                <w:szCs w:val="16"/>
                <w:color w:val="0000FF"/>
              </w:rPr>
              <w:t>Organization and Basis of Presentation</w:t>
            </w:r>
          </w:p>
        </w:tc>
        <w:tc>
          <w:tcPr>
            <w:tcW w:w="36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880" w:type="dxa"/>
            <w:vAlign w:val="bottom"/>
            <w:tcBorders>
              <w:bottom w:val="single" w:sz="8" w:color="CCEEFF"/>
            </w:tcBorders>
            <w:gridSpan w:val="4"/>
            <w:shd w:val="clear" w:color="auto" w:fill="CCEEFF"/>
          </w:tcPr>
          <w:p>
            <w:pPr>
              <w:spacing w:after="0"/>
              <w:rPr>
                <w:sz w:val="19"/>
                <w:szCs w:val="19"/>
                <w:color w:val="auto"/>
              </w:rPr>
            </w:pPr>
          </w:p>
        </w:tc>
        <w:tc>
          <w:tcPr>
            <w:tcW w:w="160" w:type="dxa"/>
            <w:vAlign w:val="bottom"/>
            <w:tcBorders>
              <w:bottom w:val="single" w:sz="8" w:color="0000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2.</w:t>
            </w:r>
          </w:p>
        </w:tc>
        <w:tc>
          <w:tcPr>
            <w:tcW w:w="2920" w:type="dxa"/>
            <w:vAlign w:val="bottom"/>
            <w:tcBorders>
              <w:bottom w:val="single" w:sz="8" w:color="0000FF"/>
            </w:tcBorders>
            <w:gridSpan w:val="23"/>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Summary of Significant Accounting Policies</w:t>
            </w:r>
          </w:p>
        </w:tc>
        <w:tc>
          <w:tcPr>
            <w:tcW w:w="6600" w:type="dxa"/>
            <w:vAlign w:val="bottom"/>
            <w:tcBorders>
              <w:bottom w:val="single" w:sz="8" w:color="CCEEFF"/>
            </w:tcBorders>
            <w:gridSpan w:val="10"/>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0000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1040" w:type="dxa"/>
            <w:vAlign w:val="bottom"/>
            <w:gridSpan w:val="5"/>
          </w:tcPr>
          <w:p>
            <w:pPr>
              <w:ind w:left="900"/>
              <w:spacing w:after="0"/>
              <w:rPr>
                <w:sz w:val="20"/>
                <w:szCs w:val="20"/>
                <w:color w:val="auto"/>
              </w:rPr>
            </w:pPr>
            <w:r>
              <w:rPr>
                <w:rFonts w:ascii="Times New Roman" w:cs="Times New Roman" w:eastAsia="Times New Roman" w:hAnsi="Times New Roman"/>
                <w:sz w:val="16"/>
                <w:szCs w:val="16"/>
                <w:color w:val="0000FF"/>
                <w:w w:val="99"/>
              </w:rPr>
              <w:t>3.</w:t>
            </w:r>
          </w:p>
        </w:tc>
        <w:tc>
          <w:tcPr>
            <w:tcW w:w="9520" w:type="dxa"/>
            <w:vAlign w:val="bottom"/>
            <w:gridSpan w:val="33"/>
          </w:tcPr>
          <w:p>
            <w:pPr>
              <w:ind w:left="20"/>
              <w:spacing w:after="0"/>
              <w:rPr>
                <w:sz w:val="20"/>
                <w:szCs w:val="20"/>
                <w:color w:val="auto"/>
              </w:rPr>
            </w:pPr>
            <w:r>
              <w:rPr>
                <w:rFonts w:ascii="Times New Roman" w:cs="Times New Roman" w:eastAsia="Times New Roman" w:hAnsi="Times New Roman"/>
                <w:sz w:val="16"/>
                <w:szCs w:val="16"/>
                <w:color w:val="0000FF"/>
              </w:rPr>
              <w:t>Revenue from Contracts with Customers</w:t>
            </w:r>
          </w:p>
        </w:tc>
        <w:tc>
          <w:tcPr>
            <w:tcW w:w="36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880" w:type="dxa"/>
            <w:vAlign w:val="bottom"/>
            <w:gridSpan w:val="4"/>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4.</w:t>
            </w:r>
          </w:p>
        </w:tc>
        <w:tc>
          <w:tcPr>
            <w:tcW w:w="9520" w:type="dxa"/>
            <w:vAlign w:val="bottom"/>
            <w:gridSpan w:val="33"/>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Acquisitions and Divestitures</w:t>
            </w:r>
          </w:p>
        </w:tc>
        <w:tc>
          <w:tcPr>
            <w:tcW w:w="36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880" w:type="dxa"/>
            <w:vAlign w:val="bottom"/>
            <w:gridSpan w:val="4"/>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5.</w:t>
            </w:r>
          </w:p>
        </w:tc>
        <w:tc>
          <w:tcPr>
            <w:tcW w:w="192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0000FF"/>
              </w:rPr>
              <w:t>Oil and Natural Gas Interests</w:t>
            </w:r>
          </w:p>
        </w:tc>
        <w:tc>
          <w:tcPr>
            <w:tcW w:w="7600" w:type="dxa"/>
            <w:vAlign w:val="bottom"/>
            <w:gridSpan w:val="17"/>
          </w:tcPr>
          <w:p>
            <w:pPr>
              <w:spacing w:after="0"/>
              <w:rPr>
                <w:sz w:val="16"/>
                <w:szCs w:val="16"/>
                <w:color w:val="auto"/>
              </w:rPr>
            </w:pP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10</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880" w:type="dxa"/>
            <w:vAlign w:val="bottom"/>
            <w:gridSpan w:val="4"/>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6.</w:t>
            </w:r>
          </w:p>
        </w:tc>
        <w:tc>
          <w:tcPr>
            <w:tcW w:w="9520" w:type="dxa"/>
            <w:vAlign w:val="bottom"/>
            <w:gridSpan w:val="33"/>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Debt</w:t>
            </w:r>
          </w:p>
        </w:tc>
        <w:tc>
          <w:tcPr>
            <w:tcW w:w="400" w:type="dxa"/>
            <w:vAlign w:val="bottom"/>
            <w:tcBorders>
              <w:right w:val="single" w:sz="8" w:color="CCEEFF"/>
            </w:tcBorders>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11</w:t>
            </w:r>
          </w:p>
        </w:tc>
        <w:tc>
          <w:tcPr>
            <w:tcW w:w="26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880" w:type="dxa"/>
            <w:vAlign w:val="bottom"/>
            <w:gridSpan w:val="4"/>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7.</w:t>
            </w:r>
          </w:p>
        </w:tc>
        <w:tc>
          <w:tcPr>
            <w:tcW w:w="9520" w:type="dxa"/>
            <w:vAlign w:val="bottom"/>
            <w:gridSpan w:val="33"/>
          </w:tcPr>
          <w:p>
            <w:pPr>
              <w:ind w:left="20"/>
              <w:spacing w:after="0"/>
              <w:rPr>
                <w:sz w:val="20"/>
                <w:szCs w:val="20"/>
                <w:color w:val="auto"/>
              </w:rPr>
            </w:pPr>
            <w:r>
              <w:rPr>
                <w:rFonts w:ascii="Times New Roman" w:cs="Times New Roman" w:eastAsia="Times New Roman" w:hAnsi="Times New Roman"/>
                <w:sz w:val="16"/>
                <w:szCs w:val="16"/>
                <w:color w:val="0000FF"/>
              </w:rPr>
              <w:t>Stockholders' Equity</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11</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880" w:type="dxa"/>
            <w:vAlign w:val="bottom"/>
            <w:tcBorders>
              <w:bottom w:val="single" w:sz="8" w:color="CCEEFF"/>
            </w:tcBorders>
            <w:gridSpan w:val="4"/>
            <w:shd w:val="clear" w:color="auto" w:fill="CCEEFF"/>
          </w:tcPr>
          <w:p>
            <w:pPr>
              <w:spacing w:after="0"/>
              <w:rPr>
                <w:sz w:val="19"/>
                <w:szCs w:val="19"/>
                <w:color w:val="auto"/>
              </w:rPr>
            </w:pPr>
          </w:p>
        </w:tc>
        <w:tc>
          <w:tcPr>
            <w:tcW w:w="160" w:type="dxa"/>
            <w:vAlign w:val="bottom"/>
            <w:tcBorders>
              <w:bottom w:val="single" w:sz="8" w:color="0000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8.</w:t>
            </w:r>
          </w:p>
        </w:tc>
        <w:tc>
          <w:tcPr>
            <w:tcW w:w="1900" w:type="dxa"/>
            <w:vAlign w:val="bottom"/>
            <w:tcBorders>
              <w:bottom w:val="single" w:sz="8" w:color="0000FF"/>
            </w:tcBorders>
            <w:gridSpan w:val="15"/>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Earnings Per Common Share</w:t>
            </w:r>
          </w:p>
        </w:tc>
        <w:tc>
          <w:tcPr>
            <w:tcW w:w="7620" w:type="dxa"/>
            <w:vAlign w:val="bottom"/>
            <w:tcBorders>
              <w:bottom w:val="single" w:sz="8" w:color="CCEEFF"/>
            </w:tcBorders>
            <w:gridSpan w:val="18"/>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0000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74"/>
              </w:rPr>
              <w:t>13</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1040" w:type="dxa"/>
            <w:vAlign w:val="bottom"/>
            <w:gridSpan w:val="5"/>
          </w:tcPr>
          <w:p>
            <w:pPr>
              <w:ind w:left="900"/>
              <w:spacing w:after="0"/>
              <w:rPr>
                <w:sz w:val="20"/>
                <w:szCs w:val="20"/>
                <w:color w:val="auto"/>
              </w:rPr>
            </w:pPr>
            <w:r>
              <w:rPr>
                <w:rFonts w:ascii="Times New Roman" w:cs="Times New Roman" w:eastAsia="Times New Roman" w:hAnsi="Times New Roman"/>
                <w:sz w:val="16"/>
                <w:szCs w:val="16"/>
                <w:color w:val="0000FF"/>
                <w:w w:val="99"/>
              </w:rPr>
              <w:t>9.</w:t>
            </w:r>
          </w:p>
        </w:tc>
        <w:tc>
          <w:tcPr>
            <w:tcW w:w="9520" w:type="dxa"/>
            <w:vAlign w:val="bottom"/>
            <w:gridSpan w:val="33"/>
          </w:tcPr>
          <w:p>
            <w:pPr>
              <w:ind w:left="20"/>
              <w:spacing w:after="0"/>
              <w:rPr>
                <w:sz w:val="20"/>
                <w:szCs w:val="20"/>
                <w:color w:val="auto"/>
              </w:rPr>
            </w:pPr>
            <w:r>
              <w:rPr>
                <w:rFonts w:ascii="Times New Roman" w:cs="Times New Roman" w:eastAsia="Times New Roman" w:hAnsi="Times New Roman"/>
                <w:sz w:val="16"/>
                <w:szCs w:val="16"/>
                <w:color w:val="0000FF"/>
              </w:rPr>
              <w:t>Income Taxes</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14</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0000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8"/>
              </w:rPr>
              <w:t>10. Derivatives</w:t>
            </w:r>
          </w:p>
        </w:tc>
        <w:tc>
          <w:tcPr>
            <w:tcW w:w="8680" w:type="dxa"/>
            <w:vAlign w:val="bottom"/>
            <w:tcBorders>
              <w:bottom w:val="single" w:sz="8" w:color="CCEEFF"/>
            </w:tcBorders>
            <w:gridSpan w:val="27"/>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0000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74"/>
              </w:rPr>
              <w:t>15</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80" w:type="dxa"/>
            <w:vAlign w:val="bottom"/>
            <w:gridSpan w:val="34"/>
          </w:tcPr>
          <w:p>
            <w:pPr>
              <w:ind w:left="20"/>
              <w:spacing w:after="0"/>
              <w:rPr>
                <w:sz w:val="20"/>
                <w:szCs w:val="20"/>
                <w:color w:val="auto"/>
              </w:rPr>
            </w:pPr>
            <w:r>
              <w:rPr>
                <w:rFonts w:ascii="Times New Roman" w:cs="Times New Roman" w:eastAsia="Times New Roman" w:hAnsi="Times New Roman"/>
                <w:sz w:val="16"/>
                <w:szCs w:val="16"/>
                <w:color w:val="0000FF"/>
              </w:rPr>
              <w:t>11. Fair Value Measurements</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16</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0000FF"/>
            </w:tcBorders>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12. Commitments and Contingencies</w:t>
            </w:r>
          </w:p>
        </w:tc>
        <w:tc>
          <w:tcPr>
            <w:tcW w:w="7260" w:type="dxa"/>
            <w:vAlign w:val="bottom"/>
            <w:tcBorders>
              <w:bottom w:val="single" w:sz="8" w:color="CCEEFF"/>
            </w:tcBorders>
            <w:gridSpan w:val="15"/>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0000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74"/>
              </w:rPr>
              <w:t>18</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80" w:type="dxa"/>
            <w:vAlign w:val="bottom"/>
            <w:gridSpan w:val="34"/>
          </w:tcPr>
          <w:p>
            <w:pPr>
              <w:ind w:left="20"/>
              <w:spacing w:after="0"/>
              <w:rPr>
                <w:sz w:val="20"/>
                <w:szCs w:val="20"/>
                <w:color w:val="auto"/>
              </w:rPr>
            </w:pPr>
            <w:r>
              <w:rPr>
                <w:rFonts w:ascii="Times New Roman" w:cs="Times New Roman" w:eastAsia="Times New Roman" w:hAnsi="Times New Roman"/>
                <w:sz w:val="16"/>
                <w:szCs w:val="16"/>
                <w:color w:val="0000FF"/>
              </w:rPr>
              <w:t>13. Subsequent Events</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18</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80" w:type="dxa"/>
            <w:vAlign w:val="bottom"/>
            <w:gridSpan w:val="34"/>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14. Segment Information</w:t>
            </w:r>
          </w:p>
        </w:tc>
        <w:tc>
          <w:tcPr>
            <w:tcW w:w="400" w:type="dxa"/>
            <w:vAlign w:val="bottom"/>
            <w:tcBorders>
              <w:right w:val="single" w:sz="8" w:color="CCEEFF"/>
            </w:tcBorders>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19</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gridSpan w:val="2"/>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00" w:type="dxa"/>
            <w:vAlign w:val="bottom"/>
            <w:tcBorders>
              <w:right w:val="single" w:sz="8" w:color="CCEEFF"/>
            </w:tcBorders>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20</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gridSpan w:val="2"/>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1060" w:type="dxa"/>
            <w:vAlign w:val="bottom"/>
            <w:tcBorders>
              <w:top w:val="single" w:sz="8" w:color="0000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400" w:type="dxa"/>
            <w:vAlign w:val="bottom"/>
            <w:tcBorders>
              <w:right w:val="single" w:sz="8" w:color="CCEEFF"/>
            </w:tcBorders>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31</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gridSpan w:val="2"/>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400" w:type="dxa"/>
            <w:vAlign w:val="bottom"/>
            <w:tcBorders>
              <w:right w:val="single" w:sz="8" w:color="CCEEFF"/>
            </w:tcBorders>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32</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0000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370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54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33</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33</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34</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34</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35</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36</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glossary of certain oil and natural gas terms that are used in this Quarterly Report on Form 10-Q (this “report”) and our other periodic reports under the Exchange Act: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Argus WTI Midland</w:t>
            </w:r>
          </w:p>
        </w:tc>
        <w:tc>
          <w:tcPr>
            <w:tcW w:w="892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Midland, Texas.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Basin</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189"/>
        </w:trPr>
        <w:tc>
          <w:tcPr>
            <w:tcW w:w="2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Bbl or barrel</w:t>
            </w:r>
          </w:p>
        </w:tc>
        <w:tc>
          <w:tcPr>
            <w:tcW w:w="89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One stock tank barrel, or 42 U.S. gallons liquid volume, used in this report in reference to crude oil or other liquid</w:t>
            </w:r>
          </w:p>
        </w:tc>
      </w:tr>
      <w:tr>
        <w:trPr>
          <w:trHeight w:val="229"/>
        </w:trPr>
        <w:tc>
          <w:tcPr>
            <w:tcW w:w="2320" w:type="dxa"/>
            <w:vAlign w:val="bottom"/>
            <w:shd w:val="clear" w:color="auto" w:fill="CCEEFF"/>
          </w:tcPr>
          <w:p>
            <w:pPr>
              <w:spacing w:after="0"/>
              <w:rPr>
                <w:sz w:val="19"/>
                <w:szCs w:val="19"/>
                <w:color w:val="auto"/>
              </w:rPr>
            </w:pP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hydrocarbons.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BO/d</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barrel of crude oil per day.</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 barrel of oil equivalent, with six thousand cubic feet of natural gas being equivalent to one barrel of oil.</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BOE/d</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BOE per day.</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189"/>
        </w:trPr>
        <w:tc>
          <w:tcPr>
            <w:tcW w:w="2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Completion</w:t>
            </w:r>
          </w:p>
        </w:tc>
        <w:tc>
          <w:tcPr>
            <w:tcW w:w="89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The process of treating a drilled well followed by the installation of permanent equipment for the production of natural</w:t>
            </w:r>
          </w:p>
        </w:tc>
      </w:tr>
      <w:tr>
        <w:trPr>
          <w:trHeight w:val="229"/>
        </w:trPr>
        <w:tc>
          <w:tcPr>
            <w:tcW w:w="2320" w:type="dxa"/>
            <w:vAlign w:val="bottom"/>
            <w:shd w:val="clear" w:color="auto" w:fill="CCEEFF"/>
          </w:tcPr>
          <w:p>
            <w:pPr>
              <w:spacing w:after="0"/>
              <w:rPr>
                <w:sz w:val="19"/>
                <w:szCs w:val="19"/>
                <w:color w:val="auto"/>
              </w:rPr>
            </w:pP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gas or oil, or in the case of a dry hole, the reporting of abandonment to the appropriate agency.</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well</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well drilled within the proved area of a natural gas or oil reservoir to the depth of a stratigraphic horizon known to be</w:t>
            </w:r>
          </w:p>
        </w:tc>
      </w:tr>
      <w:tr>
        <w:trPr>
          <w:trHeight w:val="241"/>
        </w:trPr>
        <w:tc>
          <w:tcPr>
            <w:tcW w:w="232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productive.</w:t>
            </w: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Differential</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adjustment to the price of oil or natural gas from an established spot market price to reflect differences in the quality</w:t>
            </w:r>
          </w:p>
        </w:tc>
      </w:tr>
      <w:tr>
        <w:trPr>
          <w:trHeight w:val="234"/>
        </w:trPr>
        <w:tc>
          <w:tcPr>
            <w:tcW w:w="2320" w:type="dxa"/>
            <w:vAlign w:val="bottom"/>
          </w:tcPr>
          <w:p>
            <w:pPr>
              <w:spacing w:after="0"/>
              <w:rPr>
                <w:sz w:val="20"/>
                <w:szCs w:val="20"/>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and/or location of oil or natural gas.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Fracturing</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process of creating and preserving a fracture or system of fractures in a reservoir rock typically by injecting a fluid</w:t>
            </w:r>
          </w:p>
        </w:tc>
      </w:tr>
      <w:tr>
        <w:trPr>
          <w:trHeight w:val="241"/>
        </w:trPr>
        <w:tc>
          <w:tcPr>
            <w:tcW w:w="232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under pressure through a wellbore and into the targeted formation.</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wells</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total wells in which a working interest is owned.</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Hub</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gathering point that serves as a benchmark price for natural gas futures on the NYMEX.</w:t>
            </w:r>
          </w:p>
        </w:tc>
      </w:tr>
      <w:tr>
        <w:trPr>
          <w:trHeight w:val="189"/>
        </w:trPr>
        <w:tc>
          <w:tcPr>
            <w:tcW w:w="23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Horizontal wells</w:t>
            </w:r>
          </w:p>
        </w:tc>
        <w:tc>
          <w:tcPr>
            <w:tcW w:w="89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 vertical</w:t>
            </w:r>
          </w:p>
        </w:tc>
      </w:tr>
      <w:tr>
        <w:trPr>
          <w:trHeight w:val="230"/>
        </w:trPr>
        <w:tc>
          <w:tcPr>
            <w:tcW w:w="2320" w:type="dxa"/>
            <w:vAlign w:val="bottom"/>
          </w:tcPr>
          <w:p>
            <w:pPr>
              <w:spacing w:after="0"/>
              <w:rPr>
                <w:sz w:val="19"/>
                <w:szCs w:val="19"/>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drilling mechanisms.</w:t>
            </w: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MBbls</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 thousand barrels of crude oil and other liquid hydrocarbons.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MBO/d</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thousand barrels of crude oil per day.</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MBOE</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 thousand barrels of crude oil equivalent, determined using a ratio of six Mcf of natural gas to one Bbl of crude oil,</w:t>
            </w:r>
          </w:p>
        </w:tc>
      </w:tr>
      <w:tr>
        <w:trPr>
          <w:trHeight w:val="241"/>
        </w:trPr>
        <w:tc>
          <w:tcPr>
            <w:tcW w:w="232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condensate or natural gas liquids.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MBOE/d</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thousand BOE per day.</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Mcf</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 thousand cubic feet of natural gas.</w:t>
            </w: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Mineral interests</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 extracted</w:t>
            </w:r>
          </w:p>
        </w:tc>
      </w:tr>
      <w:tr>
        <w:trPr>
          <w:trHeight w:val="234"/>
        </w:trPr>
        <w:tc>
          <w:tcPr>
            <w:tcW w:w="2320" w:type="dxa"/>
            <w:vAlign w:val="bottom"/>
          </w:tcPr>
          <w:p>
            <w:pPr>
              <w:spacing w:after="0"/>
              <w:rPr>
                <w:sz w:val="20"/>
                <w:szCs w:val="20"/>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resources.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 million British Thermal Units.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MMcf</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cubic feet of natural gas.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royalty acres</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mineral acres multiplied by the average lease royalty interest and other burdens.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Operator</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individual or company responsible for the exploration and/or production of an oil or natural gas well or lease.</w:t>
            </w:r>
          </w:p>
        </w:tc>
      </w:tr>
      <w:tr>
        <w:trPr>
          <w:trHeight w:val="189"/>
        </w:trPr>
        <w:tc>
          <w:tcPr>
            <w:tcW w:w="23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Proved reserves</w:t>
            </w:r>
          </w:p>
        </w:tc>
        <w:tc>
          <w:tcPr>
            <w:tcW w:w="89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The estimated quantities of oil, natural gas and natural gas liquids which geological and engineering data demonstrate</w:t>
            </w:r>
          </w:p>
        </w:tc>
      </w:tr>
      <w:tr>
        <w:trPr>
          <w:trHeight w:val="162"/>
        </w:trPr>
        <w:tc>
          <w:tcPr>
            <w:tcW w:w="2320" w:type="dxa"/>
            <w:vAlign w:val="bottom"/>
          </w:tcPr>
          <w:p>
            <w:pPr>
              <w:spacing w:after="0"/>
              <w:rPr>
                <w:sz w:val="14"/>
                <w:szCs w:val="14"/>
                <w:color w:val="auto"/>
              </w:rPr>
            </w:pPr>
          </w:p>
        </w:tc>
        <w:tc>
          <w:tcPr>
            <w:tcW w:w="892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color w:val="auto"/>
              </w:rPr>
              <w:t>with reasonable certainty to be commercially recoverable in future years from known reservoirs under existing economic</w:t>
            </w:r>
          </w:p>
        </w:tc>
      </w:tr>
      <w:tr>
        <w:trPr>
          <w:trHeight w:val="239"/>
        </w:trPr>
        <w:tc>
          <w:tcPr>
            <w:tcW w:w="232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and operating conditions.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07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Royalty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spacing w:after="0" w:line="10"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 carry any costs of development, which may be subject to expiration.</w:t>
      </w:r>
    </w:p>
    <w:p>
      <w:pPr>
        <w:spacing w:after="0" w:line="21" w:lineRule="exact"/>
        <w:rPr>
          <w:sz w:val="20"/>
          <w:szCs w:val="20"/>
          <w:color w:val="auto"/>
        </w:rPr>
      </w:pPr>
    </w:p>
    <w:p>
      <w:pPr>
        <w:sectPr>
          <w:pgSz w:w="11900" w:h="16838" w:orient="portrait"/>
          <w:cols w:equalWidth="0" w:num="2">
            <w:col w:w="1740" w:space="720"/>
            <w:col w:w="87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Spud</w:t>
            </w:r>
          </w:p>
        </w:tc>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Commencement of actual drilling operations.</w:t>
            </w: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Waha Hub</w:t>
            </w:r>
          </w:p>
        </w:tc>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Natural gas gathering point that serves as a benchmark price for natural gas at western Texas and New Mexico.</w:t>
            </w:r>
          </w:p>
        </w:tc>
      </w:tr>
      <w:tr>
        <w:trPr>
          <w:trHeight w:val="27"/>
        </w:trPr>
        <w:tc>
          <w:tcPr>
            <w:tcW w:w="174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25"/>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w:t>
            </w:r>
          </w:p>
        </w:tc>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West Texas Intermediate, a light sweet blend of oil produced from fields in western Texas and is a grade of oil that serves</w:t>
            </w:r>
          </w:p>
        </w:tc>
      </w:tr>
      <w:tr>
        <w:trPr>
          <w:trHeight w:val="241"/>
        </w:trPr>
        <w:tc>
          <w:tcPr>
            <w:tcW w:w="1740" w:type="dxa"/>
            <w:vAlign w:val="bottom"/>
            <w:tcBorders>
              <w:bottom w:val="single" w:sz="8" w:color="CCEEFF"/>
            </w:tcBorders>
            <w:shd w:val="clear" w:color="auto" w:fill="CCEEFF"/>
          </w:tcPr>
          <w:p>
            <w:pPr>
              <w:spacing w:after="0"/>
              <w:rPr>
                <w:sz w:val="20"/>
                <w:szCs w:val="20"/>
                <w:color w:val="auto"/>
              </w:rPr>
            </w:pPr>
          </w:p>
        </w:tc>
        <w:tc>
          <w:tcPr>
            <w:tcW w:w="95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 a benchmark for oil on the NYMEX.</w:t>
            </w: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 Cushing</w:t>
            </w:r>
          </w:p>
        </w:tc>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Cushing, Oklahoma.</w:t>
            </w:r>
          </w:p>
        </w:tc>
      </w:tr>
      <w:tr>
        <w:trPr>
          <w:trHeight w:val="27"/>
        </w:trPr>
        <w:tc>
          <w:tcPr>
            <w:tcW w:w="1740" w:type="dxa"/>
            <w:vAlign w:val="bottom"/>
            <w:tcBorders>
              <w:bottom w:val="single" w:sz="8" w:color="auto"/>
            </w:tcBorders>
          </w:tcPr>
          <w:p>
            <w:pPr>
              <w:spacing w:after="0"/>
              <w:rPr>
                <w:sz w:val="2"/>
                <w:szCs w:val="2"/>
                <w:color w:val="auto"/>
              </w:rPr>
            </w:pPr>
          </w:p>
        </w:tc>
        <w:tc>
          <w:tcPr>
            <w:tcW w:w="9500" w:type="dxa"/>
            <w:vAlign w:val="bottom"/>
            <w:tcBorders>
              <w:bottom w:val="single" w:sz="8" w:color="auto"/>
            </w:tcBorders>
          </w:tcPr>
          <w:p>
            <w:pPr>
              <w:spacing w:after="0"/>
              <w:rPr>
                <w:sz w:val="2"/>
                <w:szCs w:val="2"/>
                <w:color w:val="auto"/>
              </w:rPr>
            </w:pPr>
          </w:p>
        </w:tc>
      </w:tr>
      <w:tr>
        <w:trPr>
          <w:trHeight w:val="844"/>
        </w:trPr>
        <w:tc>
          <w:tcPr>
            <w:tcW w:w="1740" w:type="dxa"/>
            <w:vAlign w:val="bottom"/>
          </w:tcPr>
          <w:p>
            <w:pPr>
              <w:spacing w:after="0"/>
              <w:rPr>
                <w:sz w:val="24"/>
                <w:szCs w:val="24"/>
                <w:color w:val="auto"/>
              </w:rPr>
            </w:pPr>
          </w:p>
        </w:tc>
        <w:tc>
          <w:tcPr>
            <w:tcW w:w="950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iii</w:t>
            </w:r>
          </w:p>
        </w:tc>
      </w:tr>
      <w:tr>
        <w:trPr>
          <w:trHeight w:val="115"/>
        </w:trPr>
        <w:tc>
          <w:tcPr>
            <w:tcW w:w="1740" w:type="dxa"/>
            <w:vAlign w:val="bottom"/>
            <w:tcBorders>
              <w:bottom w:val="single" w:sz="8" w:color="9A9A9A"/>
            </w:tcBorders>
          </w:tcPr>
          <w:p>
            <w:pPr>
              <w:spacing w:after="0"/>
              <w:rPr>
                <w:sz w:val="10"/>
                <w:szCs w:val="10"/>
                <w:color w:val="auto"/>
              </w:rPr>
            </w:pPr>
          </w:p>
        </w:tc>
        <w:tc>
          <w:tcPr>
            <w:tcW w:w="9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912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8"/>
        </w:trPr>
        <w:tc>
          <w:tcPr>
            <w:tcW w:w="1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other terms that are used in this report and our other periodic reports under the Exchange Act:</w:t>
            </w:r>
          </w:p>
        </w:tc>
      </w:tr>
      <w:tr>
        <w:trPr>
          <w:trHeight w:val="108"/>
        </w:trPr>
        <w:tc>
          <w:tcPr>
            <w:tcW w:w="212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r>
        <w:trPr>
          <w:trHeight w:val="191"/>
        </w:trPr>
        <w:tc>
          <w:tcPr>
            <w:tcW w:w="21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Adjusted EBITDA</w:t>
            </w:r>
          </w:p>
        </w:tc>
        <w:tc>
          <w:tcPr>
            <w:tcW w:w="912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Consolidated Adjusted EBITDA, a non-GAAP measure, generally equals net income (loss) attributable to Viper Energy,</w:t>
            </w:r>
          </w:p>
        </w:tc>
      </w:tr>
      <w:tr>
        <w:trPr>
          <w:trHeight w:val="203"/>
        </w:trPr>
        <w:tc>
          <w:tcPr>
            <w:tcW w:w="2120" w:type="dxa"/>
            <w:vAlign w:val="bottom"/>
            <w:shd w:val="clear" w:color="auto" w:fill="CCEEFF"/>
          </w:tcPr>
          <w:p>
            <w:pPr>
              <w:spacing w:after="0"/>
              <w:rPr>
                <w:sz w:val="17"/>
                <w:szCs w:val="17"/>
                <w:color w:val="auto"/>
              </w:rPr>
            </w:pPr>
          </w:p>
        </w:tc>
        <w:tc>
          <w:tcPr>
            <w:tcW w:w="91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Inc. plus net income (loss) attributable to non-controlling interest before interest expense, net, non-cash share-based</w:t>
            </w:r>
          </w:p>
        </w:tc>
      </w:tr>
      <w:tr>
        <w:trPr>
          <w:trHeight w:val="203"/>
        </w:trPr>
        <w:tc>
          <w:tcPr>
            <w:tcW w:w="2120" w:type="dxa"/>
            <w:vAlign w:val="bottom"/>
            <w:shd w:val="clear" w:color="auto" w:fill="CCEEFF"/>
          </w:tcPr>
          <w:p>
            <w:pPr>
              <w:spacing w:after="0"/>
              <w:rPr>
                <w:sz w:val="17"/>
                <w:szCs w:val="17"/>
                <w:color w:val="auto"/>
              </w:rPr>
            </w:pPr>
          </w:p>
        </w:tc>
        <w:tc>
          <w:tcPr>
            <w:tcW w:w="91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compensation expense, depletion, non-cash (gain) loss on derivative instruments, other non-cash operating expenses,</w:t>
            </w:r>
          </w:p>
        </w:tc>
      </w:tr>
      <w:tr>
        <w:trPr>
          <w:trHeight w:val="203"/>
        </w:trPr>
        <w:tc>
          <w:tcPr>
            <w:tcW w:w="2120" w:type="dxa"/>
            <w:vAlign w:val="bottom"/>
            <w:shd w:val="clear" w:color="auto" w:fill="CCEEFF"/>
          </w:tcPr>
          <w:p>
            <w:pPr>
              <w:spacing w:after="0"/>
              <w:rPr>
                <w:sz w:val="17"/>
                <w:szCs w:val="17"/>
                <w:color w:val="auto"/>
              </w:rPr>
            </w:pPr>
          </w:p>
        </w:tc>
        <w:tc>
          <w:tcPr>
            <w:tcW w:w="91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other non-recurring expenses and provision for (benefit from) income taxes, which measure is used by management to</w:t>
            </w:r>
          </w:p>
        </w:tc>
      </w:tr>
      <w:tr>
        <w:trPr>
          <w:trHeight w:val="203"/>
        </w:trPr>
        <w:tc>
          <w:tcPr>
            <w:tcW w:w="2120" w:type="dxa"/>
            <w:vAlign w:val="bottom"/>
            <w:shd w:val="clear" w:color="auto" w:fill="CCEEFF"/>
          </w:tcPr>
          <w:p>
            <w:pPr>
              <w:spacing w:after="0"/>
              <w:rPr>
                <w:sz w:val="17"/>
                <w:szCs w:val="17"/>
                <w:color w:val="auto"/>
              </w:rPr>
            </w:pPr>
          </w:p>
        </w:tc>
        <w:tc>
          <w:tcPr>
            <w:tcW w:w="91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more effectively evaluate the operating performance and determine dividend amounts for purposes of the dividend</w:t>
            </w:r>
          </w:p>
        </w:tc>
      </w:tr>
      <w:tr>
        <w:trPr>
          <w:trHeight w:val="241"/>
        </w:trPr>
        <w:tc>
          <w:tcPr>
            <w:tcW w:w="2120" w:type="dxa"/>
            <w:vAlign w:val="bottom"/>
            <w:tcBorders>
              <w:bottom w:val="single" w:sz="8" w:color="CCEEFF"/>
            </w:tcBorders>
            <w:shd w:val="clear" w:color="auto" w:fill="CCEEFF"/>
          </w:tcPr>
          <w:p>
            <w:pPr>
              <w:spacing w:after="0"/>
              <w:rPr>
                <w:sz w:val="20"/>
                <w:szCs w:val="20"/>
                <w:color w:val="auto"/>
              </w:rPr>
            </w:pP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policy.</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Common Stock, $0.000001 par value per share of Viper Energy, Inc.</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B Common Stock, $0.000001 par value per share of Viper Energy, Inc.</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Collectively, Class A Common Stock and Class B Common Stock.</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Diamondback</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Diamondback Energy, Inc., a Delaware corporation.</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Viper Energy, Inc. Amended and Restated 2014 Long-Term Incentive Plan, as amended and restated by Viper Energy,</w:t>
            </w:r>
          </w:p>
        </w:tc>
      </w:tr>
      <w:tr>
        <w:trPr>
          <w:trHeight w:val="216"/>
        </w:trPr>
        <w:tc>
          <w:tcPr>
            <w:tcW w:w="21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 2024 Amended and Restated Long-Term Incentive Plan, and as may be further amended or restated from time to</w:t>
            </w:r>
          </w:p>
        </w:tc>
      </w:tr>
      <w:tr>
        <w:trPr>
          <w:trHeight w:val="234"/>
        </w:trPr>
        <w:tc>
          <w:tcPr>
            <w:tcW w:w="2120" w:type="dxa"/>
            <w:vAlign w:val="bottom"/>
          </w:tcPr>
          <w:p>
            <w:pPr>
              <w:spacing w:after="0"/>
              <w:rPr>
                <w:sz w:val="20"/>
                <w:szCs w:val="20"/>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time.</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outstanding senior notes of Viper Energy, Inc. issued under indentures where Viper Energy Partners LLC is the sole</w:t>
            </w:r>
          </w:p>
        </w:tc>
      </w:tr>
      <w:tr>
        <w:trPr>
          <w:trHeight w:val="234"/>
        </w:trPr>
        <w:tc>
          <w:tcPr>
            <w:tcW w:w="2120" w:type="dxa"/>
            <w:vAlign w:val="bottom"/>
          </w:tcPr>
          <w:p>
            <w:pPr>
              <w:spacing w:after="0"/>
              <w:rPr>
                <w:sz w:val="20"/>
                <w:szCs w:val="20"/>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guarantor, consisting of the 5.375% Senior Notes due 2027 and the 7.375% Senior Notes due 2031.</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OPEC</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Organization of the Petroleum Exporting Countries.</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Company</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Viper Energy Partners LLC, a Delaware limited liability company and a consolidated subsidiary of Viper Energy, Inc.</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2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9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Viper Energy Partners LP, the predecessor of the Company, which converted into the Company in the conversion from a</w:t>
            </w:r>
          </w:p>
        </w:tc>
      </w:tr>
      <w:tr>
        <w:trPr>
          <w:trHeight w:val="241"/>
        </w:trPr>
        <w:tc>
          <w:tcPr>
            <w:tcW w:w="2120" w:type="dxa"/>
            <w:vAlign w:val="bottom"/>
            <w:tcBorders>
              <w:bottom w:val="single" w:sz="8" w:color="CCEEFF"/>
            </w:tcBorders>
            <w:shd w:val="clear" w:color="auto" w:fill="CCEEFF"/>
          </w:tcPr>
          <w:p>
            <w:pPr>
              <w:spacing w:after="0"/>
              <w:rPr>
                <w:sz w:val="20"/>
                <w:szCs w:val="20"/>
                <w:color w:val="auto"/>
              </w:rPr>
            </w:pP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Delaware limited partnership into a Delaware corporation completed on November 13, 2023.</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secured overnight financing rate.</w:t>
            </w:r>
          </w:p>
        </w:tc>
      </w:tr>
      <w:tr>
        <w:trPr>
          <w:trHeight w:val="27"/>
        </w:trPr>
        <w:tc>
          <w:tcPr>
            <w:tcW w:w="212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5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plans for developing our acreage and our cash dividend policy and repurchases of our Class A Common Stock and/or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w:t>
      </w:r>
      <w:hyperlink r:id="rId19">
        <w:r>
          <w:rPr>
            <w:rFonts w:ascii="Times New Roman" w:cs="Times New Roman" w:eastAsia="Times New Roman" w:hAnsi="Times New Roman"/>
            <w:sz w:val="18"/>
            <w:szCs w:val="18"/>
            <w:color w:val="auto"/>
          </w:rPr>
          <w:t xml:space="preserve">cases, beyond our control. In particular, the factors discussed in this report and detailed under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u w:val="single" w:color="auto"/>
            <w:color w:val="0000FF"/>
          </w:rPr>
          <w:t>Annual Report on</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2024, could affect our actual results and cause our actual results to differ materially from expectations,</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estimates or assumptions expressed, forecasted or implied in such forward-looking statements. Unless the context requires otherwise, references to “we,” “us,” “our” or the “Company” are intended to mean the business and operations of the Company and the Operating Company.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could cause the outcomes to differ materially include (but are not limited to) the following:</w:t>
      </w:r>
    </w:p>
    <w:p>
      <w:pPr>
        <w:spacing w:after="0" w:line="239" w:lineRule="exact"/>
        <w:rPr>
          <w:sz w:val="20"/>
          <w:szCs w:val="20"/>
          <w:color w:val="auto"/>
        </w:rPr>
      </w:pPr>
    </w:p>
    <w:p>
      <w:pPr>
        <w:ind w:left="1220" w:right="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54"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and any related company or government policies or actions;</w:t>
      </w:r>
    </w:p>
    <w:p>
      <w:pPr>
        <w:spacing w:after="0" w:line="90"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40"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inflation rates, or instability in the financial sector;</w:t>
      </w:r>
    </w:p>
    <w:p>
      <w:pPr>
        <w:spacing w:after="0" w:line="54" w:lineRule="exact"/>
        <w:rPr>
          <w:rFonts w:ascii="Times New Roman" w:cs="Times New Roman" w:eastAsia="Times New Roman" w:hAnsi="Times New Roman"/>
          <w:sz w:val="18"/>
          <w:szCs w:val="18"/>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68" w:lineRule="exact"/>
        <w:rPr>
          <w:rFonts w:ascii="Times New Roman" w:cs="Times New Roman" w:eastAsia="Times New Roman" w:hAnsi="Times New Roman"/>
          <w:sz w:val="18"/>
          <w:szCs w:val="18"/>
          <w:color w:val="auto"/>
        </w:rPr>
      </w:pPr>
    </w:p>
    <w:p>
      <w:pPr>
        <w:ind w:left="1220" w:right="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4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03"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4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103" w:lineRule="exact"/>
        <w:rPr>
          <w:rFonts w:ascii="Times New Roman" w:cs="Times New Roman" w:eastAsia="Times New Roman" w:hAnsi="Times New Roman"/>
          <w:sz w:val="18"/>
          <w:szCs w:val="18"/>
          <w:color w:val="auto"/>
        </w:rPr>
      </w:pPr>
    </w:p>
    <w:p>
      <w:pPr>
        <w:ind w:left="1220" w:right="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 including with respect to tariffs or other trade barriers, and any resulting trade tensions;</w:t>
      </w:r>
    </w:p>
    <w:p>
      <w:pPr>
        <w:spacing w:after="0" w:line="40" w:lineRule="exact"/>
        <w:rPr>
          <w:rFonts w:ascii="Times New Roman" w:cs="Times New Roman" w:eastAsia="Times New Roman" w:hAnsi="Times New Roman"/>
          <w:sz w:val="18"/>
          <w:szCs w:val="18"/>
          <w:color w:val="auto"/>
        </w:rPr>
      </w:pPr>
    </w:p>
    <w:p>
      <w:pPr>
        <w:ind w:left="1220" w:right="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54"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and oilfield services impacting our operators;</w:t>
      </w:r>
    </w:p>
    <w:p>
      <w:pPr>
        <w:spacing w:after="0" w:line="90"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54" w:lineRule="exact"/>
        <w:rPr>
          <w:rFonts w:ascii="Times New Roman" w:cs="Times New Roman" w:eastAsia="Times New Roman" w:hAnsi="Times New Roman"/>
          <w:sz w:val="18"/>
          <w:szCs w:val="18"/>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impacting our operators;</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and natural disasters;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the credit facility and hedging contracts of our operating subsidiary;</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anticipated benefits from the 2025 Drop Down discussed in this report or our other recent acquisitions; and</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disclosed in this report.</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 (UNAUDITED)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2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90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2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par values and share data)</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3"/>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Royalty income receivable (net of allowance for credit losses)</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Royalty income receivable—related party</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 receivable</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3"/>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7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w:t>
            </w:r>
          </w:p>
        </w:tc>
        <w:tc>
          <w:tcPr>
            <w:tcW w:w="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Oil and natural gas interests, full cost method of accounting ($2,279 and $2,180 excluded from depletion at March 31, 2025 and</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December 31, 2024,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5,713</w:t>
            </w:r>
          </w:p>
        </w:tc>
        <w:tc>
          <w:tcPr>
            <w:tcW w:w="0" w:type="dxa"/>
            <w:vAlign w:val="bottom"/>
          </w:tcPr>
          <w:p>
            <w:pPr>
              <w:spacing w:after="0"/>
              <w:rPr>
                <w:sz w:val="1"/>
                <w:szCs w:val="1"/>
                <w:color w:val="auto"/>
              </w:rPr>
            </w:pPr>
          </w:p>
        </w:tc>
      </w:tr>
      <w:tr>
        <w:trPr>
          <w:trHeight w:val="193"/>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Land</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depletion and impairment</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86"/>
        </w:trPr>
        <w:tc>
          <w:tcPr>
            <w:tcW w:w="82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Property, net</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4,955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4,638</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(net of allowances)</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in escrow</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5,069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payable—related party</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3"/>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82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82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Class A Common Stock, $0.000001 par value: 1,000,000,000 shares authorized; 131,323,078 shares issued and outstanding as of</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March 31, 2025 and 102,977,142 shares issued and outstanding as of December 31, 2024</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 B Common Stock, $0.000001 par value: 1,000,000,000 shares authorized; 87,831,750 shares issued and outstanding as of</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March 31, 2025 and 85,431,453 shares issued and outstanding as of December 31, 2024</w:t>
            </w: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193"/>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Viper Energy, Inc.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2,220</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3,907</w:t>
            </w:r>
          </w:p>
        </w:tc>
        <w:tc>
          <w:tcPr>
            <w:tcW w:w="0" w:type="dxa"/>
            <w:vAlign w:val="bottom"/>
          </w:tcPr>
          <w:p>
            <w:pPr>
              <w:spacing w:after="0"/>
              <w:rPr>
                <w:sz w:val="1"/>
                <w:szCs w:val="1"/>
                <w:color w:val="auto"/>
              </w:rPr>
            </w:pPr>
          </w:p>
        </w:tc>
      </w:tr>
      <w:tr>
        <w:trPr>
          <w:trHeight w:val="218"/>
        </w:trPr>
        <w:tc>
          <w:tcPr>
            <w:tcW w:w="82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6,238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5,069</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0"/>
        </w:trPr>
        <w:tc>
          <w:tcPr>
            <w:tcW w:w="8000" w:type="dxa"/>
            <w:vAlign w:val="bottom"/>
          </w:tcPr>
          <w:p>
            <w:pPr>
              <w:spacing w:after="0"/>
              <w:rPr>
                <w:sz w:val="17"/>
                <w:szCs w:val="17"/>
                <w:color w:val="auto"/>
              </w:rPr>
            </w:pPr>
          </w:p>
        </w:tc>
        <w:tc>
          <w:tcPr>
            <w:tcW w:w="32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 shares</w:t>
            </w:r>
          </w:p>
        </w:tc>
      </w:tr>
      <w:tr>
        <w:trPr>
          <w:trHeight w:val="212"/>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spacing w:after="0"/>
              <w:rPr>
                <w:sz w:val="18"/>
                <w:szCs w:val="18"/>
                <w:color w:val="auto"/>
              </w:rPr>
            </w:pP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income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income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8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6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8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3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shares: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 outstanding:</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87,537</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to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660" w:type="dxa"/>
            <w:vAlign w:val="bottom"/>
          </w:tcPr>
          <w:p>
            <w:pPr>
              <w:spacing w:after="0"/>
              <w:rPr>
                <w:sz w:val="21"/>
                <w:szCs w:val="21"/>
                <w:color w:val="auto"/>
              </w:rPr>
            </w:pPr>
          </w:p>
        </w:tc>
        <w:tc>
          <w:tcPr>
            <w:tcW w:w="194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80"/>
        </w:trPr>
        <w:tc>
          <w:tcPr>
            <w:tcW w:w="46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4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9"/>
        </w:trPr>
        <w:tc>
          <w:tcPr>
            <w:tcW w:w="466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9"/>
        </w:trPr>
        <w:tc>
          <w:tcPr>
            <w:tcW w:w="4660" w:type="dxa"/>
            <w:vAlign w:val="bottom"/>
          </w:tcPr>
          <w:p>
            <w:pPr>
              <w:spacing w:after="0"/>
              <w:rPr>
                <w:sz w:val="20"/>
                <w:szCs w:val="20"/>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4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shares in thousands)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8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shares issued for acquisition</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Company units issued for acquisition</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proceeds from the 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7"/>
        </w:trPr>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shares upon vesting of equity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to Diamondback</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to other non-controlling interest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63"/>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131,323</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1"/>
        </w:trPr>
        <w:tc>
          <w:tcPr>
            <w:tcW w:w="4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par values of the outstanding shares of Class A Common Stock and Class B Common Stock each round to zero during the periods presented.</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80" w:type="dxa"/>
            <w:vAlign w:val="bottom"/>
          </w:tcPr>
          <w:p>
            <w:pPr>
              <w:spacing w:after="0"/>
              <w:rPr>
                <w:sz w:val="21"/>
                <w:szCs w:val="21"/>
                <w:color w:val="auto"/>
              </w:rPr>
            </w:pPr>
          </w:p>
        </w:tc>
        <w:tc>
          <w:tcPr>
            <w:tcW w:w="194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80"/>
        </w:trPr>
        <w:tc>
          <w:tcPr>
            <w:tcW w:w="46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9"/>
        </w:trPr>
        <w:tc>
          <w:tcPr>
            <w:tcW w:w="4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46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9"/>
        </w:trPr>
        <w:tc>
          <w:tcPr>
            <w:tcW w:w="4680" w:type="dxa"/>
            <w:vAlign w:val="bottom"/>
          </w:tcPr>
          <w:p>
            <w:pPr>
              <w:spacing w:after="0"/>
              <w:rPr>
                <w:sz w:val="20"/>
                <w:szCs w:val="20"/>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4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shares in thousands)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converted in Diamondback 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shares upon vesting of equity awards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Diamondback</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91,424</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0"/>
        </w:trPr>
        <w:tc>
          <w:tcPr>
            <w:tcW w:w="4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par values of the outstanding shares of Class A Common Stock and Class B Common Stock each round to zero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8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9"/>
                <w:szCs w:val="19"/>
                <w:color w:val="auto"/>
              </w:rPr>
            </w:pPr>
          </w:p>
        </w:tc>
      </w:tr>
      <w:tr>
        <w:trPr>
          <w:trHeight w:val="237"/>
        </w:trPr>
        <w:tc>
          <w:tcPr>
            <w:tcW w:w="80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0"/>
                <w:szCs w:val="20"/>
                <w:color w:val="auto"/>
              </w:rPr>
            </w:pPr>
          </w:p>
        </w:tc>
      </w:tr>
      <w:tr>
        <w:trPr>
          <w:trHeight w:val="233"/>
        </w:trPr>
        <w:tc>
          <w:tcPr>
            <w:tcW w:w="8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40" w:type="dxa"/>
            <w:vAlign w:val="bottom"/>
            <w:gridSpan w:val="3"/>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20"/>
                <w:szCs w:val="20"/>
                <w:color w:val="auto"/>
              </w:rPr>
            </w:pPr>
          </w:p>
        </w:tc>
      </w:tr>
      <w:tr>
        <w:trPr>
          <w:trHeight w:val="26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(benefit from) deferred income taxes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Royalty income receivable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payable—related party</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of oil and natural gas interests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oil and natural gas interests</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borrowings under credit facility</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on credit facility</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proceeds from public offering</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to Diamondback</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to other non-controlling interest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 Units issued for acquisition</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740" w:firstLine="8"/>
        <w:spacing w:after="0" w:line="534"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Organization</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Viper Energy, Inc. (the “Company”) is a publicly traded Delaware corporation focused on owning and acquiring mineral interests and royalty interests in oil and natural gas properties primarily in the Permian Basin. As of March 31, 2025, Viper Energy, Inc. owned approximately 57.3% of the units representing limited liability company interests (“OpCo Units”) in its operating subsidiary Viper Energy Partners LLC (the “Operating Company”) and was the managing member of the Operating Company.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March 8, 2024, the Company was a “controlled company” under the rules of the Nasdaq Stock Market LLC (the “Nasdaq Rules”). On March 8, 2024, the Company’s parent, Diamondback, completed an underwritten public offering in which it sold 13,225,000 shares of the Company’s Class A Common Stock (the “Diamondback Offering”). Following the Diamondback Offering, Diamondback owned no shares of the Company’s Class A Common Stock and owned 85,431,453 shares of the Company’s Class B Common Stock, reducing its beneficial ownership to less than 50% of the Company’s total Common Stock outstanding. As such, the Company ceased to be a “controlled company” under the Nasdaq Rules. Prior to the Diamondback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the Company’s certificate of incorporation, (y) such committee’s charter as adopted by the board, and (z) the services and secondment agreement, dated as of November 2, 2023, pursuant to which Diamondback provides personnel and general and administrative services to us, including the services of the executive officers and other employees (the “Services and Secondment Agreement”).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Diamondback beneficially owned approximately 39.0% of the outstanding voting power of the Company’s capital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thereto were prepared in accordance with GAAP. All material intercompany balances and transactions have been eliminated upon consolidation. The Company reports its operations in one reportable segment.</w:t>
      </w:r>
    </w:p>
    <w:p>
      <w:pPr>
        <w:spacing w:after="0" w:line="189" w:lineRule="exact"/>
        <w:rPr>
          <w:sz w:val="20"/>
          <w:szCs w:val="20"/>
          <w:color w:val="auto"/>
        </w:rPr>
      </w:pPr>
    </w:p>
    <w:p>
      <w:pPr>
        <w:jc w:val="both"/>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report should be read in conjunction with the Company’s most recent </w:t>
      </w:r>
      <w:hyperlink r:id="rId26">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which contains a summary of the Company’s significant accounting policies and other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ind w:right="6220" w:firstLine="8"/>
        <w:spacing w:after="0" w:line="534" w:lineRule="auto"/>
        <w:tabs>
          <w:tab w:leader="none" w:pos="3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assets and liabilities as of the date of the condensed consolidated financial statements.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Making accurate estimates and assumptions is particularly difficult in the oil and natural gas industry given the challenges resulting from volatility in oil and natural gas prices. For instance, the war in Ukraine, the Israel-Hamas war and other conflicts in the Middle East, higher interest rates, effects of tariffs, actions taken by OPEC and its non-OPEC allies, known collectively as OPEC+, global supply chain disruptions and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Company’s accounting estimates, particularly those involving financial forecasts.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third-party operated royalty income related to expected sales volumes and prices, the recoverability of costs of unevaluated properties, the fair value determination of assets and liabilities, including those acquired by the Company, fair value estimates of commodity derivatives and estimates of income taxes, including deferred tax valuation allowances.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Funds Held in Escrow</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deposited approximately $223 million of cash into escrow pursuant to a definitive equity purchase agreement relating to the 2025 Drop Down (as defined and discussed in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The escrow deposit is recorded in the caption “Funds held in escrow” on the Company’s condensed consolidated balance sheet at March 31, 2025.</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Royalty Income Receivable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Diamondback, either directly or through its consolidated subsidiaries, owed the Company $41 million and $31 million, respectively, for royalty income received from third parties for the Company’s production, which had not yet been remitted to the Company.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Bonus Income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Diamondback paid the Company $0.3 million and $0.1 million, respectively, of lease bonus income primarily related to new leases in the Midland Basin.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for significant related party acquisitions of oil and natural gas interests.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for further details regarding equity transactions with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other significant related party transactions with Diamondback or its affiliates have been stated on the face of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dates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r>
      <w:tr>
        <w:trPr>
          <w:trHeight w:val="256"/>
        </w:trPr>
        <w:tc>
          <w:tcPr>
            <w:tcW w:w="8080" w:type="dxa"/>
            <w:vAlign w:val="bottom"/>
          </w:tcPr>
          <w:p>
            <w:pPr>
              <w:spacing w:after="0"/>
              <w:rPr>
                <w:sz w:val="22"/>
                <w:szCs w:val="22"/>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22"/>
                <w:szCs w:val="22"/>
                <w:color w:val="auto"/>
              </w:rPr>
            </w:pPr>
          </w:p>
        </w:tc>
      </w:tr>
      <w:tr>
        <w:trPr>
          <w:trHeight w:val="233"/>
        </w:trPr>
        <w:tc>
          <w:tcPr>
            <w:tcW w:w="8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gridSpan w:val="3"/>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80" w:type="dxa"/>
            <w:vAlign w:val="bottom"/>
          </w:tcPr>
          <w:p>
            <w:pPr>
              <w:spacing w:after="0"/>
              <w:rPr>
                <w:sz w:val="20"/>
                <w:szCs w:val="20"/>
                <w:color w:val="auto"/>
              </w:rPr>
            </w:pPr>
          </w:p>
        </w:tc>
      </w:tr>
      <w:tr>
        <w:trPr>
          <w:trHeight w:val="26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14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 payable</w:t>
            </w: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w:t>
            </w: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instruments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adjustment accrual</w:t>
            </w: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WTI Contingent Liability</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recently adopted pronouncements.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discussed above were assessed and determined to be either not applicable, previously disclosed, or not material upon adoption.</w:t>
      </w: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Royalty income represents the right to receive revenues from oil, natural gas and natural gas liquids sales obtained from third-party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Company’s revenue from oil, natural gas and natural gas liquids by revenue generated from production on properties operated by Diamondback and revenue generated from production on properties operated by third parties: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3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3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1"/>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3040" w:type="dxa"/>
            <w:vAlign w:val="bottom"/>
          </w:tcPr>
          <w:p>
            <w:pPr>
              <w:spacing w:after="0"/>
              <w:rPr>
                <w:sz w:val="15"/>
                <w:szCs w:val="15"/>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Third-Party</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Third-Party</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 Diamondback</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 Diamondback</w:t>
            </w: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304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Operated Properties</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60" w:type="dxa"/>
            <w:vAlign w:val="bottom"/>
          </w:tcPr>
          <w:p>
            <w:pPr>
              <w:spacing w:after="0"/>
              <w:rPr>
                <w:sz w:val="17"/>
                <w:szCs w:val="17"/>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Operated Properties</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6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income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royalty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7780" w:firstLine="8"/>
        <w:spacing w:after="0" w:line="532" w:lineRule="auto"/>
        <w:tabs>
          <w:tab w:leader="none" w:pos="3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 2025 Activity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Morita Ranches Acquisition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14, 2025, the Company completed an acquisition of certain mineral and royalty interests located in Howard County, Texas from Morita Ranches Minerals, LLC (“Morita Ranches”) (the “Morita Ranches Acquisition”) pursuant to a definitive purchase and sale agreement for consideration consisting of approximately (i) $211 million in cash, and (ii) 2,400,297 OpCo Units together with an equal number of shares of the Company’s Class B Common Stock issued to certain affiliate designees of Morita Ranches (the “Morita Ranches Equity Recipients”), including certain transaction costs and subject to customary post-closing adjustments. At the closing of the Morita Ranches Acquisition, the Morita Ranches Equity Recipients (i) became parties to the Third Amended and Restated Limited Liability Agreement of the Operating Company, dated as of October 1, 2024, as amended, and (ii) entered into an Exchange Agreement with the Company and the Operating Company to provide for the right to exchange the OpCo Units and shares of our Class B Common Stock acquired by the Morita Ranches Equity Recipients at the closing of the Morita Ranches Acquisition for an equal number of shares of the Company’s Class A Common Stock. In addition, at the closing of the Morita Ranches Acquisition, the Company entered into a registration rights agreement with the Morita Ranches Equity Recipients, pursuant to which the Morita Ranches Equity Recipients received certain demand and piggyback registration rights with respect to the shares of the Company’s Class A Common Stock that may be acquired by them in exchange for OpCo Units and shares of the Company’s Class B Common Stock.</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mineral and royalty interests included in the Morita Ranches Acquisition represent approximately 1,691 net royalty acres in the Permian Basin, 75% of which are operated by Diamondback, and have an average net royalty interest of approximately 8.6%. The Company funded the cash consideration for the Morita Ranches Acquisition with proceeds from the 2025 Equity Offering as defined and discussed in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acquired, in individually insignificant transactions from unrelated third-party sellers, mineral and royalty interests representing 166 net royalty acres in the Permian Basin for an aggregate purchase price of approximately $50 million, subject to customary post-closing adjustments.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Tumbleweed Acquisitions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and October of 2024, the Company completed a series of related acquisitions including the TWR Acquisition, the Q Acquisition and the M Acquisition, collectively the (“Tumbleweed Acquisitions”), each as defined and discussed below.</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TWR Acquisition</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 2024, the Company acquired all of the issued and outstanding equity interests in TWR IV, LLC and TWR IV SellCo, LLC from Tumbleweed Royalty IV, LLC (“TWR IV”) and TWR IV SellCo Parent, LLC (the “TWR Acquisition”), pursuant to a definitive purchase and sale agreement for consideration consisting of approximately (i) $464 million in cash, including transaction costs and certain customary post-closing adjustments, (ii) 10,093,670 OpCo Units to TWR IV, (iii) an option (the “TWR Class B Option”) granted to TWR IV to acquire up to 10,093,670 shares of the Company’s Class B Common Stock, and (iv) contingent cash consideration of up to $41 million, payable in January of 2026, based on the average price of WTI sweet crude oil prompt month futures contracts for the calendar year 2025 (the “WTI 2025 Average”). The contingent cash consideration payment will be (i) $16 million if the WTI 2025 Average is between $60.00 and $65.00, (ii) $25 million if the WTI 2025 Average is between $65.00 and $75.00, or</w:t>
      </w:r>
    </w:p>
    <w:p>
      <w:pPr>
        <w:spacing w:after="0" w:line="3" w:lineRule="exact"/>
        <w:rPr>
          <w:sz w:val="20"/>
          <w:szCs w:val="20"/>
          <w:color w:val="auto"/>
        </w:rPr>
      </w:pPr>
    </w:p>
    <w:p>
      <w:pPr>
        <w:ind w:firstLine="8"/>
        <w:spacing w:after="0" w:line="260" w:lineRule="auto"/>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if the WTI 2025 Average is greater than $75.00 (the “TWR Contingent Liability”). Additionally, at the closing of the TWR Acquisition, the Company assumed from TWR IV a royalty income receivable of approximately $24 million.</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TWR IV can exchange some or all of the OpCo Units received for an equal number of shares of Class A Common Stock, and any OpCo Units so exchanged will reduce the number of shares of Class B Common Stock subject to the TWR Class B Option. The mineral and royalty interests acquired in the TWR Acquisition represent approximately 3,067 net royalty acres located primarily in the Permian Basin. The Company funded the cash consideration for the TWR Acquisition through a combination of cash on hand, borrowings under the Operating Company’s revolving credit facility and proceeds from the 2024 Equity Offering as defined and discussed in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Q Acquisition</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3, 2024, the Company acquired all of the issued and outstanding equity interests in Tumbleweed-Q Royalties, LLC (the “Q Acquisition”), pursuant to a definitive purchase and sale agreement for consideration consisting of (i) approximately $114 million in cash, including transaction costs and certain customary post-closing adjustments, and (ii) contingent cash consideration of up to $5 million, payable in January of 2026, based on the WTI 2025 Average. The contingent cash consideration payment will be (i) $2 million if the WTI 2025 Average is between $60.00 and $65.00,</w:t>
      </w:r>
    </w:p>
    <w:p>
      <w:pPr>
        <w:spacing w:after="0" w:line="3" w:lineRule="exact"/>
        <w:rPr>
          <w:sz w:val="20"/>
          <w:szCs w:val="20"/>
          <w:color w:val="auto"/>
        </w:rPr>
      </w:pPr>
    </w:p>
    <w:p>
      <w:pPr>
        <w:jc w:val="both"/>
        <w:ind w:firstLine="8"/>
        <w:spacing w:after="0" w:line="253" w:lineRule="auto"/>
        <w:tabs>
          <w:tab w:leader="none" w:pos="2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if the WTI 2025 Average is between $65.00 and $75.00, or (iii) $5 million if the WTI 2025 Average is greater than $75.00 (the “Q Contingent Liability”). The mineral and royalty interests acquired in the Q Acquisition represent approximately 406 net royalty acres located primarily in the Permian Basin. The cash consideration for the Q Acquisition was funded through a combination of cash on hand and borrowings under the Operating Company’s revolving credit facility.</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M Acquisition</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3, 2024, the Company acquired all of the issued and outstanding equity interests in MC TWR Royalties, LP and MC TWR Intermediate, LLC (the “M Acquisition”), pursuant to a definitive purchase and sale agreement for consideration consisting of (i) approximately $76 million in cash, including transaction costs and certain customary post-closing adjustments, and (ii) contingent cash consideration of up to $4 million, payable in January of 2026, based on the WTI 2025 Average. The contingent cash consideration payment will be (i) $1 million if the WTI 2025 Average is between $60.00 and $65.00, (ii) $2 million if the WTI 2025 Average is between $65.00 and $75.00, or (iii) $4 million if the WTI 2025 Average is greater than $75.00 (the “M Contingent Liability”). The mineral and royalty interests acquired in the M Acquisition represent approximately 267 net royalty acres located primarily in the Permian Basin. The cash consideration for the M Acquisition was funded through a combination of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the Q Contingent Liability, the M Contingent Liability and the TWR Contingent Liability (collectively, the “2026 WTI Contingent Liability”) at their aggregate estimated fair value on a quarterly basis as discussed further in Note 11—</w:t>
      </w:r>
      <w:r>
        <w:rPr>
          <w:rFonts w:ascii="Times New Roman" w:cs="Times New Roman" w:eastAsia="Times New Roman" w:hAnsi="Times New Roman"/>
          <w:sz w:val="18"/>
          <w:szCs w:val="18"/>
          <w:u w:val="single" w:color="auto"/>
          <w:color w:val="0000FF"/>
        </w:rPr>
        <w:t>Fair Value Measurements</w:t>
      </w:r>
      <w:r>
        <w:rPr>
          <w:rFonts w:ascii="Times New Roman" w:cs="Times New Roman" w:eastAsia="Times New Roman" w:hAnsi="Times New Roman"/>
          <w:sz w:val="18"/>
          <w:szCs w:val="18"/>
          <w:color w:val="auto"/>
        </w:rPr>
        <w:t>. At March 31, 2025, the aggregate estimated fair value of the 2026 WTI Contingent Liability was $27 million.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during the year ended December 31, 2024, the Company acquired, in individually insignificant transactions from unrelated third-party sellers, mineral and royalty interests representing 261 net royalty acres in the Permian Basin for an aggregate purchase price of approximately $54 million, including customary closing adjustments. The Company funded these acquisitions with cash on hand and borrowings under the Operating Company’s revolving credit facility.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second quarter of 2024, the Company divested all of its non-Permian assets for a purchase price of approximately $87 million, including transaction costs and customary post-closing adjustments. The divested properties consisted of approximately 2,713 net royalty acres with current production of approximately 450 BO/d. The Company recorded the proceeds as a reduction of its full cost pool with no gain or loss recognized on the sale.</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Oil and natural gas interests include the following for the periods presented:</w:t>
      </w:r>
    </w:p>
    <w:p>
      <w:pPr>
        <w:spacing w:after="0" w:line="309" w:lineRule="exact"/>
        <w:rPr>
          <w:sz w:val="20"/>
          <w:szCs w:val="20"/>
          <w:color w:val="auto"/>
        </w:rPr>
      </w:pPr>
    </w:p>
    <w:p>
      <w:pPr>
        <w:ind w:left="8460"/>
        <w:spacing w:after="0"/>
        <w:tabs>
          <w:tab w:leader="none" w:pos="9940" w:val="left"/>
        </w:tabs>
        <w:rPr>
          <w:sz w:val="20"/>
          <w:szCs w:val="20"/>
          <w:color w:val="auto"/>
        </w:rPr>
      </w:pPr>
      <w:r>
        <w:rPr>
          <w:rFonts w:ascii="Times New Roman" w:cs="Times New Roman" w:eastAsia="Times New Roman" w:hAnsi="Times New Roman"/>
          <w:sz w:val="16"/>
          <w:szCs w:val="16"/>
          <w:b w:val="1"/>
          <w:bCs w:val="1"/>
          <w:color w:val="auto"/>
        </w:rPr>
        <w:t>March 31,</w:t>
      </w:r>
      <w:r>
        <w:rPr>
          <w:sz w:val="20"/>
          <w:szCs w:val="20"/>
          <w:color w:val="auto"/>
        </w:rPr>
        <w:tab/>
      </w:r>
      <w:r>
        <w:rPr>
          <w:rFonts w:ascii="Times New Roman" w:cs="Times New Roman" w:eastAsia="Times New Roman" w:hAnsi="Times New Roman"/>
          <w:sz w:val="16"/>
          <w:szCs w:val="16"/>
          <w:b w:val="1"/>
          <w:bCs w:val="1"/>
          <w:color w:val="auto"/>
        </w:rPr>
        <w:t>December 31,</w:t>
      </w:r>
    </w:p>
    <w:p>
      <w:pPr>
        <w:spacing w:after="0" w:line="59" w:lineRule="exact"/>
        <w:rPr>
          <w:sz w:val="20"/>
          <w:szCs w:val="20"/>
          <w:color w:val="auto"/>
        </w:rPr>
      </w:pPr>
    </w:p>
    <w:p>
      <w:pPr>
        <w:ind w:left="8660"/>
        <w:spacing w:after="0"/>
        <w:tabs>
          <w:tab w:leader="none" w:pos="1026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30480</wp:posOffset>
            </wp:positionV>
            <wp:extent cx="19970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3"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Oil and natural gas interests: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Subject to depletion</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7"/>
        </w:trPr>
        <w:tc>
          <w:tcPr>
            <w:tcW w:w="8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 subject to depletion</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36"/>
        </w:trPr>
        <w:tc>
          <w:tcPr>
            <w:tcW w:w="8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oil and natural gas interests</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w:t>
            </w:r>
          </w:p>
        </w:tc>
      </w:tr>
      <w:tr>
        <w:trPr>
          <w:trHeight w:val="27"/>
        </w:trPr>
        <w:tc>
          <w:tcPr>
            <w:tcW w:w="8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7"/>
        </w:trPr>
        <w:tc>
          <w:tcPr>
            <w:tcW w:w="8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Oil and natural gas interests, net</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w:t>
            </w:r>
          </w:p>
        </w:tc>
      </w:tr>
      <w:tr>
        <w:trPr>
          <w:trHeight w:val="27"/>
        </w:trPr>
        <w:tc>
          <w:tcPr>
            <w:tcW w:w="8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8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net of accumulated depletion and impairment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w:t>
            </w:r>
          </w:p>
        </w:tc>
      </w:tr>
      <w:tr>
        <w:trPr>
          <w:trHeight w:val="21"/>
        </w:trPr>
        <w:tc>
          <w:tcPr>
            <w:tcW w:w="8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mineral and royalty interests representing approximately 37,573 and 35,671 net royalty acres, respectively.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impairment expense was recorded on the Company’s oil and natural gas interests for the three months ended March 31, 2025 and 2024 based on the results of the respective quarterly ceiling tests. In addition to commodity prices, the Company’s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Company could have material write-downs in subsequent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20" w:type="dxa"/>
            <w:vAlign w:val="bottom"/>
          </w:tcPr>
          <w:p>
            <w:pPr>
              <w:spacing w:after="0"/>
              <w:rPr>
                <w:sz w:val="22"/>
                <w:szCs w:val="22"/>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40" w:type="dxa"/>
            <w:vAlign w:val="bottom"/>
            <w:gridSpan w:val="4"/>
          </w:tcPr>
          <w:p>
            <w:pPr>
              <w:jc w:val="right"/>
              <w:ind w:right="10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6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2027</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7.375% Senior Notes due 2031</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1120" w:type="dxa"/>
            <w:vAlign w:val="bottom"/>
            <w:tcBorders>
              <w:top w:val="single" w:sz="8" w:color="auto"/>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1"/>
        </w:trPr>
        <w:tc>
          <w:tcPr>
            <w:tcW w:w="8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Operating Company’s Revolving Credit Facility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Operating Company’s credit facility, as amended to date, provides for a revolving credit facility in the maximum credit amount of $2.0 billion and a borrowing base of $1.3 billion. The borrowing base is scheduled to be redetermined semi-annually in May and November. As of March 31, 2025, the Operating Company had elected a commitment amount of $1.3 billion, with no outstanding borrowings and $1.3 billion available for future borrowings. During the three months ended March 31, 2025 and 2024, the weighted average interest rates on the Operating Company’s revolving credit facility were 6.57% and 7.65%, respectively. The revolving credit facility will mature on September 22, 2028.</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 Operating Company was in compliance with the financial maintenance covenants under its credit facility.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March 31, 2025, the Company had a total of 131,323,078 shares of Class A Common Stock issued and outstanding and 87,831,750 shares of Class B Common Stock issued and outstanding. At March 31, 2025, Diamondback beneficially owned 85,431,453 shares of the Company’s Class B Common Stock, representing approximately 39.0% of the Company’s total shares outstanding. Diamondback also beneficially owned 85,431,453 OpCo Units, representing a 37.3% non-controlling ownership interest in the Operating Company, TWR IV beneficially owned 10,093,670 OpCo Units, representing a 4.4% non-controlling ownership interest in the Operating Company, Morita Ranches beneficially owned 2,400,297 OpCo Units, representing a 1.0% non-controlling ownership interest in the Operating Company and the Company owned 131,323,078 OpCo Units, representing a 57.3% controlling ownership interest in the Operating Company. The OpCo units and the Company’s Class B Common Stock are exchangeable from time to time for the Company’s Class A Common Stock (that is, one OpCo Unit and one share of the Company’s Class B Common Stock, together, are exchangeable for one share of the Company’s Class A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Equity Offering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3, 2025, the Company completed an underwritten public offering of 28,336,000 shares of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(the “2025 Equity Offering”).</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used the net proceeds from the 2025 Equity Offering to fund (i) the cash consideration for the Morita Ranches Acquisition, (ii) a portion of the cash consideration for the 2025 Drop Down (as defined in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and (iii)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Equity Offering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13, 2024, the Company completed an underwritten public offering of 11,500,000 shares of its Class A Common Stock, which included 1,500,000 shares issued pursuant to an option to purchase additional shares of Class A Common Stock granted to the underwriters, at a price to the public of $42.50 per share for total net proceeds of approximately $476 million, after the underwriters’ discount and transaction costs (the “2024 Equity Offering”). The net proceeds were used to fund a portion of the cash consideration for the TWR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authorized a $750 million common stock repurchase program, with respect to the repurchase of the Company’s Class A Common Stock, excluding excise tax, over an indefinite period of time. The Company has and intends to continue to purchase shares of Class A Common Stock under the repurchase program opportunistically with funds from cash on hand, free cash flow from operations and potential liquidity events such as the sale of assets. This repurchase program may be suspended from time to time, modified, extended or discontinued by the Company’s board of directors at any time.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repurchases of Class A Common Stock during the three months ended March 31, 2025 and 2024. As of March 31, 2025, approximately $434 million remained available under the repurchase program, excluding excise tax.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has established a dividend policy, whereby the Operating Company distributes all or a portion of its available cash on a quarterly basis to its unitholders (including Diamondback, the Company, TWR IV and the Morita Ranches Equity Recipients). The Company in turn distributes all or a portion of the available cash it receives from the Operating Company to holders of its Class A Common Stock through base and variable dividends that take into account capital returned to stockholders via its stock repurchase program. The Company’s available cash and the available cash of the Operating Company for each quarter is determined by the board of directors following the end of such quarter.</w:t>
      </w:r>
    </w:p>
    <w:p>
      <w:pPr>
        <w:spacing w:after="0" w:line="210"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cash available for distribution by the Operating Company, a non-GAAP measure, generally equals the Company’s consolidated Adjusted EBITDA for the applicable quarter, less cash needed for income taxes payable, debt service, contractual obligations, fixed charges and reserves for future operating or capital needs that the board of directors of the Company deems necessary or appropriate, lease bonus income (net of applicable taxes), distribution equivalent rights payments, preferred dividends, and an adjustment for changes in ownership interests that occurred subsequent to the quarter, </w:t>
      </w:r>
      <w:hyperlink r:id="rId36">
        <w:r>
          <w:rPr>
            <w:rFonts w:ascii="Times New Roman" w:cs="Times New Roman" w:eastAsia="Times New Roman" w:hAnsi="Times New Roman"/>
            <w:sz w:val="18"/>
            <w:szCs w:val="18"/>
            <w:color w:val="auto"/>
          </w:rPr>
          <w:t xml:space="preserve">if any. For a detailed description of the Company’s and the Operating Company’s dividend policy, see </w:t>
        </w:r>
        <w:r>
          <w:rPr>
            <w:rFonts w:ascii="Times New Roman" w:cs="Times New Roman" w:eastAsia="Times New Roman" w:hAnsi="Times New Roman"/>
            <w:sz w:val="18"/>
            <w:szCs w:val="18"/>
            <w:u w:val="single" w:color="auto"/>
            <w:color w:val="0000FF"/>
          </w:rPr>
          <w:t>Note 7—Stockholders’ Equity—Cash Dividends in</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FF"/>
          </w:rPr>
          <w:t>the Company's Annual Report on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2024.</w:t>
        </w:r>
      </w:hyperlink>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percentage of cash available for distribution by the Operating Company pursuant to its distribution policy may change quarterly to enable the Operating Company to retain cash flow to help strengthen the Company’s balance sheet while also expanding the return of capital program through the Company’s stock repurchase program. The Company is not required to pay dividends to its Class A Common stockholders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cash dividends paid during the periods presented (in millions except per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0" w:type="dxa"/>
            <w:vAlign w:val="bottom"/>
            <w:gridSpan w:val="3"/>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840" w:type="dxa"/>
            <w:vAlign w:val="bottom"/>
          </w:tcPr>
          <w:p>
            <w:pPr>
              <w:spacing w:after="0"/>
              <w:rPr>
                <w:sz w:val="3"/>
                <w:szCs w:val="3"/>
                <w:color w:val="auto"/>
              </w:rPr>
            </w:pPr>
          </w:p>
        </w:tc>
        <w:tc>
          <w:tcPr>
            <w:tcW w:w="174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15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Operating Company</w:t>
            </w:r>
          </w:p>
        </w:tc>
        <w:tc>
          <w:tcPr>
            <w:tcW w:w="18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200" w:type="dxa"/>
            <w:vAlign w:val="bottom"/>
          </w:tcPr>
          <w:p>
            <w:pPr>
              <w:spacing w:after="0"/>
              <w:rPr>
                <w:sz w:val="14"/>
                <w:szCs w:val="14"/>
                <w:color w:val="auto"/>
              </w:rPr>
            </w:pPr>
          </w:p>
        </w:tc>
        <w:tc>
          <w:tcPr>
            <w:tcW w:w="128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84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520" w:type="dxa"/>
            <w:vAlign w:val="bottom"/>
            <w:gridSpan w:val="2"/>
          </w:tcPr>
          <w:p>
            <w:pPr>
              <w:jc w:val="right"/>
              <w:ind w:right="22"/>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Distributions to Non-</w:t>
            </w:r>
          </w:p>
        </w:tc>
        <w:tc>
          <w:tcPr>
            <w:tcW w:w="180" w:type="dxa"/>
            <w:vAlign w:val="bottom"/>
          </w:tcPr>
          <w:p>
            <w:pPr>
              <w:spacing w:after="0"/>
              <w:rPr>
                <w:sz w:val="13"/>
                <w:szCs w:val="13"/>
                <w:color w:val="auto"/>
              </w:rPr>
            </w:pPr>
          </w:p>
        </w:tc>
        <w:tc>
          <w:tcPr>
            <w:tcW w:w="960" w:type="dxa"/>
            <w:vAlign w:val="bottom"/>
          </w:tcPr>
          <w:p>
            <w:pPr>
              <w:jc w:val="center"/>
              <w:ind w:right="84"/>
              <w:spacing w:after="0" w:line="15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jc w:val="center"/>
              <w:ind w:right="124"/>
              <w:spacing w:after="0" w:line="159" w:lineRule="exact"/>
              <w:rPr>
                <w:sz w:val="20"/>
                <w:szCs w:val="20"/>
                <w:color w:val="auto"/>
              </w:rPr>
            </w:pPr>
            <w:r>
              <w:rPr>
                <w:rFonts w:ascii="Times New Roman" w:cs="Times New Roman" w:eastAsia="Times New Roman" w:hAnsi="Times New Roman"/>
                <w:sz w:val="14"/>
                <w:szCs w:val="14"/>
                <w:b w:val="1"/>
                <w:bCs w:val="1"/>
                <w:color w:val="auto"/>
              </w:rPr>
              <w:t>Stockholder Record</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OpCo Unit</w:t>
            </w:r>
          </w:p>
        </w:tc>
        <w:tc>
          <w:tcPr>
            <w:tcW w:w="152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Controlling Interests</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18"/>
                <w:szCs w:val="18"/>
                <w:b w:val="1"/>
                <w:bCs w:val="1"/>
                <w:color w:val="auto"/>
                <w:vertAlign w:val="superscript"/>
              </w:rPr>
              <w:t>(1)</w:t>
            </w:r>
          </w:p>
        </w:tc>
        <w:tc>
          <w:tcPr>
            <w:tcW w:w="1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7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Q4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0.69</w:t>
            </w:r>
          </w:p>
        </w:tc>
        <w:tc>
          <w:tcPr>
            <w:tcW w:w="660" w:type="dxa"/>
            <w:vAlign w:val="bottom"/>
          </w:tcPr>
          <w:p>
            <w:pPr>
              <w:jc w:val="right"/>
              <w:ind w:right="42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January 30, 2025</w:t>
            </w:r>
          </w:p>
        </w:tc>
        <w:tc>
          <w:tcPr>
            <w:tcW w:w="17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March 6, 2025</w:t>
            </w:r>
          </w:p>
        </w:tc>
        <w:tc>
          <w:tcPr>
            <w:tcW w:w="1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March 13, 2025</w:t>
            </w:r>
          </w:p>
        </w:tc>
        <w:tc>
          <w:tcPr>
            <w:tcW w:w="0" w:type="dxa"/>
            <w:vAlign w:val="bottom"/>
          </w:tcPr>
          <w:p>
            <w:pPr>
              <w:spacing w:after="0"/>
              <w:rPr>
                <w:sz w:val="1"/>
                <w:szCs w:val="1"/>
                <w:color w:val="auto"/>
              </w:rPr>
            </w:pPr>
          </w:p>
        </w:tc>
      </w:tr>
      <w:tr>
        <w:trPr>
          <w:trHeight w:val="219"/>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Q4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0.69</w:t>
            </w:r>
          </w:p>
        </w:tc>
        <w:tc>
          <w:tcPr>
            <w:tcW w:w="660" w:type="dxa"/>
            <w:vAlign w:val="bottom"/>
          </w:tcPr>
          <w:p>
            <w:pPr>
              <w:jc w:val="right"/>
              <w:ind w:right="42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0.56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February 15, 2024</w:t>
            </w:r>
          </w:p>
        </w:tc>
        <w:tc>
          <w:tcPr>
            <w:tcW w:w="17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March 5, 2024</w:t>
            </w:r>
          </w:p>
        </w:tc>
        <w:tc>
          <w:tcPr>
            <w:tcW w:w="1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March 12, 2024</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left="34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in the first quarter of 2024 include amounts paid to Diamondback for the 7,946,507 shares of Class A Common Stock then beneficially owned by Diamondback and distribution equivalent rights payments. As of March 31, 2024, Diamondback did not beneficially own any shares of Class A Common Stock.</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dividends will be made to the holders of record of the Company’s Class A Common Stock on the applicable record date, generally within 60 days after the end of each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Ownership of Consolidated Subsidiaries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Non-controlling interest in the accompanying condensed consolidated financial statements represents the ownership interests of Diamondback, TWR IV and the Morita Ranches Equity Recipients in the net assets of the Operating Company. The non-controlling interests’ relative ownership in the Operating Company can change due to the purchase or sale of the Company’s Common Stock, the Company’s public offerings of shares of Class A Common Stock for which proceeds are contributed to the Operating Company in exchange for OpCo Units, issuance of shares of Class A Common Stock or issuance of shares of Class B Common Stock and OpCo Units for acquisitions, share-based compensation, repurchases of shares of Class A Common Stock and distribution equivalent rights paid on the Company’s Class A Common Stock. These changes in ownership percentage result in adjustments to non-controlling interest and stockholders’ equity, tax effected, but do not impact earnings.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equity due to changes in ownership interest during the period: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Pr>
          <w:p>
            <w:pPr>
              <w:spacing w:after="0"/>
              <w:rPr>
                <w:sz w:val="19"/>
                <w:szCs w:val="19"/>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gridSpan w:val="3"/>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96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ownership of consolidated subsidiaries</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from net income (loss) attributable to the Company's stockholders and transfers with non-controlling</w:t>
            </w:r>
          </w:p>
        </w:tc>
        <w:tc>
          <w:tcPr>
            <w:tcW w:w="960" w:type="dxa"/>
            <w:vAlign w:val="bottom"/>
            <w:vMerge w:val="restart"/>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4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COMMON SHARE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net income (loss) per common share on the condensed consolidated statements of operations is based on the net income (loss) attributable to the Company’s Class A Common Stock for the three months ended March 31, 2025 and 2024, respectively.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outstanding during the period. Diluted net income (loss) per common share gives effect, when applicable, to unvested restricted stock units and performance restricted stock units granted under the LTIP.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share is presented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spacing w:after="0"/>
              <w:rPr>
                <w:sz w:val="19"/>
                <w:szCs w:val="19"/>
                <w:color w:val="auto"/>
              </w:rPr>
            </w:pPr>
          </w:p>
        </w:tc>
        <w:tc>
          <w:tcPr>
            <w:tcW w:w="28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10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34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 shares in</w:t>
            </w: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40" w:type="dxa"/>
            <w:vAlign w:val="bottom"/>
            <w:gridSpan w:val="3"/>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participating securities</w:t>
            </w:r>
            <w:r>
              <w:rPr>
                <w:rFonts w:ascii="Times New Roman" w:cs="Times New Roman" w:eastAsia="Times New Roman" w:hAnsi="Times New Roman"/>
                <w:sz w:val="23"/>
                <w:szCs w:val="23"/>
                <w:color w:val="auto"/>
                <w:vertAlign w:val="superscript"/>
              </w:rPr>
              <w:t>(1)</w:t>
            </w:r>
          </w:p>
        </w:tc>
        <w:tc>
          <w:tcPr>
            <w:tcW w:w="100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9"/>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120,926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87,537</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Potential common shares issuable</w:t>
            </w:r>
            <w:r>
              <w:rPr>
                <w:rFonts w:ascii="Times New Roman" w:cs="Times New Roman" w:eastAsia="Times New Roman" w:hAnsi="Times New Roman"/>
                <w:sz w:val="23"/>
                <w:szCs w:val="23"/>
                <w:color w:val="auto"/>
                <w:vertAlign w:val="superscript"/>
              </w:rPr>
              <w:t>(2)</w:t>
            </w:r>
          </w:p>
        </w:tc>
        <w:tc>
          <w:tcPr>
            <w:tcW w:w="10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6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0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121,030</w:t>
            </w:r>
          </w:p>
        </w:tc>
        <w:tc>
          <w:tcPr>
            <w:tcW w:w="1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87,629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line="261" w:lineRule="auto"/>
        <w:tabs>
          <w:tab w:leader="none" w:pos="5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restricted stock units and performance restricted stock units that contain non-forfeitable distribution equivalent rights are considered participating securities and are therefore included in the earnings per share calculation pursuant to the two-class method.</w:t>
      </w:r>
    </w:p>
    <w:p>
      <w:pPr>
        <w:ind w:left="340" w:right="20" w:hanging="332"/>
        <w:spacing w:after="0" w:line="260" w:lineRule="auto"/>
        <w:tabs>
          <w:tab w:leader="none" w:pos="4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and 2024, there were no other significant potential common shares excluded from the computation of diluted earnings per common share.</w:t>
      </w:r>
    </w:p>
    <w:p>
      <w:pPr>
        <w:spacing w:after="0" w:line="2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provision for (benefit from) income taxes and the effective income tax rate for the dates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28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r>
      <w:tr>
        <w:trPr>
          <w:trHeight w:val="237"/>
        </w:trPr>
        <w:tc>
          <w:tcPr>
            <w:tcW w:w="78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r>
      <w:tr>
        <w:trPr>
          <w:trHeight w:val="233"/>
        </w:trPr>
        <w:tc>
          <w:tcPr>
            <w:tcW w:w="7860" w:type="dxa"/>
            <w:vAlign w:val="bottom"/>
          </w:tcPr>
          <w:p>
            <w:pPr>
              <w:spacing w:after="0"/>
              <w:rPr>
                <w:sz w:val="20"/>
                <w:szCs w:val="20"/>
                <w:color w:val="auto"/>
              </w:rPr>
            </w:pPr>
          </w:p>
        </w:tc>
        <w:tc>
          <w:tcPr>
            <w:tcW w:w="282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(In millions, except for tax rate)</w:t>
            </w:r>
          </w:p>
        </w:tc>
        <w:tc>
          <w:tcPr>
            <w:tcW w:w="560" w:type="dxa"/>
            <w:vAlign w:val="bottom"/>
          </w:tcPr>
          <w:p>
            <w:pPr>
              <w:spacing w:after="0"/>
              <w:rPr>
                <w:sz w:val="20"/>
                <w:szCs w:val="20"/>
                <w:color w:val="auto"/>
              </w:rPr>
            </w:pPr>
          </w:p>
        </w:tc>
      </w:tr>
      <w:tr>
        <w:trPr>
          <w:trHeight w:val="26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40" w:type="dxa"/>
            <w:vAlign w:val="bottom"/>
            <w:tcBorders>
              <w:bottom w:val="single" w:sz="8" w:color="CCEEFF"/>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Borders>
              <w:bottom w:val="single" w:sz="8" w:color="CCEEFF"/>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bl>
    <w:p>
      <w:pPr>
        <w:spacing w:after="0" w:line="3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2025 and 2024 differed from the amounts computed by applying the United States federal statutory tax rate to pre-tax income for the periods primarily due to net income attributable to the non-controlling interest.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2024, Diamondback converted 5,278,493 shares of the Company’s Class B Common Stock along with 5,278,493 OpCo Units into an equivalent number of shares of the Company’s Class A Common Stock. In connection with this transaction, the Company recognized a $28 million increase in its deferred tax asset and a $11 million increase in its valuation allowance through additional paid-in capital.</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Company maintained a partial valuation allowance against its deferred tax assets considered not more likely than not to be realized, based on its assessment of all available evidence, both positive and negative as required by applicable accounting standards. The remaining valuation allowance was released in full during the fourth quarter of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 incurred no excise tax on repurchases of Class A Common Stock during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Contracts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historically has used fixed price swap contracts, fixed price basis swap contracts and costless collars with corresponding put and call options to reduce price volatility associated with certain of its royalty income. At March 31, 2025, the Company has puts, costless collars and fixed price basis swaps outstanding.</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all participants in the amended and restated credit facility, which is secured by substantially all of the assets of the Operating Company; therefore, the Company is not required to post any collateral. The Company’s counterparties have been determined to have an acceptable credit risk; therefore, the Company does not require collateral from its counterparties. Market risks involved in our use of derivative instruments relate to our potential inability to realize the benefits of any increases in commodity prices above the prices established by our derivative contracts.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the following outstanding derivative contracts. When aggregating multiple contracts, the weighted average contract price is disclosed.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Swaps</w:t>
            </w:r>
          </w:p>
        </w:tc>
        <w:tc>
          <w:tcPr>
            <w:tcW w:w="80" w:type="dxa"/>
            <w:vAlign w:val="bottom"/>
          </w:tcPr>
          <w:p>
            <w:pPr>
              <w:spacing w:after="0"/>
              <w:rPr>
                <w:sz w:val="19"/>
                <w:szCs w:val="19"/>
                <w:color w:val="auto"/>
              </w:rPr>
            </w:pPr>
          </w:p>
        </w:tc>
        <w:tc>
          <w:tcPr>
            <w:tcW w:w="22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Collars</w:t>
            </w:r>
          </w:p>
        </w:tc>
        <w:tc>
          <w:tcPr>
            <w:tcW w:w="100" w:type="dxa"/>
            <w:vAlign w:val="bottom"/>
          </w:tcPr>
          <w:p>
            <w:pPr>
              <w:spacing w:after="0"/>
              <w:rPr>
                <w:sz w:val="19"/>
                <w:szCs w:val="19"/>
                <w:color w:val="auto"/>
              </w:rPr>
            </w:pPr>
          </w:p>
        </w:tc>
        <w:tc>
          <w:tcPr>
            <w:tcW w:w="11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Puts</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Bbls/MMBtu</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62"/>
        </w:trPr>
        <w:tc>
          <w:tcPr>
            <w:tcW w:w="11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Floor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Ceiling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 Day</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Differential</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Strike Price</w:t>
            </w: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OIL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Apr. - Jun.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Puts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WTI Cushing</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33"/>
        </w:trPr>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 - Sep.</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Puts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WTI Cushing</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Apr. - Dec.</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20"/>
                <w:szCs w:val="2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Basis Swaps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60,000</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Waha Hub</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$(0.80)</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3"/>
        </w:trPr>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Jan. - Dec.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Basis Swaps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Waha Hub</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3"/>
        </w:trPr>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 - Dec.</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tcPr>
          <w:p>
            <w:pPr>
              <w:spacing w:after="0"/>
              <w:rPr>
                <w:sz w:val="20"/>
                <w:szCs w:val="2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Basis Swaps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40,000</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Waha Hub</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3"/>
        </w:trPr>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Apr. - Dec.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Costless Collar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60,000</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Henry Hub</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$2.50</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 - Dec.</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Costless Collar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60,000</w:t>
            </w:r>
          </w:p>
        </w:tc>
        <w:tc>
          <w:tcPr>
            <w:tcW w:w="1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Henry Hub</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$2.75</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9"/>
                <w:szCs w:val="19"/>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Offsetting of Derivative Assets and Liabilities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Times New Roman" w:cs="Times New Roman" w:eastAsia="Times New Roman" w:hAnsi="Times New Roman"/>
          <w:sz w:val="18"/>
          <w:szCs w:val="18"/>
          <w:u w:val="single" w:color="auto"/>
          <w:color w:val="0000FF"/>
        </w:rPr>
        <w:t>Fair Value Measurements</w:t>
      </w:r>
      <w:r>
        <w:rPr>
          <w:rFonts w:ascii="Times New Roman" w:cs="Times New Roman" w:eastAsia="Times New Roman" w:hAnsi="Times New Roman"/>
          <w:sz w:val="18"/>
          <w:szCs w:val="18"/>
          <w:color w:val="auto"/>
        </w:rPr>
        <w:t xml:space="preserve"> for further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Losses on Derivative Instruments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Pr>
          <w:p>
            <w:pPr>
              <w:spacing w:after="0"/>
              <w:rPr>
                <w:sz w:val="19"/>
                <w:szCs w:val="19"/>
                <w:color w:val="auto"/>
              </w:rPr>
            </w:pP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Borders>
              <w:bottom w:val="single" w:sz="8" w:color="auto"/>
            </w:tcBorders>
          </w:tcPr>
          <w:p>
            <w:pPr>
              <w:spacing w:after="0"/>
              <w:rPr>
                <w:sz w:val="19"/>
                <w:szCs w:val="19"/>
                <w:color w:val="auto"/>
              </w:rPr>
            </w:pPr>
          </w:p>
        </w:tc>
      </w:tr>
      <w:tr>
        <w:trPr>
          <w:trHeight w:val="236"/>
        </w:trPr>
        <w:tc>
          <w:tcPr>
            <w:tcW w:w="8260" w:type="dxa"/>
            <w:vAlign w:val="bottom"/>
          </w:tcPr>
          <w:p>
            <w:pPr>
              <w:spacing w:after="0"/>
              <w:rPr>
                <w:sz w:val="20"/>
                <w:szCs w:val="20"/>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20"/>
                <w:szCs w:val="20"/>
                <w:color w:val="auto"/>
              </w:rPr>
            </w:pPr>
          </w:p>
        </w:tc>
      </w:tr>
      <w:tr>
        <w:trPr>
          <w:trHeight w:val="233"/>
        </w:trPr>
        <w:tc>
          <w:tcPr>
            <w:tcW w:w="8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2"/>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20"/>
                <w:szCs w:val="20"/>
                <w:color w:val="auto"/>
              </w:rPr>
            </w:pPr>
          </w:p>
        </w:tc>
      </w:tr>
      <w:tr>
        <w:trPr>
          <w:trHeight w:val="2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three months ended March 31, 2025 includes an unrealized gain of $3 million for the change in fair value of the 2026 WTI Contingent Liability.</w:t>
      </w:r>
    </w:p>
    <w:p>
      <w:pPr>
        <w:spacing w:after="0" w:line="248"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56"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discussed in </w:t>
      </w:r>
      <w:hyperlink r:id="rId41">
        <w:r>
          <w:rPr>
            <w:rFonts w:ascii="Times New Roman" w:cs="Times New Roman" w:eastAsia="Times New Roman" w:hAnsi="Times New Roman"/>
            <w:sz w:val="18"/>
            <w:szCs w:val="18"/>
            <w:u w:val="single" w:color="auto"/>
            <w:color w:val="0000FF"/>
          </w:rPr>
          <w:t>Note 11—Fair Value Measurements in the Company's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certain assets and liabilities are reported at fair value on a recurring basis on the Company’s condensed consolidated balance sheets, including the Company’s commodity derivative instruments and the 2026 WTI Contingent Liability. The 2026 WTI Contingent Liability was recorded in “Accrued liabilities” on the Company’s condensed consolidated balance sheet at March 31, 2025 and in “Other long-term liabilities” on the Company’s consolidated balance sheet at December 31, 2024. The change in fair value of the 2026 WTI Contingent Liability is recognized in “Gain (loss) on derivative instruments, net” on the Company’s condensed consolidated statements of operations for the three months ended March 31, 2025.</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values of the Company’s derivative contracts are measured internally using established commodity futures price strips for the underlying commodity provided by a reputable third-party, the contracted notional volumes, and time to maturity. The net amounts are classified as current or noncurrent based on their anticipated settlement dates. The fair value of the 2026 WTI Contingent Liability is estimated using observable market data and a Monte Carlo pricing model, which are considered Level 2 inputs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 fair value measurement information for financial assets and liabilities measured at fair value on a recurring basis,</w:t>
      </w:r>
    </w:p>
    <w:p>
      <w:pPr>
        <w:spacing w:after="0" w:line="27" w:lineRule="exact"/>
        <w:rPr>
          <w:sz w:val="20"/>
          <w:szCs w:val="20"/>
          <w:color w:val="auto"/>
        </w:rPr>
      </w:pPr>
    </w:p>
    <w:p>
      <w:pPr>
        <w:ind w:right="20" w:firstLine="8"/>
        <w:spacing w:after="0" w:line="26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amounts of recognized derivative assets and liabilities, (iii) the amounts offset under master netting arrangements with counterparties, and (iv) the resulting net amounts presented in the Company’s condensed consolidated balance sheets as of March 31, 2025 and December 31, 2024:</w:t>
      </w:r>
    </w:p>
    <w:p>
      <w:pPr>
        <w:spacing w:after="0" w:line="26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30480</wp:posOffset>
            </wp:positionV>
            <wp:extent cx="4928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260" w:type="dxa"/>
            <w:vAlign w:val="bottom"/>
          </w:tcPr>
          <w:p>
            <w:pPr>
              <w:spacing w:after="0"/>
              <w:rPr>
                <w:sz w:val="16"/>
                <w:szCs w:val="16"/>
                <w:color w:val="auto"/>
              </w:rPr>
            </w:pPr>
          </w:p>
        </w:tc>
        <w:tc>
          <w:tcPr>
            <w:tcW w:w="13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Net Fair Value</w:t>
            </w:r>
          </w:p>
        </w:tc>
      </w:tr>
      <w:tr>
        <w:trPr>
          <w:trHeight w:val="189"/>
        </w:trPr>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Gross Fair</w:t>
            </w:r>
          </w:p>
        </w:tc>
        <w:tc>
          <w:tcPr>
            <w:tcW w:w="200" w:type="dxa"/>
            <w:vAlign w:val="bottom"/>
          </w:tcPr>
          <w:p>
            <w:pPr>
              <w:spacing w:after="0"/>
              <w:rPr>
                <w:sz w:val="16"/>
                <w:szCs w:val="16"/>
                <w:color w:val="auto"/>
              </w:rPr>
            </w:pPr>
          </w:p>
        </w:tc>
        <w:tc>
          <w:tcPr>
            <w:tcW w:w="142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Offset in Balance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Presented in Balance</w:t>
            </w:r>
          </w:p>
        </w:tc>
      </w:tr>
      <w:tr>
        <w:trPr>
          <w:trHeight w:val="239"/>
        </w:trPr>
        <w:tc>
          <w:tcPr>
            <w:tcW w:w="34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Sheet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Sheet</w:t>
            </w:r>
          </w:p>
        </w:tc>
      </w:tr>
      <w:tr>
        <w:trPr>
          <w:trHeight w:val="233"/>
        </w:trPr>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2026 WTI Contingent Liability</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601"/>
        </w:trPr>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00"/>
        </w:trPr>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260" w:type="dxa"/>
            <w:vAlign w:val="bottom"/>
          </w:tcPr>
          <w:p>
            <w:pPr>
              <w:spacing w:after="0"/>
              <w:rPr>
                <w:sz w:val="17"/>
                <w:szCs w:val="17"/>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Net Fair Value</w:t>
            </w:r>
          </w:p>
        </w:tc>
      </w:tr>
      <w:tr>
        <w:trPr>
          <w:trHeight w:val="189"/>
        </w:trPr>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Gross Fair</w:t>
            </w:r>
          </w:p>
        </w:tc>
        <w:tc>
          <w:tcPr>
            <w:tcW w:w="200" w:type="dxa"/>
            <w:vAlign w:val="bottom"/>
          </w:tcPr>
          <w:p>
            <w:pPr>
              <w:spacing w:after="0"/>
              <w:rPr>
                <w:sz w:val="16"/>
                <w:szCs w:val="16"/>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Offset in Balance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Presented in Balance</w:t>
            </w:r>
          </w:p>
        </w:tc>
      </w:tr>
      <w:tr>
        <w:trPr>
          <w:trHeight w:val="239"/>
        </w:trPr>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Sheet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Sheet</w:t>
            </w:r>
          </w:p>
        </w:tc>
      </w:tr>
      <w:tr>
        <w:trPr>
          <w:trHeight w:val="233"/>
        </w:trPr>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2026 WTI Contingent Liability</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Recorded at Fair Value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condensed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6"/>
        </w:trPr>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3"/>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80" w:type="dxa"/>
            <w:vAlign w:val="bottom"/>
            <w:gridSpan w:val="4"/>
          </w:tcPr>
          <w:p>
            <w:pPr>
              <w:jc w:val="right"/>
              <w:ind w:right="119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2027</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3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32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7.375% Senior Notes due 2031</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3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carrying value includes associated deferred loan costs and any discount.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Operating Company’s revolving credit facility approximates the carrying value based on borrowing rates available to the Company for bank loans with similar terms and maturities and is classified as Level 2 in the fair value hierarchy. The fair value of the Notes was determined using the quoted market price at each period end, a Level 1 classification 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other financial instruments consisting of cash and cash equivalents, royalty income receivables, income tax receivables, funds held in escrow, prepaid expenses and other current assets, accounts payable, accrued liabilities and income taxes payable. The carrying values of these instruments approximate their fair values because of the short-term nature of the instruments.</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a party to various routine legal proceedings, disputes and claims from time to time arising in the ordinary course of its business.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12"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2025 Drop Down Transaction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1, 2025, the Company and the Operating Company, as buyer parties, acquired all of the issued and outstanding equity interests in 1979 Royalties, LP and 1979 Royalties GP, LLC from Endeavor Energy Resources, LP (“Endeavor”), each a seller party and a subsidiary of Diamondback, pursuant to a definitive equity purchase agreement for consideration consisting of (i) $1.0 billion in cash, and (ii) the issuance of 69,626,640 OpCo Units and an equivalent number of shares of the Company’s Class B Common Stock (collectively, the “Equity Issuance”), subject to transaction costs and certain customary post-closing adjustments (the “2025 Drop Down”). The OpCo Units and the Class B Common Stock issued in the 2025 Drop Down, as well as the OpCo Units and Class B Common Stock otherwise beneficially owned by Diamondback, are exchangeable from time to time for shares of our Class A Common Stock (that is, one OpCo Unit and one share of Class B Common Stock, together, are exchangeable for one share of Class A Common Stock). The shares of Class A Common Stock that may be issued to Diamondback and/or its subsidiaries upon exchange of their OpCo Units and shares of Class B Common Stock, including those OpCo Units and shares of Class B Common Stock issued at the closing of the 2025 Drop Down, are subject to our existing registration rights agreement with Diamondback, dated as of November 13, 2023, previously filed by us with the SEC.</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mineral and royalty interests acquired in the 2025 Drop Down represent approximately 22,847 net royalty acres in the Permian Basin, 69% of which are operated by Diamondback, and have an average net royalty interest of approximately 2.8% and current oil production of approximately 17,097 BO/d (the “Endeavor Mineral and Royalty Interests”). The Endeavor Mineral and Royalty Interests include interests in horizontal wells comprised of 6,055 gross proved developed production wells (of which approximately 29% are operated by Diamondback), 116 gross completed wells and 394 gross drilled but uncompleted wells, all of which are principally concentrated in the Midland Basin, with the balance located primarily in the Delaware and Williston Basins.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2025 Drop Down was approved by (i) the Company’s audit committee comprised of all independent directors and the full board of directors, in each case on January 30, 2025, and (ii) the majority of the Company’s stockholders, other than Diamondback and its subsidiaries, at the special meeting of the Company’s stockholders held on May 1, 2025. At the special meeting, the Company’s stockholders also approved the Equity Issuance, as required under the Nasdaq Rules.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Immediately following the completion of the 2025 Drop Down, Diamondback beneficially owned approximately 53.7% of the Company’s outstanding Common Stock (or approximately 52% of the Common Stock on a fully diluted basis after giving effect to the outstanding TWR Class B Option). As a result, at the closing of the 2025 Drop Down, the Company regained its status as a “controlled company” under the applicable Nasdaq Rules; however, while the controlled company exemptions are again available to the Company, the Company’s board of directors does not currently intend to avail itself to these exemptions. See Note 1—</w:t>
      </w:r>
      <w:r>
        <w:rPr>
          <w:rFonts w:ascii="Times New Roman" w:cs="Times New Roman" w:eastAsia="Times New Roman" w:hAnsi="Times New Roman"/>
          <w:sz w:val="18"/>
          <w:szCs w:val="18"/>
          <w:u w:val="single" w:color="auto"/>
          <w:color w:val="0000FF"/>
        </w:rPr>
        <w:t>Organization and Basis of Presentation</w:t>
      </w:r>
      <w:r>
        <w:rPr>
          <w:rFonts w:ascii="Times New Roman" w:cs="Times New Roman" w:eastAsia="Times New Roman" w:hAnsi="Times New Roman"/>
          <w:sz w:val="18"/>
          <w:szCs w:val="18"/>
          <w:color w:val="auto"/>
        </w:rPr>
        <w:t xml:space="preserve"> for additional information on the available exemptions.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funded the cash consideration for the 2025 Drop Down with a portion of the proceeds from the 2025 Equity Offering and borrowings under the Operating Company’s revolving credit facility. The 2025 Drop Down was accounted for as a transaction between entities under common control with the Endeavor Mineral and Royalty Interests recorded at Endeavor’s historical carrying value in the Company’s condensed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 2025, the board of directors of the Company approved a cash dividend for the first quarter of 2025 of $0.57 per share of Class A Common Stock and $0.70 per OpCo Unit, in each case, payable on May 22, 2025, to holders of record at the close of business on May 15, 2025. The dividend on Class A Common Stock consists of a base quarterly dividend of $0.30 per share and a variable quarterly dividend of $0.27 per share.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of Notes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through May 2, 2025, the Company opportunistically repurchased principal amounts of $36 million of our 5.375% Senior Notes due 2027 in open market transactions for total cash consideration of $36 million, at an average of 99.7% of par value.</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is managed on a consolidated basis as a single operating and reportable segment which is focused on owning and acquiring mineral and royalty interests primarily in the Permian Basin in West Texas. The Company’s operating segment derives its revenue from customers through the receipt of royalty income on the sale of oil and natural gas products as well as other immaterial service contracts. See Note 3—</w:t>
      </w:r>
      <w:r>
        <w:rPr>
          <w:rFonts w:ascii="Times New Roman" w:cs="Times New Roman" w:eastAsia="Times New Roman" w:hAnsi="Times New Roman"/>
          <w:sz w:val="18"/>
          <w:szCs w:val="18"/>
          <w:u w:val="single" w:color="auto"/>
          <w:color w:val="0000FF"/>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with Customers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discussion of the Company’s sources of revenue.</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uses the Company’s condensed consolidated financial results to assess performance, allocate resources and make key operating decisions, obtaining the board’s approval as required.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47">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 xml:space="preserve">for the year ended December 31, 2024.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Times New Roman" w:cs="Times New Roman" w:eastAsia="Times New Roman" w:hAnsi="Times New Roman"/>
          <w:sz w:val="18"/>
          <w:szCs w:val="18"/>
          <w:i w:val="1"/>
          <w:iCs w:val="1"/>
          <w:u w:val="single" w:color="auto"/>
          <w:color w:val="0000FF"/>
        </w:rPr>
        <w:t>Part II. Item 1A. Risk Factors</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0000FF"/>
        </w:rPr>
        <w:t>Cautionary Statement Regarding Forward-Looking Statements</w:t>
      </w:r>
      <w:r>
        <w:rPr>
          <w:rFonts w:ascii="Times New Roman" w:cs="Times New Roman" w:eastAsia="Times New Roman" w:hAnsi="Times New Roman"/>
          <w:sz w:val="18"/>
          <w:szCs w:val="18"/>
          <w:i w:val="1"/>
          <w:iCs w:val="1"/>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publicly traded Delaware corporation focused on owning and acquiring mineral and royalty interests in oil and natural gas properties primarily in the Permian Basin. We operate in one reportable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2025 Drop Down Transaction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 2025, we and the Operating Company completed the 2025 Drop Down for consideration consisting of (i) $1.0 billion in cash, and (ii) the issuance of 69,626,640 OpCo Units and an equivalent number of shares of our Class B Common Stock, subject to transaction costs and certain customary post-closing adjustments. The mineral and royalty interests acquired in the 2025 Drop Down represent approximately 22,847 net royalty acres in the Permian Basin, 69% of which are operated by Diamondback. We funded the cash consideration for the 2025 Drop Down with a portion of the proceeds from the 2025 Equity Offering and borrowings under the Operating Company’s revolving credit facility. The 2025 Drop Down was approved by (i) our audit committee comprised of all independent directors and the full board of directors, in each case on January 30, 2025, and (ii) the majority of our stockholders, other than Diamondback and its subsidiaries, at the special meeting of our stockholders held on May 1, 2025. At the special meeting, our stockholders also approved the Equity Issuance, as required under the Nasdaq Rules. See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of the notes to the condensed consolidated financial statements for additional information on the acquisition.</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Acquisitions Update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Morita Ranches Acquisition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14, 2025, we completed the Morita Ranches Acquisition for consideration consisting of approximately (i) $211 million in cash, and</w:t>
      </w:r>
    </w:p>
    <w:p>
      <w:pPr>
        <w:spacing w:after="0" w:line="27" w:lineRule="exact"/>
        <w:rPr>
          <w:sz w:val="20"/>
          <w:szCs w:val="20"/>
          <w:color w:val="auto"/>
        </w:rPr>
      </w:pPr>
    </w:p>
    <w:p>
      <w:pPr>
        <w:jc w:val="both"/>
        <w:ind w:firstLine="8"/>
        <w:spacing w:after="0" w:line="253" w:lineRule="auto"/>
        <w:tabs>
          <w:tab w:leader="none" w:pos="2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2,400,297 OpCo Units together with an equal number of shares of Class B Common Stock to be issued to the Morita Ranches Equity Recipients, including certain transaction costs and subject to certain customary post-closing adjustments. The mineral and royalty interests acquired in the Morita Ranches Acquisition represent approximately 1,691 net royalty acres located in the Permian Basin. We funded the cash consideration for the Morita Ranches Acquisition with proceeds from the 2025 Equity Offering.</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acquired, in individually insignificant transactions from unrelated third-party sellers, mineral and royalty interests representing 166 net royalty acres in the Permian Basin for an aggregate purchase price of approximately $50 million, subject to customary post-closing adjustments.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giving effect to the 2025 Drop Down, our footprint of mineral and royalty interests totals approximately 60,725 net royalty acres, approximately 59% of which are operated by Diamondback.</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4—</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auto"/>
        </w:rPr>
        <w:t xml:space="preserve"> of the notes to the condensed consolidated financial statements for additional information on these acquisitions.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Retirement of Notes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through May 2, 2025, we opportunistically repurchased principal amounts of $36 million of our 5.375% Senior Notes due 2027 in open market transactions for total cash consideration of $36 million, at an average of 99.7% of par value.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2025 Equity Offering</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3, 2025, we completed an underwritten public offering of 28,336,000 shares of our Class A Common Stock, which included 3,696,000 shares issued pursuant to an option to purchase additional shares of Class A Common Stock granted to the underwriters, at a price to the public of $44.50 per share, for total net proceeds of approximately $1.2 billion, after the underwriters’ discount and transaction costs. We used the net proceeds from the 2025 Equity Offering to fund (i) the cash consideration for the Morita Ranches Acquisition, (ii) a portion of the cash consideration for the 2025 Drop Down, and (iii) for general corporate purposes.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Prices for oil, natural gas and natural gas liquids are determined primarily by prevailing market conditions. Regional and worldwide economic activity, changes in trade or other government policies or regulations, including with respect to tariffs or other trade barriers, and any resulting trade tensions, extreme weather conditions and other substantially variable factors influence market conditions for these products. These factors are beyond our control and are difficult to predict. OPEC and its non-OPEC allies, known collectively as OPEC+, continue to meet regularly to evaluate the state of global oil supply, demand and inventory levels and can heavily influence volatility in oil prices. During the three months ended March 31, 2025 and 2024, WTI prices averaged $71.42 and $76.91 per Bbl, respectively, and Henry Hub prices averaged $3.87 and $2.10 per MMBtu, respectively.</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around risks related to commodity prices, see </w:t>
      </w:r>
      <w:r>
        <w:rPr>
          <w:rFonts w:ascii="Times New Roman" w:cs="Times New Roman" w:eastAsia="Times New Roman" w:hAnsi="Times New Roman"/>
          <w:sz w:val="18"/>
          <w:szCs w:val="18"/>
          <w:u w:val="single" w:color="auto"/>
          <w:color w:val="0000FF"/>
        </w:rPr>
        <w:t>Part II. Item 3. 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Risk—Commodity Price Risk</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Guidance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our current estimates of certain financial and operating results for the full year 2025, as well as production and cash tax guidance for the second quarter of 2025, giving effect to the impact of the 2025 Drop Down. Given recent market volatility, Diamondback and our other operators are closely monitoring the macro environment and may review their operating plans for the remainder of 2025, and thus our production guidance could be subject to change.</w:t>
      </w:r>
    </w:p>
    <w:p>
      <w:pPr>
        <w:spacing w:after="0" w:line="26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6"/>
          <w:szCs w:val="16"/>
          <w:b w:val="1"/>
          <w:bCs w:val="1"/>
          <w:color w:val="auto"/>
        </w:rPr>
        <w:t>2025 Guidance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Q2</w:t>
            </w:r>
          </w:p>
        </w:tc>
        <w:tc>
          <w:tcPr>
            <w:tcW w:w="7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net production - MBO/d</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- 43.0</w:t>
            </w: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9"/>
              </w:rPr>
              <w:t>Q2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2025 net production - MBOE/d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- 78.0</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year 2025 net production - MBO/d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- 43.5</w:t>
            </w: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Full year 2025 net production - MBOE/d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- 79.0</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0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Costs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/BOE)</w:t>
            </w:r>
          </w:p>
        </w:tc>
        <w:tc>
          <w:tcPr>
            <w:tcW w:w="1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$16.50</w:t>
            </w: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general and administrative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$1.00</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$0.20</w:t>
            </w: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$2.50</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3220" w:type="dxa"/>
            <w:vAlign w:val="bottom"/>
            <w:gridSpan w:val="2"/>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Production and ad valorem taxes (% of revenue)</w:t>
            </w:r>
          </w:p>
        </w:tc>
        <w:tc>
          <w:tcPr>
            <w:tcW w:w="322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tax rate (% of pre-tax income attributable to the Company)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- 23%</w:t>
            </w:r>
          </w:p>
        </w:tc>
      </w:tr>
      <w:tr>
        <w:trPr>
          <w:trHeight w:val="312"/>
        </w:trPr>
        <w:tc>
          <w:tcPr>
            <w:tcW w:w="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9"/>
              </w:rPr>
              <w:t>Q2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2025 cash taxes (in millions)</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Attributable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Operational Update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May 1, 2025, after giving effect to the 2025 Drop Down, there are 63 gross rigs operating on our mineral and royalty acreage, 16 of which are operated by Diamondback. Despite the potential for sustained weakness in commodity prices and reduced activity levels, we expect Viper’s production to remain durable in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well information as of May 1, 2025, after giving effect to the 2025 Drop Down: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Diamondback</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Third-Party</w:t>
            </w:r>
          </w:p>
        </w:tc>
        <w:tc>
          <w:tcPr>
            <w:tcW w:w="1400" w:type="dxa"/>
            <w:vAlign w:val="bottom"/>
          </w:tcPr>
          <w:p>
            <w:pPr>
              <w:spacing w:after="0"/>
              <w:rPr>
                <w:sz w:val="16"/>
                <w:szCs w:val="16"/>
                <w:color w:val="auto"/>
              </w:rPr>
            </w:pPr>
          </w:p>
        </w:tc>
      </w:tr>
      <w:tr>
        <w:trPr>
          <w:trHeight w:val="239"/>
        </w:trPr>
        <w:tc>
          <w:tcPr>
            <w:tcW w:w="67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Operated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Operated</w:t>
            </w:r>
          </w:p>
        </w:tc>
        <w:tc>
          <w:tcPr>
            <w:tcW w:w="14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9"/>
        </w:trPr>
        <w:tc>
          <w:tcPr>
            <w:tcW w:w="678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Q1 2025 Horizontal wells turned to production</w:t>
            </w:r>
            <w:r>
              <w:rPr>
                <w:rFonts w:ascii="Times New Roman" w:cs="Times New Roman" w:eastAsia="Times New Roman" w:hAnsi="Times New Roman"/>
                <w:sz w:val="21"/>
                <w:szCs w:val="21"/>
                <w:b w:val="1"/>
                <w:bCs w:val="1"/>
                <w:color w:val="auto"/>
                <w:vertAlign w:val="superscript"/>
              </w:rPr>
              <w:t>(1)(2)</w:t>
            </w:r>
            <w:r>
              <w:rPr>
                <w:rFonts w:ascii="Times New Roman" w:cs="Times New Roman" w:eastAsia="Times New Roman" w:hAnsi="Times New Roman"/>
                <w:sz w:val="16"/>
                <w:szCs w:val="16"/>
                <w:b w:val="1"/>
                <w:bCs w:val="1"/>
                <w:color w:val="auto"/>
              </w:rPr>
              <w:t>:</w:t>
            </w: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7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Horizontal producing well count: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6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0"/>
        </w:trPr>
        <w:tc>
          <w:tcPr>
            <w:tcW w:w="6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Horizontal active development well count</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6"/>
                <w:szCs w:val="16"/>
                <w:b w:val="1"/>
                <w:bCs w:val="1"/>
                <w:color w:val="auto"/>
              </w:rPr>
              <w:t>:</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7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Line of sight wells</w:t>
            </w:r>
            <w:r>
              <w:rPr>
                <w:rFonts w:ascii="Times New Roman" w:cs="Times New Roman" w:eastAsia="Times New Roman" w:hAnsi="Times New Roman"/>
                <w:sz w:val="21"/>
                <w:szCs w:val="21"/>
                <w:b w:val="1"/>
                <w:bCs w:val="1"/>
                <w:color w:val="auto"/>
                <w:vertAlign w:val="superscript"/>
              </w:rPr>
              <w:t>(4)</w:t>
            </w:r>
            <w:r>
              <w:rPr>
                <w:rFonts w:ascii="Times New Roman" w:cs="Times New Roman" w:eastAsia="Times New Roman" w:hAnsi="Times New Roman"/>
                <w:sz w:val="16"/>
                <w:szCs w:val="16"/>
                <w:b w:val="1"/>
                <w:bCs w:val="1"/>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7"/>
        </w:trPr>
        <w:tc>
          <w:tcPr>
            <w:tcW w:w="67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wells turned to production on our standalone acreage position; does not give effect to the 2025 Drop Down.</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lateral length of 11,946.</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921 gross wells currently in the process of active development are those wells that have been spud and are expected to be turned to production within approximately the next six to eight months.</w:t>
      </w:r>
    </w:p>
    <w:p>
      <w:pPr>
        <w:jc w:val="both"/>
        <w:ind w:left="340" w:hanging="332"/>
        <w:spacing w:after="0" w:line="253" w:lineRule="auto"/>
        <w:tabs>
          <w:tab w:leader="none" w:pos="4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1,094 gross line-of-sight wells are those that are not currently in the process of active development, but for which we have reason to believe will be turned to production within approximately the next 15 to 18 months. The expected timing of these line-of-sight wells is based primarily on permitting by third-party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December 31, 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income and expenses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292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60" w:type="dxa"/>
            <w:vAlign w:val="bottom"/>
            <w:tcBorders>
              <w:bottom w:val="single" w:sz="8" w:color="auto"/>
            </w:tcBorders>
          </w:tcPr>
          <w:p>
            <w:pPr>
              <w:spacing w:after="0"/>
              <w:rPr>
                <w:sz w:val="19"/>
                <w:szCs w:val="19"/>
                <w:color w:val="auto"/>
              </w:rPr>
            </w:pPr>
          </w:p>
        </w:tc>
      </w:tr>
      <w:tr>
        <w:trPr>
          <w:trHeight w:val="237"/>
        </w:trPr>
        <w:tc>
          <w:tcPr>
            <w:tcW w:w="75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3"/>
        </w:trPr>
        <w:tc>
          <w:tcPr>
            <w:tcW w:w="7560" w:type="dxa"/>
            <w:vAlign w:val="bottom"/>
          </w:tcPr>
          <w:p>
            <w:pPr>
              <w:spacing w:after="0"/>
              <w:rPr>
                <w:sz w:val="20"/>
                <w:szCs w:val="20"/>
                <w:color w:val="auto"/>
              </w:rPr>
            </w:pPr>
          </w:p>
        </w:tc>
        <w:tc>
          <w:tcPr>
            <w:tcW w:w="2920" w:type="dxa"/>
            <w:vAlign w:val="bottom"/>
            <w:gridSpan w:val="4"/>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60" w:type="dxa"/>
            <w:vAlign w:val="bottom"/>
          </w:tcPr>
          <w:p>
            <w:pPr>
              <w:spacing w:after="0"/>
              <w:rPr>
                <w:sz w:val="20"/>
                <w:szCs w:val="20"/>
                <w:color w:val="auto"/>
              </w:rPr>
            </w:pP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income</w:t>
            </w:r>
          </w:p>
        </w:tc>
        <w:tc>
          <w:tcPr>
            <w:tcW w:w="1440" w:type="dxa"/>
            <w:vAlign w:val="bottom"/>
          </w:tcPr>
          <w:p>
            <w:pPr>
              <w:jc w:val="right"/>
              <w:ind w:right="12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201</w:t>
            </w:r>
          </w:p>
        </w:tc>
        <w:tc>
          <w:tcPr>
            <w:tcW w:w="120" w:type="dxa"/>
            <w:vAlign w:val="bottom"/>
          </w:tcPr>
          <w:p>
            <w:pPr>
              <w:spacing w:after="0"/>
              <w:rPr>
                <w:sz w:val="21"/>
                <w:szCs w:val="21"/>
                <w:color w:val="auto"/>
              </w:rPr>
            </w:pP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7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income</w:t>
            </w: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14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w:t>
            </w: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14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3"/>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1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6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14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7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4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4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7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4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4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75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1440" w:type="dxa"/>
            <w:vAlign w:val="bottom"/>
            <w:tcBorders>
              <w:bottom w:val="single" w:sz="8" w:color="auto"/>
            </w:tcBorders>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production data, average sales prices and average costs for the periods indicated:</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7"/>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(MBbls)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r>
      <w:tr>
        <w:trPr>
          <w:trHeight w:val="270"/>
        </w:trPr>
        <w:tc>
          <w:tcPr>
            <w:tcW w:w="7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56,109</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sales prices:</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($/Bbl)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($/Mcf)</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70"/>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($/BOE)</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70"/>
        </w:trPr>
        <w:tc>
          <w:tcPr>
            <w:tcW w:w="7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7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0"/>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7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70"/>
        </w:trPr>
        <w:tc>
          <w:tcPr>
            <w:tcW w:w="7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($/BOE):</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 cash component</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64"/>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 non-cash stock compensation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Depletion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bl>
    <w:p>
      <w:pPr>
        <w:spacing w:after="0" w:line="10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of our matured commodity derivative transactions on our average sales prices.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changes in our revenues and expenses between the first quarter of 2025 and the fourth quarter of 2024 are discussed further below.</w:t>
      </w:r>
    </w:p>
    <w:p>
      <w:pPr>
        <w:spacing w:after="0" w:line="2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Royalty Income. </w:t>
      </w:r>
      <w:r>
        <w:rPr>
          <w:rFonts w:ascii="Times New Roman" w:cs="Times New Roman" w:eastAsia="Times New Roman" w:hAnsi="Times New Roman"/>
          <w:sz w:val="18"/>
          <w:szCs w:val="18"/>
          <w:color w:val="auto"/>
        </w:rPr>
        <w:t>Our royalty income is a function of oil, natural gas and natural gas liquids production volumes sold and average prices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those volumes.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Royalty income increased by $19 million during the first quarter of 2025 compared to the fourth quarter of 2024. This net increase consisted of $16 million attributable to higher average oil, natural gas and natural gas liquids prices received for our production and an additional $3 million attributable to a higher percentage of combined production volumes coming from oil production in the first quarter of 2025 compared to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Taxes. </w:t>
      </w:r>
      <w:r>
        <w:rPr>
          <w:rFonts w:ascii="Times New Roman" w:cs="Times New Roman" w:eastAsia="Times New Roman" w:hAnsi="Times New Roman"/>
          <w:sz w:val="18"/>
          <w:szCs w:val="18"/>
          <w:color w:val="auto"/>
        </w:rPr>
        <w:t>The following table presents production and ad valorem taxes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10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94"/>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00" w:type="dxa"/>
            <w:vAlign w:val="bottom"/>
            <w:vMerge w:val="restart"/>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4"/>
                <w:szCs w:val="14"/>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200" w:type="dxa"/>
            <w:vAlign w:val="bottom"/>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214"/>
        </w:trPr>
        <w:tc>
          <w:tcPr>
            <w:tcW w:w="3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Royalty Income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5.4 %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4.9 %</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1"/>
                <w:szCs w:val="21"/>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7.0 %</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7.1 %</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royalty income for the first quarter of 2025 were relatively consistent with the fourth quarter of 2024 .</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following table shows the net gain (loss) on derivative instruments and the net cash receipts (payments)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derivatives for the periods presented: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80" w:type="dxa"/>
            <w:vAlign w:val="bottom"/>
          </w:tcPr>
          <w:p>
            <w:pPr>
              <w:spacing w:after="0"/>
              <w:rPr>
                <w:sz w:val="19"/>
                <w:szCs w:val="19"/>
                <w:color w:val="auto"/>
              </w:rPr>
            </w:pPr>
          </w:p>
        </w:tc>
        <w:tc>
          <w:tcPr>
            <w:tcW w:w="3780" w:type="dxa"/>
            <w:vAlign w:val="bottom"/>
            <w:tcBorders>
              <w:bottom w:val="single" w:sz="8" w:color="auto"/>
            </w:tcBorders>
            <w:gridSpan w:val="3"/>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Borders>
              <w:bottom w:val="single" w:sz="8" w:color="auto"/>
            </w:tcBorders>
          </w:tcPr>
          <w:p>
            <w:pPr>
              <w:spacing w:after="0"/>
              <w:rPr>
                <w:sz w:val="19"/>
                <w:szCs w:val="19"/>
                <w:color w:val="auto"/>
              </w:rPr>
            </w:pPr>
          </w:p>
        </w:tc>
      </w:tr>
      <w:tr>
        <w:trPr>
          <w:trHeight w:val="237"/>
        </w:trPr>
        <w:tc>
          <w:tcPr>
            <w:tcW w:w="71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20"/>
                <w:szCs w:val="20"/>
                <w:color w:val="auto"/>
              </w:rPr>
            </w:pPr>
          </w:p>
        </w:tc>
      </w:tr>
      <w:tr>
        <w:trPr>
          <w:trHeight w:val="233"/>
        </w:trPr>
        <w:tc>
          <w:tcPr>
            <w:tcW w:w="7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0" w:type="dxa"/>
            <w:vAlign w:val="bottom"/>
            <w:gridSpan w:val="2"/>
          </w:tcPr>
          <w:p>
            <w:pPr>
              <w:jc w:val="right"/>
              <w:ind w:right="123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0"/>
                <w:szCs w:val="20"/>
                <w:color w:val="auto"/>
              </w:rPr>
            </w:pPr>
          </w:p>
        </w:tc>
      </w:tr>
      <w:tr>
        <w:trPr>
          <w:trHeight w:val="26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580" w:type="dxa"/>
            <w:vAlign w:val="bottom"/>
            <w:tcBorders>
              <w:bottom w:val="single" w:sz="8" w:color="CCEEFF"/>
            </w:tcBorders>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780" w:type="dxa"/>
            <w:vAlign w:val="bottom"/>
            <w:tcBorders>
              <w:bottom w:val="single" w:sz="8" w:color="CCEEFF"/>
            </w:tcBorders>
            <w:shd w:val="clear" w:color="auto" w:fill="CCEEFF"/>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158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780" w:type="dxa"/>
            <w:vAlign w:val="bottom"/>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gain on derivative instruments in the first quarter of 2025 compared to the fourth quarter of 2024 is primarily due to (i) an additional $10 million in cash receipts on settled natural gas basis swaps, (ii) a $7 million increase in the value of our open natural gas contracts primarily due to changes in the differential between prices for Waha Hub and Henry Hub, (iii) a $6 million decrease in the estimated fair value of our 2026 WTI Contingent Liability based on fluctuations in the projected WTI 2025 Average price, and (iv) a reduction of $3 million in the loss recognized on open oil contracts.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of the notes to the condensed consolidated financial statements for additional discussion of our open contracts at March 31, 2025.</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(Benefit from) Income Taxes. </w:t>
      </w:r>
      <w:r>
        <w:rPr>
          <w:rFonts w:ascii="Times New Roman" w:cs="Times New Roman" w:eastAsia="Times New Roman" w:hAnsi="Times New Roman"/>
          <w:sz w:val="18"/>
          <w:szCs w:val="18"/>
          <w:color w:val="auto"/>
        </w:rPr>
        <w:t>We recorded an income tax expense of $21 million and an income tax benefit of $142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of 2025 and the fourth quarter of 2024, respectively. This change is primarily due to the release of our remaining valuation allowance during the fourth quarter of 2024. See Note 9—</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auto"/>
        </w:rPr>
        <w:t xml:space="preserve"> of the notes to the condensed consolidated financial statements for further discussion of income tax expense.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Attributable to Non-controlling Interest. </w:t>
      </w:r>
      <w:r>
        <w:rPr>
          <w:rFonts w:ascii="Times New Roman" w:cs="Times New Roman" w:eastAsia="Times New Roman" w:hAnsi="Times New Roman"/>
          <w:sz w:val="18"/>
          <w:szCs w:val="18"/>
          <w:color w:val="auto"/>
        </w:rPr>
        <w:t>The $15 million increase in net income attributable to non-controlling interest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of 2025 compared to the fourth quarter of 2024 is primarily due to an increase in net income before taxes and an increase in non-controlling interest resulting from the Morita Ranches Acquisition.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income and expenses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40" w:type="dxa"/>
            <w:vAlign w:val="bottom"/>
          </w:tcPr>
          <w:p>
            <w:pPr>
              <w:spacing w:after="0"/>
              <w:rPr>
                <w:sz w:val="19"/>
                <w:szCs w:val="19"/>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9"/>
                <w:szCs w:val="19"/>
                <w:color w:val="auto"/>
              </w:rPr>
            </w:pPr>
          </w:p>
        </w:tc>
      </w:tr>
      <w:tr>
        <w:trPr>
          <w:trHeight w:val="237"/>
        </w:trPr>
        <w:tc>
          <w:tcPr>
            <w:tcW w:w="8140" w:type="dxa"/>
            <w:vAlign w:val="bottom"/>
          </w:tcPr>
          <w:p>
            <w:pPr>
              <w:spacing w:after="0"/>
              <w:rPr>
                <w:sz w:val="20"/>
                <w:szCs w:val="20"/>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r>
      <w:tr>
        <w:trPr>
          <w:trHeight w:val="233"/>
        </w:trPr>
        <w:tc>
          <w:tcPr>
            <w:tcW w:w="8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20"/>
                <w:szCs w:val="20"/>
                <w:color w:val="auto"/>
              </w:rPr>
            </w:pPr>
          </w:p>
        </w:tc>
      </w:tr>
      <w:tr>
        <w:trPr>
          <w:trHeight w:val="25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income</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income</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26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4"/>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0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89"/>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production data, average sales prices and average costs for the periods indicated:</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31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8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(MBbls)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7"/>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7"/>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70"/>
        </w:trPr>
        <w:tc>
          <w:tcPr>
            <w:tcW w:w="8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57,378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46,132</w:t>
            </w:r>
          </w:p>
        </w:tc>
      </w:tr>
      <w:tr>
        <w:trPr>
          <w:trHeight w:val="27"/>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sales prices: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($/Bbl)</w:t>
            </w:r>
          </w:p>
        </w:tc>
        <w:tc>
          <w:tcPr>
            <w:tcW w:w="92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($/Mcf)</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p>
        </w:tc>
        <w:tc>
          <w:tcPr>
            <w:tcW w:w="92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($/BOE)</w:t>
            </w:r>
            <w:r>
              <w:rPr>
                <w:rFonts w:ascii="Times New Roman" w:cs="Times New Roman" w:eastAsia="Times New Roman" w:hAnsi="Times New Roman"/>
                <w:sz w:val="23"/>
                <w:szCs w:val="23"/>
                <w:color w:val="auto"/>
                <w:vertAlign w:val="superscript"/>
              </w:rPr>
              <w:t>(2)</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70"/>
        </w:trPr>
        <w:tc>
          <w:tcPr>
            <w:tcW w:w="8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(3)</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(3)</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70"/>
        </w:trPr>
        <w:tc>
          <w:tcPr>
            <w:tcW w:w="8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($/BOE):</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 cash component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64"/>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92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 non-cash stock compensation expense</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Depletion</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bl>
    <w:p>
      <w:pPr>
        <w:spacing w:after="0" w:line="103"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of our matured commodity derivative transactions on our average sales prices.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changes in our revenues and expenses for the first quarter of 2025 as compared to the first quarter of 2024 are discussed further below.</w:t>
      </w:r>
    </w:p>
    <w:p>
      <w:pPr>
        <w:spacing w:after="0" w:line="2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Royalty Income. </w:t>
      </w:r>
      <w:r>
        <w:rPr>
          <w:rFonts w:ascii="Times New Roman" w:cs="Times New Roman" w:eastAsia="Times New Roman" w:hAnsi="Times New Roman"/>
          <w:sz w:val="18"/>
          <w:szCs w:val="18"/>
          <w:color w:val="auto"/>
        </w:rPr>
        <w:t>Our royalty income is a function of oil, natural gas and natural gas liquids production volumes sold and average prices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those volumes.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Royalty income increased $39 million during the three months ended March 31, 2025 compared to the same period in 2024. This net increase consisted of an additional $45 million in royalty income from the 23% growth in production, partially offset by a decrease of $6 million due primarily to lower average prices received for our oil production during 2025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Approximately 33% of the overall increase in production is attributable to the Tumbleweed Acquisitions and approximately 5% is attributable to the Morita Ranches Acquisition. The remainder of the growth is primarily from new wells added between periods. See Note 4—</w:t>
      </w:r>
      <w:r>
        <w:rPr>
          <w:rFonts w:ascii="Times New Roman" w:cs="Times New Roman" w:eastAsia="Times New Roman" w:hAnsi="Times New Roman"/>
          <w:sz w:val="18"/>
          <w:szCs w:val="18"/>
          <w:u w:val="single" w:color="auto"/>
          <w:color w:val="0000FF"/>
        </w:rPr>
        <w:t>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Divestitures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the condensed consolidated financial statements for additional discussion of our acquisitions.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Taxes. </w:t>
      </w:r>
      <w:r>
        <w:rPr>
          <w:rFonts w:ascii="Times New Roman" w:cs="Times New Roman" w:eastAsia="Times New Roman" w:hAnsi="Times New Roman"/>
          <w:sz w:val="18"/>
          <w:szCs w:val="18"/>
          <w:color w:val="auto"/>
        </w:rPr>
        <w:t>The following table presents production and ad valorem taxes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80" w:type="dxa"/>
            <w:vAlign w:val="bottom"/>
          </w:tcPr>
          <w:p>
            <w:pPr>
              <w:spacing w:after="0"/>
              <w:rPr>
                <w:sz w:val="17"/>
                <w:szCs w:val="17"/>
                <w:color w:val="auto"/>
              </w:rPr>
            </w:pP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2"/>
                <w:szCs w:val="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4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0" w:type="dxa"/>
            <w:vAlign w:val="bottom"/>
          </w:tcPr>
          <w:p>
            <w:pPr>
              <w:spacing w:after="0"/>
              <w:rPr>
                <w:sz w:val="1"/>
                <w:szCs w:val="1"/>
                <w:color w:val="auto"/>
              </w:rPr>
            </w:pPr>
          </w:p>
        </w:tc>
      </w:tr>
      <w:tr>
        <w:trPr>
          <w:trHeight w:val="24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5.4 %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5.0 %</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1"/>
                <w:szCs w:val="21"/>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21"/>
                <w:szCs w:val="21"/>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7.0 %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7.0 %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royalty income for the three months ended March 31, 2025 were relatively consistent with the same period in 2024.</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Depletion. </w:t>
      </w:r>
      <w:r>
        <w:rPr>
          <w:rFonts w:ascii="Times New Roman" w:cs="Times New Roman" w:eastAsia="Times New Roman" w:hAnsi="Times New Roman"/>
          <w:sz w:val="18"/>
          <w:szCs w:val="18"/>
          <w:color w:val="auto"/>
        </w:rPr>
        <w:t>The increase in depletion expense of $20 million for the three months ended March 31, 2025 compared to the same period in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consisted primarily of (i) $11 million from growth in production volumes, and (ii) $9 million due to an increase in the depletion rate to $12.97 per BOE for the three months ended March 31, 2025, resulting primarily from the addition of leasehold costs and reserves from the Tumbleweed Acquisitions and the Morita Ranches Acquisition compared to $11.18 per BOE for the same period in 2024.</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following table shows the net gain (loss) on derivative instruments and the net cash receipts (payments)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derivatives for the periods presented: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28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19"/>
                <w:szCs w:val="19"/>
                <w:color w:val="auto"/>
              </w:rPr>
            </w:pPr>
          </w:p>
        </w:tc>
      </w:tr>
      <w:tr>
        <w:trPr>
          <w:trHeight w:val="236"/>
        </w:trPr>
        <w:tc>
          <w:tcPr>
            <w:tcW w:w="8100" w:type="dxa"/>
            <w:vAlign w:val="bottom"/>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20"/>
                <w:szCs w:val="20"/>
                <w:color w:val="auto"/>
              </w:rPr>
            </w:pPr>
          </w:p>
        </w:tc>
      </w:tr>
      <w:tr>
        <w:trPr>
          <w:trHeight w:val="233"/>
        </w:trPr>
        <w:tc>
          <w:tcPr>
            <w:tcW w:w="8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2"/>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20"/>
                <w:szCs w:val="20"/>
                <w:color w:val="auto"/>
              </w:rPr>
            </w:pPr>
          </w:p>
        </w:tc>
      </w:tr>
      <w:tr>
        <w:trPr>
          <w:trHeight w:val="26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Borders>
              <w:bottom w:val="single" w:sz="8" w:color="CCEEFF"/>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change to a gain on derivative instruments from a loss on derivative instruments for the three months ended March 31, 2025 compared to the same period in 2024 is primarily due to (i) an $18 million increase in the value of our open natural gas contracts primarily due to changes in the differential between prices for Waha Hub and Henry Hub on our basis swaps, (ii) a $12 million increase in cash receipts on settled natural gas basis swaps, (iii) a $7 million reduction in our deferred put premiums, (iv) a reduction of $3 million in the estimated fair value of our 2026 WTI Contingent Liability during the three months ended March 31, 2025, and (v) other insignificant changes.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of the notes to the condensed consolidated financial statements for additional discussion of our open contracts at March 31, 2025.</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(Benefit from) Income Taxes. </w:t>
      </w:r>
      <w:r>
        <w:rPr>
          <w:rFonts w:ascii="Times New Roman" w:cs="Times New Roman" w:eastAsia="Times New Roman" w:hAnsi="Times New Roman"/>
          <w:sz w:val="18"/>
          <w:szCs w:val="18"/>
          <w:color w:val="auto"/>
        </w:rPr>
        <w:t>The $8 million increase in income tax expense for the three months ended March 31, 2025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same period in 2024 primarily resulted from an increase in taxable income attributable to Viper Energy, Inc. See Note 9—</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auto"/>
        </w:rPr>
        <w:t xml:space="preserve"> of the notes to the condensed consolidated financial statements for further discussion of income tax expense.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Attributable to Non-controlling Interest. </w:t>
      </w:r>
      <w:r>
        <w:rPr>
          <w:rFonts w:ascii="Times New Roman" w:cs="Times New Roman" w:eastAsia="Times New Roman" w:hAnsi="Times New Roman"/>
          <w:sz w:val="18"/>
          <w:szCs w:val="18"/>
          <w:color w:val="auto"/>
        </w:rPr>
        <w:t>The $22 million increase in net income attributable to non-controlling interest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compared to the same period in 2024 is primarily due to (i) an increase in net income, and (ii) an increase in non-controlling interest in the Operating Company resulting from the issuance of OpCo Units to the Morita Ranches Equity Recipients in the first quarter of 2025 and to TWR IV in the fourth quarter of 2024. These increases in net income attributable to non-controlling interest were partially offset by a dilution of the non-controlling interest following the completion of the 2025 Equity Offering.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 of Sources and Uses of Cash</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pursue our business and financial strategy, we regularly consider which capital resources, including cash flow,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equity and debt offerings, borrowings under the Operating Company’s revolving credit facility and proceeds from sales of non-core assets. Our primary uses of cash have been dividends to our stockholders, Operating Company distributions to the holders of OpCo Units, repayments of debt, capital expenditures for the acquisition of our mineral and royalty interests in oil and natural gas properties, including the recently completed Morita Ranches Acquisition and the 2025 Drop Down, and repurchases of our Class A Common Stock. At March 31, 2025, we had approximately $1.9 billion of liquidity consisting of $560 million in cash and cash equivalents and $1.3 billion available under the Operating Company’s revolving credit facility. See further discussion of changes in our sources of cash in “—</w:t>
      </w:r>
      <w:r>
        <w:rPr>
          <w:rFonts w:ascii="Times New Roman" w:cs="Times New Roman" w:eastAsia="Times New Roman" w:hAnsi="Times New Roman"/>
          <w:sz w:val="18"/>
          <w:szCs w:val="18"/>
          <w:i w:val="1"/>
          <w:iCs w:val="1"/>
          <w:u w:val="single" w:color="auto"/>
          <w:color w:val="0000FF"/>
        </w:rPr>
        <w:t>Capital Resource</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auto"/>
        </w:rPr>
        <w:t>” below.</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working capital requirements are supported by our cash and cash equivalents and the Operating Company’s revolving credit facility. We may draw on the Operating Company’s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future acquisitions of mineral and royalty interests, dividends, debt service obligations, repayment of debt maturities, repurchases of our Class A Common Stock or any of our Notes, and any amounts that may ultimately be paid in connection with contingencies.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order to mitigate volatility in oil and natural gas prices, we have entered into commodity derivative contracts as discussed further in </w:t>
      </w:r>
      <w:r>
        <w:rPr>
          <w:rFonts w:ascii="Times New Roman" w:cs="Times New Roman" w:eastAsia="Times New Roman" w:hAnsi="Times New Roman"/>
          <w:sz w:val="18"/>
          <w:szCs w:val="18"/>
          <w:u w:val="single" w:color="auto"/>
          <w:color w:val="0000FF"/>
        </w:rPr>
        <w:t>Part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3. Quantitative and Qualitative Disclosures About Market Risk—Commodity Price Risk</w:t>
      </w:r>
      <w:r>
        <w:rPr>
          <w:rFonts w:ascii="Times New Roman" w:cs="Times New Roman" w:eastAsia="Times New Roman" w:hAnsi="Times New Roman"/>
          <w:sz w:val="18"/>
          <w:szCs w:val="18"/>
          <w:color w:val="000000"/>
        </w:rPr>
        <w:t>.</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Continued prolonged volatility in the capital, financial and/or credit markets due to changing or adverse macroeconomic conditions, including tariffs, higher interest rates, global supply chain disruptions and actions taken by OPEC members and other exporting nations, the war in Ukraine, the Israel-Hamas war and other conflicts in the Middle East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cash flows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8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9"/>
                <w:szCs w:val="19"/>
                <w:color w:val="auto"/>
              </w:rPr>
            </w:pPr>
          </w:p>
        </w:tc>
      </w:tr>
      <w:tr>
        <w:trPr>
          <w:trHeight w:val="237"/>
        </w:trPr>
        <w:tc>
          <w:tcPr>
            <w:tcW w:w="8080" w:type="dxa"/>
            <w:vAlign w:val="bottom"/>
          </w:tcPr>
          <w:p>
            <w:pPr>
              <w:spacing w:after="0"/>
              <w:rPr>
                <w:sz w:val="20"/>
                <w:szCs w:val="20"/>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0"/>
                <w:szCs w:val="20"/>
                <w:color w:val="auto"/>
              </w:rPr>
            </w:pPr>
          </w:p>
        </w:tc>
      </w:tr>
      <w:tr>
        <w:trPr>
          <w:trHeight w:val="233"/>
        </w:trPr>
        <w:tc>
          <w:tcPr>
            <w:tcW w:w="8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20"/>
                <w:szCs w:val="20"/>
                <w:color w:val="auto"/>
              </w:rPr>
            </w:pPr>
          </w:p>
        </w:tc>
      </w:tr>
      <w:tr>
        <w:trPr>
          <w:trHeight w:val="25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20" w:type="dxa"/>
            <w:vAlign w:val="bottom"/>
          </w:tcPr>
          <w:p>
            <w:pPr>
              <w:spacing w:after="0"/>
              <w:rPr>
                <w:sz w:val="21"/>
                <w:szCs w:val="21"/>
                <w:color w:val="auto"/>
              </w:rPr>
            </w:pPr>
          </w:p>
        </w:tc>
        <w:tc>
          <w:tcPr>
            <w:tcW w:w="5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8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2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are the volatility of prices for oil and natural gas and the volumes of oil and natural gas sold by our producers. The increase in net cash provided by operating activities during the three months ended March 31, 2025 compared to the same period in 2024 was primarily driven by an increase in royalty income and other changes in our working capital accounts including the timing of when accounts receivable are collected.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Results of Operations</w:t>
      </w:r>
      <w:r>
        <w:rPr>
          <w:rFonts w:ascii="Times New Roman" w:cs="Times New Roman" w:eastAsia="Times New Roman" w:hAnsi="Times New Roman"/>
          <w:sz w:val="18"/>
          <w:szCs w:val="18"/>
          <w:color w:val="auto"/>
        </w:rPr>
        <w:t>” for discussion of significant changes in our revenues and expenses.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was primarily related to acquisitions of oil and natural gas interests from the Morita Ranches Acquisition and other third parties, and includes a $223 million escrow deposit made for the 2025 Drop Down.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2024 was primarily related to acquisitions of oil and natural gas interests from third parties.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was primarily attributable to proceeds of $1.2 billion from the 2025 Equity Offering, offset by net repayments of $261 million on the Operating Company’s revolving credit facility and $153 million of dividends paid to holders of our Class A Common Stock.</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2024, primarily reflects the payment of dividends to holders of our Class A Common Stock totaling $111 million. These cash outflows were partially offset by net borrowings of $10 million under the Operating Company’s revolving credit facility.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Operating Company’s Revolving Credit Facility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2025, the Operating Company’s credit facility, which matures on September 22, 2028, had an elected commitment amount of $1.3 billion, with no outstanding borrowings and $1.3 billion of availability. See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of the notes to the condensed consolidated financial statements included elsewhere in this report for additional discussion of our outstanding debt at March 31, 2025.</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 2025, we completed the 2025 Drop Down as discussed in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of the notes to the condensed consolidated financial statements. Approximately $255 million of the cash consideration for this transaction was funded through borrowings under the Operating Company’s credit facility, reducing the amount that remained available for future borrowings under this facility to $995 million as of May 1, 2025. Following the close of the 2025 Drop Down, our long-term issuer default rating was upgraded to BBB- by Fitch.</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2025 Equity Offering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completed an underwritten public offering of 28,336,000 shares of Class A Common Stock, at a price to the public of $44.50 per share for total net proceeds of approximately $1.2 billion, after the underwriters’ discount and transaction costs. For additional discussion of the 2025 Equity Offering, 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of the notes to the condensed consolidated financial statements included elsewhere in this report.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 of Securities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current common stock repurchase program, the board of directors has authorized us to acquire up to $750 million of our Class A Common Stock, excluding excise tax. As of March 31, 2025, $434 million remains available for use to repurchase shares under this repurchase program.</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Retirement of Notes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through May 2, 2025, we opportunistically repurchased principal amounts of $36 million of our 5.375% Senior Notes due 2027 in open market transactions for total cash consideration of $36 million, at an average of 99.7% of par value. We may continue from time to time to opportunistically repurchase some of the outstanding Notes in open market purchases or in privately negotiated transactions.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Operating Company will pay a cash distribution for the first quarter of 2025 in accordance with its distribution policy of $0.70 per OpCo Unit on May 22, 2025 to eligible holders of record at the close of business on May 15,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 cash dividend for the first quarter of 2025 in accordance with our dividend policy of $0.57 per share of Class A Common Stock on May 22, 2025 to eligible holders of record at the close of business on May 15, 2025. The dividend to stockholders consists of a base quarterly dividend of $0.30 per share of Class A Common Stock and a variable quarterly dividend of $0.27 per share of Class A Common Stock. Future base and variable dividends are at the discretion of the board of directors.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of the notes to the condensed consolidated financial statements for further discussion of the repurchase program and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changes to our critical accounting estimates from those disclosed in our </w:t>
      </w:r>
      <w:hyperlink r:id="rId47">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2—</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auto"/>
        </w:rPr>
        <w:t xml:space="preserve"> included in the notes to the condensed consolidated financial statements for recent accounting pronouncements not yet adopted, if any.</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as discussed in </w:t>
      </w:r>
      <w:r>
        <w:rPr>
          <w:rFonts w:ascii="Times New Roman" w:cs="Times New Roman" w:eastAsia="Times New Roman" w:hAnsi="Times New Roman"/>
          <w:sz w:val="18"/>
          <w:szCs w:val="18"/>
          <w:u w:val="single" w:color="auto"/>
          <w:color w:val="0000FF"/>
        </w:rPr>
        <w:t>Item 2. Liquidity and Capital Resources—Overview of Sources and Uses of Cash</w:t>
      </w:r>
      <w:r>
        <w:rPr>
          <w:rFonts w:ascii="Times New Roman" w:cs="Times New Roman" w:eastAsia="Times New Roman" w:hAnsi="Times New Roman"/>
          <w:sz w:val="18"/>
          <w:szCs w:val="18"/>
          <w:color w:val="auto"/>
        </w:rPr>
        <w:t>. We cannot predict events that may lead to future price volatility and the near term energy outlook remains subject to heightened levels of uncertainty.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historically have used fixed price swap contracts, fixed price basis swap contracts and costless collars with corresponding put and call options to reduce price volatility associated with certain of our royalty income as discussed in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of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March 31, 2025, we had a net asset derivative position related to our commodity price derivatives of $36 million. Utilizing actual derivative contractual volumes under our contracts as of March 31, 2025, a 10% increase in forward curves associated with the underlying commodity would have increased the net asset position by $3 million to approximately $39 million, while a 10% decrease in forward curves associated with the underlying commodity would have decreased the net asset derivative position by $3 million to approximately $33 million. However, any cash derivative gain or loss may be substantially offset by a decrease or increase, respectively, in the actual sales value of production covered by the derivative instrument.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our purchaser credit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the Operating Company’s revolving credit facility. The terms of the credit facility provide for interest on borrowings at a floating rate equal to (i) term SOFR plus 0.10% (“Adjusted Term SOFR”), or</w:t>
      </w:r>
    </w:p>
    <w:p>
      <w:pPr>
        <w:jc w:val="both"/>
        <w:ind w:firstLine="8"/>
        <w:spacing w:after="0" w:line="252" w:lineRule="auto"/>
        <w:tabs>
          <w:tab w:leader="none" w:pos="2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March 31, 2025, we had no outstanding borrowings. During the three months ended March 31, 2025, the weighted average interest rate on the Operating Company’s revolving credit facility was 6.57%.</w:t>
      </w:r>
    </w:p>
    <w:p>
      <w:pPr>
        <w:spacing w:after="0" w:line="21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Under the direction of our Chief Executive Officer and Chief Financial Officer,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an evaluation was performed under the supervision and with the participation of management, including the Chief Executive Officer and Chief Financial Officer, of the effectiveness of the design and operation of our disclosure controls and procedures pursuant to Rule 13a-15(b) under our Exchange Act. Based upon our evaluation, our Chief Executive Officer and Chief Financial Officer have concluded that as of March 31, 2025, our disclosure controls and procedures are effective.</w:t>
      </w:r>
    </w:p>
    <w:p>
      <w:pPr>
        <w:spacing w:after="0" w:line="20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our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March 31, 2025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Times New Roman" w:cs="Times New Roman" w:eastAsia="Times New Roman" w:hAnsi="Times New Roman"/>
          <w:sz w:val="18"/>
          <w:szCs w:val="18"/>
          <w:u w:val="single" w:color="auto"/>
          <w:color w:val="0000FF"/>
        </w:rPr>
        <w:t>Commitments and Contingencies</w:t>
      </w:r>
      <w:r>
        <w:rPr>
          <w:rFonts w:ascii="Times New Roman" w:cs="Times New Roman" w:eastAsia="Times New Roman" w:hAnsi="Times New Roman"/>
          <w:sz w:val="18"/>
          <w:szCs w:val="18"/>
          <w:color w:val="auto"/>
        </w:rPr>
        <w:t xml:space="preserve"> of the notes to the condensed consolidated financial statements.</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 As of the date of this filing, we continue to be subject to the risk factors previously disclosed in </w:t>
      </w:r>
      <w:hyperlink r:id="rId19">
        <w:r>
          <w:rPr>
            <w:rFonts w:ascii="Times New Roman" w:cs="Times New Roman" w:eastAsia="Times New Roman" w:hAnsi="Times New Roman"/>
            <w:sz w:val="18"/>
            <w:szCs w:val="18"/>
            <w:u w:val="single" w:color="auto"/>
            <w:color w:val="0000FF"/>
          </w:rPr>
          <w:t>Part I, Item 1A. Risk Factors in our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with the SEC on February 26, 2025, and in subsequent filings we make with the SEC. Except as discussed below, there have been no material changes in our risk factors from those described in our </w:t>
      </w:r>
      <w:hyperlink r:id="rId47">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For a discussion of the recent trends and uncertainties impacting our business, see “</w:t>
      </w:r>
      <w:r>
        <w:rPr>
          <w:rFonts w:ascii="Times New Roman" w:cs="Times New Roman" w:eastAsia="Times New Roman" w:hAnsi="Times New Roman"/>
          <w:sz w:val="18"/>
          <w:szCs w:val="18"/>
          <w:u w:val="single" w:color="auto"/>
          <w:color w:val="0000FF"/>
        </w:rPr>
        <w:t>Management’s Discussion and Analysis of Financial Condition and Results of Operations—Recent Developments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trade policy and the impact of tariffs may have a material adverse effect on our business and results of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and results of operations may be adversely affected by uncertainty and changes in U.S. trade policies, including tariffs, trade agreements or other trade restrictions imposed by the U.S. or other governments. In recent months, the uncertainty over such policies has caused substantial volatility in commodity, capital and financial markets, increased concerns over domestic and global inflation and adversely impacted consumer confidence in the U.S. and worldwide.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Tariffs or other trade restrictions may lead to continuing uncertainty and volatility in U.S. and global financial and economic conditions and commodity markets, declining consumer confidence, significant inflation and diminished expectations for the economy, and ultimately reduced demand for oil and natural gas. Such conditions could have a material adverse impact on our business, results of operations and cash flows. Also, disruptions and volatility in the financial markets may lead to adverse changes in the availability, terms and cost of capital. Such adverse changes could increase our costs of capital and limit our access to external financing sources to fund acquisitions, repurchases of securities or other capital requirements, and reduce cash available for distribution.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tariffs and trade restrictions can be announced with little or no advance notice. The adoption and expansion of tariffs or other trade restrictions, increasing trade tensions, or other changes in governmental policies related to taxes and tariffs, are difficult to predict, which makes attendant risks difficult to anticipate and mitigate. If we are unable to navigate further changes in U.S. or international trade policy, it could have a material adverse impact on our business and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 repurchase activity for the three months ended March 31, 2025 was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Value of Shares that May</w:t>
            </w:r>
          </w:p>
        </w:tc>
      </w:tr>
      <w:tr>
        <w:trPr>
          <w:trHeight w:val="189"/>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2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900" w:type="dxa"/>
            <w:vAlign w:val="bottom"/>
            <w:gridSpan w:val="2"/>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Yet Be Purchased Under</w:t>
            </w:r>
          </w:p>
        </w:tc>
      </w:tr>
      <w:tr>
        <w:trPr>
          <w:trHeight w:val="245"/>
        </w:trPr>
        <w:tc>
          <w:tcPr>
            <w:tcW w:w="3900" w:type="dxa"/>
            <w:vAlign w:val="bottom"/>
            <w:gridSpan w:val="2"/>
          </w:tcPr>
          <w:p>
            <w:pPr>
              <w:ind w:left="16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340" w:type="dxa"/>
            <w:vAlign w:val="bottom"/>
          </w:tcPr>
          <w:p>
            <w:pPr>
              <w:spacing w:after="0"/>
              <w:rPr>
                <w:sz w:val="21"/>
                <w:szCs w:val="21"/>
                <w:color w:val="auto"/>
              </w:rPr>
            </w:pPr>
          </w:p>
        </w:tc>
        <w:tc>
          <w:tcPr>
            <w:tcW w:w="13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Per Share</w:t>
            </w:r>
            <w:r>
              <w:rPr>
                <w:rFonts w:ascii="Times New Roman" w:cs="Times New Roman" w:eastAsia="Times New Roman" w:hAnsi="Times New Roman"/>
                <w:sz w:val="21"/>
                <w:szCs w:val="21"/>
                <w:b w:val="1"/>
                <w:bCs w:val="1"/>
                <w:color w:val="auto"/>
                <w:vertAlign w:val="superscript"/>
              </w:rPr>
              <w:t>(3)</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w:t>
            </w:r>
          </w:p>
        </w:tc>
        <w:tc>
          <w:tcPr>
            <w:tcW w:w="260" w:type="dxa"/>
            <w:vAlign w:val="bottom"/>
          </w:tcPr>
          <w:p>
            <w:pPr>
              <w:spacing w:after="0"/>
              <w:rPr>
                <w:sz w:val="21"/>
                <w:szCs w:val="21"/>
                <w:color w:val="auto"/>
              </w:rPr>
            </w:pPr>
          </w:p>
        </w:tc>
        <w:tc>
          <w:tcPr>
            <w:tcW w:w="16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1"/>
              </w:rPr>
              <w:t>the Plan</w:t>
            </w:r>
            <w:r>
              <w:rPr>
                <w:rFonts w:ascii="Times New Roman" w:cs="Times New Roman" w:eastAsia="Times New Roman" w:hAnsi="Times New Roman"/>
                <w:sz w:val="21"/>
                <w:szCs w:val="21"/>
                <w:b w:val="1"/>
                <w:bCs w:val="1"/>
                <w:color w:val="auto"/>
                <w:w w:val="91"/>
                <w:vertAlign w:val="superscript"/>
              </w:rPr>
              <w:t>(2)(3)</w:t>
            </w:r>
          </w:p>
        </w:tc>
      </w:tr>
      <w:tr>
        <w:trPr>
          <w:trHeight w:val="227"/>
        </w:trPr>
        <w:tc>
          <w:tcPr>
            <w:tcW w:w="3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6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434,161</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434,161</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46.57</w:t>
            </w:r>
          </w:p>
        </w:tc>
        <w:tc>
          <w:tcPr>
            <w:tcW w:w="186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434,161</w:t>
            </w:r>
          </w:p>
        </w:tc>
      </w:tr>
      <w:tr>
        <w:trPr>
          <w:trHeight w:val="263"/>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46.57</w:t>
            </w:r>
          </w:p>
        </w:tc>
        <w:tc>
          <w:tcPr>
            <w:tcW w:w="1860" w:type="dxa"/>
            <w:vAlign w:val="bottom"/>
            <w:tcBorders>
              <w:top w:val="single" w:sz="8" w:color="auto"/>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line="261"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6,527 shares of Class A Common Stock repurchased from employees in order to satisfy tax withholding requirements. Such shares are cancelled and retired immediately upon repurchase.</w:t>
      </w:r>
    </w:p>
    <w:p>
      <w:pPr>
        <w:jc w:val="both"/>
        <w:ind w:left="340" w:hanging="332"/>
        <w:spacing w:after="0" w:line="250"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2022, the board of directors increased the authorization under our then-in-effect repurchase program from $250 million to $750 million. This repurchase program has no expiration date and remains subject to market conditions, applicable legal requirements, contractual obligations and other factors and may be suspended from time to time, modified, extended or discontinued by the board of directors at any time.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dollar amounts presented exclude excise taxes, as applicable.</w:t>
      </w: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or terminated a Rule 10b5-1 trading arrangement or a non-Rule 10b5-1 trading arrangement during our fiscal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10540" w:type="dxa"/>
            <w:vAlign w:val="bottom"/>
            <w:gridSpan w:val="24"/>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70"/>
        </w:trPr>
        <w:tc>
          <w:tcPr>
            <w:tcW w:w="7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21"/>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28"/>
        </w:trPr>
        <w:tc>
          <w:tcPr>
            <w:tcW w:w="7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96"/>
        </w:trPr>
        <w:tc>
          <w:tcPr>
            <w:tcW w:w="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Equity Purchase Agreement, dated as of January 30, 2025, by and among Endeavor Energy Resources, LP, as seller, 1979 Royalties LP and</w:t>
              </w:r>
            </w:hyperlink>
          </w:p>
        </w:tc>
      </w:tr>
      <w:tr>
        <w:trPr>
          <w:trHeight w:val="196"/>
        </w:trPr>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1979 Royalties GP, LLC, as companies, Viper Energy Partners LLC, as buyer, and Viper Energy, Inc., as parent (incorporated by reference to</w:t>
              </w:r>
            </w:hyperlink>
          </w:p>
        </w:tc>
      </w:tr>
      <w:tr>
        <w:trPr>
          <w:trHeight w:val="183"/>
        </w:trPr>
        <w:tc>
          <w:tcPr>
            <w:tcW w:w="7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80" w:type="dxa"/>
            <w:vAlign w:val="bottom"/>
            <w:tcBorders>
              <w:top w:val="single" w:sz="8" w:color="0000FF"/>
            </w:tcBorders>
            <w:gridSpan w:val="20"/>
            <w:shd w:val="clear" w:color="auto" w:fill="CCEEFF"/>
          </w:tcPr>
          <w:p>
            <w:pPr>
              <w:spacing w:after="0" w:line="18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Exhibit 2.1 of the Company’s Current Report on Form 8-K (File 001-36505) filed on January 30, 2025).</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7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9"/>
          </w:tcPr>
          <w:p>
            <w:pPr>
              <w:spacing w:after="0" w:line="202" w:lineRule="exact"/>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Certificate of Incorporation of Viper Energy, Inc. (incorporated by reference to Exhibit 99.3 to the Current Report on Form 8-K, filed by Viper</w:t>
              </w:r>
            </w:hyperlink>
          </w:p>
        </w:tc>
        <w:tc>
          <w:tcPr>
            <w:tcW w:w="4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Energy Partners LP with the SEC on November 2, 2023).</w:t>
              </w:r>
            </w:hyperlink>
          </w:p>
        </w:tc>
      </w:tr>
      <w:tr>
        <w:trPr>
          <w:trHeight w:val="34"/>
        </w:trPr>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FF"/>
            </w:tcBorders>
            <w:gridSpan w:val="16"/>
            <w:shd w:val="clear" w:color="auto" w:fill="CCEEFF"/>
          </w:tcPr>
          <w:p>
            <w:pPr>
              <w:spacing w:after="0" w:line="202" w:lineRule="exact"/>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Amended and Restated Bylaws of Viper Energy Inc. (incorporated by reference to Exhibit 3.1 to the Company’s Current Report on Form 8-K</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(File 001-36505), filed on December 9, 2024)</w:t>
              </w:r>
              <w:r>
                <w:rPr>
                  <w:rFonts w:ascii="Times New Roman" w:cs="Times New Roman" w:eastAsia="Times New Roman" w:hAnsi="Times New Roman"/>
                  <w:sz w:val="18"/>
                  <w:szCs w:val="18"/>
                  <w:u w:val="single" w:color="auto"/>
                  <w:color w:val="0000FF"/>
                </w:rPr>
                <w:t>.</w:t>
              </w:r>
            </w:hyperlink>
          </w:p>
        </w:tc>
      </w:tr>
      <w:tr>
        <w:trPr>
          <w:trHeight w:val="34"/>
        </w:trPr>
        <w:tc>
          <w:tcPr>
            <w:tcW w:w="7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1"/>
          </w:tcPr>
          <w:p>
            <w:pPr>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Third Amended and Restated Limited Liability Company Agreement of Viper Energy Partners LLC, dated as of October 1, 2024</w:t>
              </w:r>
            </w:hyperlink>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(including the updated Exhibit A as of May 1, 2025) (incorporated by reference to Exhibit 3.1 of the Company’s Current Report on Form</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 xml:space="preserve">8-K (File 001-36505), filed on May 5, </w:t>
              </w:r>
            </w:hyperlink>
            <w:r>
              <w:rPr>
                <w:rFonts w:ascii="Times New Roman" w:cs="Times New Roman" w:eastAsia="Times New Roman" w:hAnsi="Times New Roman"/>
                <w:sz w:val="18"/>
                <w:szCs w:val="18"/>
                <w:color w:val="0000FF"/>
              </w:rPr>
              <w:t>2025)</w:t>
            </w:r>
            <w:hyperlink r:id="rId66">
              <w:r>
                <w:rPr>
                  <w:rFonts w:ascii="Times New Roman" w:cs="Times New Roman" w:eastAsia="Times New Roman" w:hAnsi="Times New Roman"/>
                  <w:sz w:val="18"/>
                  <w:szCs w:val="18"/>
                  <w:color w:val="0000FF"/>
                </w:rPr>
                <w:t>.</w:t>
              </w:r>
            </w:hyperlink>
          </w:p>
        </w:tc>
        <w:tc>
          <w:tcPr>
            <w:tcW w:w="120" w:type="dxa"/>
            <w:vAlign w:val="bottom"/>
            <w:gridSpan w:val="6"/>
          </w:tcPr>
          <w:p>
            <w:pPr>
              <w:spacing w:after="0"/>
              <w:rPr>
                <w:sz w:val="17"/>
                <w:szCs w:val="17"/>
                <w:color w:val="auto"/>
              </w:rPr>
            </w:pPr>
          </w:p>
        </w:tc>
      </w:tr>
      <w:tr>
        <w:trPr>
          <w:trHeight w:val="48"/>
        </w:trPr>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0000FF"/>
            </w:tcBorders>
            <w:gridSpan w:val="19"/>
            <w:shd w:val="clear" w:color="auto" w:fill="CCEEFF"/>
          </w:tcPr>
          <w:p>
            <w:pPr>
              <w:spacing w:after="0" w:line="202"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Second Amended and Restated Registration Rights Agreement, dated as of November 10, 2023, effective as of November 13, 2023, by and</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between Viper Energy Partners LP and Diamondback Energy, Inc. (incorporated by reference to Exhibit 10.3 of the Company’s Current</w:t>
              </w:r>
            </w:hyperlink>
          </w:p>
        </w:tc>
      </w:tr>
      <w:tr>
        <w:trPr>
          <w:trHeight w:val="183"/>
        </w:trPr>
        <w:tc>
          <w:tcPr>
            <w:tcW w:w="7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60" w:type="dxa"/>
            <w:vAlign w:val="bottom"/>
            <w:tcBorders>
              <w:top w:val="single" w:sz="8" w:color="0000FF"/>
            </w:tcBorders>
            <w:gridSpan w:val="19"/>
            <w:shd w:val="clear" w:color="auto" w:fill="CCEEFF"/>
          </w:tcPr>
          <w:p>
            <w:pPr>
              <w:spacing w:after="0" w:line="18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Report on Form 8-K (File 001-36505) filed on November 13, 2023).</w:t>
              </w:r>
            </w:hyperlink>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7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Registration Rights Agreement, dated as of October 1, 2024, by and between Viper Energy, Inc. and Tumbleweed Royalty IV, LLC,</w:t>
              </w:r>
            </w:hyperlink>
          </w:p>
        </w:tc>
        <w:tc>
          <w:tcPr>
            <w:tcW w:w="8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(incorporated by reference to Exhibit 4.3 of the Company’s Current Report on Form 8-K (File 001-36505) filed on October 2, 2024).</w:t>
              </w:r>
            </w:hyperlink>
          </w:p>
        </w:tc>
      </w:tr>
      <w:tr>
        <w:trPr>
          <w:trHeight w:val="34"/>
        </w:trPr>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Registration Rights Agreement, dated as of February 14, 2025, by and among Viper Energy, Inc. and certain affiliates of Morita Ranches</w:t>
              </w:r>
            </w:hyperlink>
          </w:p>
        </w:tc>
      </w:tr>
      <w:tr>
        <w:trPr>
          <w:trHeight w:val="196"/>
        </w:trPr>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Minerals, LLC (incorporated by reference to Exhibit 4.4 of the Company’s Annual Report on Form 10-K (File 001-36505) filed on February</w:t>
              </w:r>
            </w:hyperlink>
          </w:p>
        </w:tc>
      </w:tr>
      <w:tr>
        <w:trPr>
          <w:trHeight w:val="235"/>
        </w:trPr>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720" w:type="dxa"/>
            <w:vAlign w:val="bottom"/>
            <w:tcBorders>
              <w:top w:val="single" w:sz="8" w:color="0000FF"/>
              <w:bottom w:val="single" w:sz="8" w:color="0000FF"/>
            </w:tcBorders>
            <w:shd w:val="clear" w:color="auto" w:fill="CCEEFF"/>
          </w:tcPr>
          <w:p>
            <w:pPr>
              <w:spacing w:after="0" w:line="182" w:lineRule="exact"/>
              <w:rPr>
                <w:rFonts w:ascii="Times New Roman" w:cs="Times New Roman" w:eastAsia="Times New Roman" w:hAnsi="Times New Roman"/>
                <w:sz w:val="18"/>
                <w:szCs w:val="18"/>
                <w:color w:val="0000FF"/>
                <w:w w:val="95"/>
              </w:rPr>
            </w:pPr>
            <w:hyperlink r:id="rId69">
              <w:r>
                <w:rPr>
                  <w:rFonts w:ascii="Times New Roman" w:cs="Times New Roman" w:eastAsia="Times New Roman" w:hAnsi="Times New Roman"/>
                  <w:sz w:val="18"/>
                  <w:szCs w:val="18"/>
                  <w:color w:val="0000FF"/>
                  <w:w w:val="95"/>
                </w:rPr>
                <w:t>26, 2025).</w:t>
              </w:r>
            </w:hyperlink>
          </w:p>
        </w:tc>
        <w:tc>
          <w:tcPr>
            <w:tcW w:w="74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16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420" w:type="dxa"/>
            <w:vAlign w:val="bottom"/>
            <w:tcBorders>
              <w:top w:val="single" w:sz="8" w:color="0000FF"/>
              <w:bottom w:val="single" w:sz="8" w:color="CCEEFF"/>
            </w:tcBorders>
            <w:shd w:val="clear" w:color="auto" w:fill="CCEEFF"/>
          </w:tcPr>
          <w:p>
            <w:pPr>
              <w:spacing w:after="0"/>
              <w:rPr>
                <w:sz w:val="20"/>
                <w:szCs w:val="20"/>
                <w:color w:val="auto"/>
              </w:rPr>
            </w:pPr>
          </w:p>
        </w:tc>
        <w:tc>
          <w:tcPr>
            <w:tcW w:w="340" w:type="dxa"/>
            <w:vAlign w:val="bottom"/>
            <w:tcBorders>
              <w:top w:val="single" w:sz="8" w:color="0000FF"/>
              <w:bottom w:val="single" w:sz="8" w:color="CCEEFF"/>
            </w:tcBorders>
            <w:shd w:val="clear" w:color="auto" w:fill="CCEEFF"/>
          </w:tcPr>
          <w:p>
            <w:pPr>
              <w:spacing w:after="0"/>
              <w:rPr>
                <w:sz w:val="20"/>
                <w:szCs w:val="20"/>
                <w:color w:val="auto"/>
              </w:rPr>
            </w:pPr>
          </w:p>
        </w:tc>
        <w:tc>
          <w:tcPr>
            <w:tcW w:w="780" w:type="dxa"/>
            <w:vAlign w:val="bottom"/>
            <w:tcBorders>
              <w:top w:val="single" w:sz="8" w:color="0000FF"/>
              <w:bottom w:val="single" w:sz="8" w:color="CCEEFF"/>
            </w:tcBorders>
            <w:shd w:val="clear" w:color="auto" w:fill="CCEEFF"/>
          </w:tcPr>
          <w:p>
            <w:pPr>
              <w:spacing w:after="0"/>
              <w:rPr>
                <w:sz w:val="20"/>
                <w:szCs w:val="20"/>
                <w:color w:val="auto"/>
              </w:rPr>
            </w:pPr>
          </w:p>
        </w:tc>
        <w:tc>
          <w:tcPr>
            <w:tcW w:w="1160" w:type="dxa"/>
            <w:vAlign w:val="bottom"/>
            <w:tcBorders>
              <w:top w:val="single" w:sz="8" w:color="0000FF"/>
              <w:bottom w:val="single" w:sz="8" w:color="CCEEFF"/>
            </w:tcBorders>
            <w:shd w:val="clear" w:color="auto" w:fill="CCEEFF"/>
          </w:tcPr>
          <w:p>
            <w:pPr>
              <w:spacing w:after="0"/>
              <w:rPr>
                <w:sz w:val="20"/>
                <w:szCs w:val="20"/>
                <w:color w:val="auto"/>
              </w:rPr>
            </w:pPr>
          </w:p>
        </w:tc>
        <w:tc>
          <w:tcPr>
            <w:tcW w:w="760" w:type="dxa"/>
            <w:vAlign w:val="bottom"/>
            <w:tcBorders>
              <w:top w:val="single" w:sz="8" w:color="0000FF"/>
              <w:bottom w:val="single" w:sz="8" w:color="CCEEFF"/>
            </w:tcBorders>
            <w:shd w:val="clear" w:color="auto" w:fill="CCEEFF"/>
          </w:tcPr>
          <w:p>
            <w:pPr>
              <w:spacing w:after="0"/>
              <w:rPr>
                <w:sz w:val="20"/>
                <w:szCs w:val="20"/>
                <w:color w:val="auto"/>
              </w:rPr>
            </w:pPr>
          </w:p>
        </w:tc>
        <w:tc>
          <w:tcPr>
            <w:tcW w:w="580" w:type="dxa"/>
            <w:vAlign w:val="bottom"/>
            <w:tcBorders>
              <w:top w:val="single" w:sz="8" w:color="0000FF"/>
              <w:bottom w:val="single" w:sz="8" w:color="CCEEFF"/>
            </w:tcBorders>
            <w:shd w:val="clear" w:color="auto" w:fill="CCEEFF"/>
          </w:tcPr>
          <w:p>
            <w:pPr>
              <w:spacing w:after="0"/>
              <w:rPr>
                <w:sz w:val="20"/>
                <w:szCs w:val="20"/>
                <w:color w:val="auto"/>
              </w:rPr>
            </w:pPr>
          </w:p>
        </w:tc>
        <w:tc>
          <w:tcPr>
            <w:tcW w:w="2020" w:type="dxa"/>
            <w:vAlign w:val="bottom"/>
            <w:tcBorders>
              <w:top w:val="single" w:sz="8" w:color="0000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2"/>
        </w:trPr>
        <w:tc>
          <w:tcPr>
            <w:tcW w:w="78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100" w:type="dxa"/>
            <w:vAlign w:val="bottom"/>
            <w:tcBorders>
              <w:top w:val="single" w:sz="8" w:color="CCEEFF"/>
              <w:bottom w:val="single" w:sz="8" w:color="0000FF"/>
            </w:tcBorders>
            <w:gridSpan w:val="21"/>
          </w:tcPr>
          <w:p>
            <w:pPr>
              <w:spacing w:after="0" w:line="202" w:lineRule="exact"/>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Class B Common Stock Option Agreement, dated as of October 1, 2024, by and between Viper Energy, Inc., Viper Energy Partners LLC and</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Tumbleweed Royalty IV, LLC (incorporated by reference to Exhibit 4.1 of the Company’s Current Report on Form 8-K (File 001-36505) filed</w:t>
              </w:r>
            </w:hyperlink>
          </w:p>
        </w:tc>
      </w:tr>
      <w:tr>
        <w:trPr>
          <w:trHeight w:val="183"/>
        </w:trPr>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on October 2, 2024).</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FF"/>
            </w:tcBorders>
            <w:gridSpan w:val="16"/>
            <w:shd w:val="clear" w:color="auto" w:fill="CCEEFF"/>
          </w:tcPr>
          <w:p>
            <w:pPr>
              <w:spacing w:after="0" w:line="202" w:lineRule="exact"/>
              <w:rPr>
                <w:rFonts w:ascii="Times New Roman" w:cs="Times New Roman" w:eastAsia="Times New Roman" w:hAnsi="Times New Roman"/>
                <w:sz w:val="18"/>
                <w:szCs w:val="18"/>
                <w:color w:val="0000FF"/>
                <w:w w:val="98"/>
              </w:rPr>
            </w:pPr>
            <w:hyperlink r:id="rId71">
              <w:r>
                <w:rPr>
                  <w:rFonts w:ascii="Times New Roman" w:cs="Times New Roman" w:eastAsia="Times New Roman" w:hAnsi="Times New Roman"/>
                  <w:sz w:val="18"/>
                  <w:szCs w:val="18"/>
                  <w:color w:val="0000FF"/>
                  <w:w w:val="98"/>
                </w:rPr>
                <w:t>Second Amended and Restated Exchange Agreement, dated October 1, 2024, by and among Viper Energy, Inc., Viper Energy Partners LLC,</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Diamondback E&amp;P LLC, Diamondback Energy, Inc. and Tumbleweed Royalty IV, LLC (incorporated by reference to Exhibit 4.2 of the</w:t>
              </w:r>
            </w:hyperlink>
          </w:p>
        </w:tc>
      </w:tr>
      <w:tr>
        <w:trPr>
          <w:trHeight w:val="183"/>
        </w:trPr>
        <w:tc>
          <w:tcPr>
            <w:tcW w:w="7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0000FF"/>
            </w:tcBorders>
            <w:gridSpan w:val="18"/>
            <w:shd w:val="clear" w:color="auto" w:fill="CCEEFF"/>
          </w:tcPr>
          <w:p>
            <w:pPr>
              <w:spacing w:after="0" w:line="18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Company’s Current Report on Form 8-K (File 001-36505) filed on October 2, 2024).</w:t>
              </w:r>
            </w:hyperlink>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48"/>
        </w:trPr>
        <w:tc>
          <w:tcPr>
            <w:tcW w:w="7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16"/>
          </w:tcPr>
          <w:p>
            <w:pPr>
              <w:spacing w:after="0" w:line="202" w:lineRule="exact"/>
              <w:rPr>
                <w:rFonts w:ascii="Times New Roman" w:cs="Times New Roman" w:eastAsia="Times New Roman" w:hAnsi="Times New Roman"/>
                <w:sz w:val="18"/>
                <w:szCs w:val="18"/>
                <w:color w:val="0000FF"/>
                <w:w w:val="97"/>
              </w:rPr>
            </w:pPr>
            <w:hyperlink r:id="rId72">
              <w:r>
                <w:rPr>
                  <w:rFonts w:ascii="Times New Roman" w:cs="Times New Roman" w:eastAsia="Times New Roman" w:hAnsi="Times New Roman"/>
                  <w:sz w:val="18"/>
                  <w:szCs w:val="18"/>
                  <w:color w:val="0000FF"/>
                  <w:w w:val="97"/>
                </w:rPr>
                <w:t>Exchange Agreement, dated as of February 14, 2025, by and among the Company, Viper Energy Partners LLC and certain affiliates of Morita</w:t>
              </w:r>
            </w:hyperlink>
          </w:p>
        </w:tc>
        <w:tc>
          <w:tcPr>
            <w:tcW w:w="10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FF"/>
                <w:w w:val="98"/>
              </w:rPr>
            </w:pPr>
            <w:hyperlink r:id="rId72">
              <w:r>
                <w:rPr>
                  <w:rFonts w:ascii="Times New Roman" w:cs="Times New Roman" w:eastAsia="Times New Roman" w:hAnsi="Times New Roman"/>
                  <w:sz w:val="18"/>
                  <w:szCs w:val="18"/>
                  <w:color w:val="0000FF"/>
                  <w:w w:val="98"/>
                </w:rPr>
                <w:t>Ranches Minerals, LLC (incorporated by reference to Exhibit 4.5 of the Company’s Annual Report on Form 10-K (File No. 001-36505) filed</w:t>
              </w:r>
            </w:hyperlink>
          </w:p>
        </w:tc>
      </w:tr>
      <w:tr>
        <w:trPr>
          <w:trHeight w:val="183"/>
        </w:trPr>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on February 26, 2025).</w:t>
              </w:r>
            </w:hyperlink>
          </w:p>
        </w:tc>
        <w:tc>
          <w:tcPr>
            <w:tcW w:w="100" w:type="dxa"/>
            <w:vAlign w:val="bottom"/>
            <w:gridSpan w:val="5"/>
          </w:tcPr>
          <w:p>
            <w:pPr>
              <w:spacing w:after="0"/>
              <w:rPr>
                <w:sz w:val="15"/>
                <w:szCs w:val="15"/>
                <w:color w:val="auto"/>
              </w:rPr>
            </w:pPr>
          </w:p>
        </w:tc>
      </w:tr>
      <w:tr>
        <w:trPr>
          <w:trHeight w:val="48"/>
        </w:trPr>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List of Significant Subsidiaries of Viper Energy, Inc.</w:t>
            </w:r>
          </w:p>
        </w:tc>
      </w:tr>
      <w:tr>
        <w:trPr>
          <w:trHeight w:val="48"/>
        </w:trPr>
        <w:tc>
          <w:tcPr>
            <w:tcW w:w="7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promulgated under the Securities Exchange Act of 1934, as amended.</w:t>
            </w:r>
          </w:p>
        </w:tc>
      </w:tr>
      <w:tr>
        <w:trPr>
          <w:trHeight w:val="75"/>
        </w:trPr>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top w:val="single" w:sz="8" w:color="0000FF"/>
            </w:tcBorders>
          </w:tcPr>
          <w:p>
            <w:pPr>
              <w:spacing w:after="0"/>
              <w:rPr>
                <w:sz w:val="6"/>
                <w:szCs w:val="6"/>
                <w:color w:val="auto"/>
              </w:rPr>
            </w:pPr>
          </w:p>
        </w:tc>
        <w:tc>
          <w:tcPr>
            <w:tcW w:w="74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62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780" w:type="dxa"/>
            <w:vAlign w:val="bottom"/>
            <w:tcBorders>
              <w:top w:val="single" w:sz="8" w:color="0000FF"/>
            </w:tcBorders>
          </w:tcPr>
          <w:p>
            <w:pPr>
              <w:spacing w:after="0"/>
              <w:rPr>
                <w:sz w:val="6"/>
                <w:szCs w:val="6"/>
                <w:color w:val="auto"/>
              </w:rPr>
            </w:pPr>
          </w:p>
        </w:tc>
        <w:tc>
          <w:tcPr>
            <w:tcW w:w="116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80" w:type="dxa"/>
            <w:vAlign w:val="bottom"/>
            <w:tcBorders>
              <w:top w:val="single" w:sz="8" w:color="0000FF"/>
            </w:tcBorders>
          </w:tcPr>
          <w:p>
            <w:pPr>
              <w:spacing w:after="0"/>
              <w:rPr>
                <w:sz w:val="6"/>
                <w:szCs w:val="6"/>
                <w:color w:val="auto"/>
              </w:rPr>
            </w:pPr>
          </w:p>
        </w:tc>
        <w:tc>
          <w:tcPr>
            <w:tcW w:w="202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2"/>
        </w:trPr>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promulgated under the Securities Exchange Act of 1934, as amended.</w:t>
            </w:r>
          </w:p>
        </w:tc>
      </w:tr>
      <w:tr>
        <w:trPr>
          <w:trHeight w:val="75"/>
        </w:trPr>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0000FF"/>
            </w:tcBorders>
            <w:shd w:val="clear" w:color="auto" w:fill="CCEEFF"/>
          </w:tcPr>
          <w:p>
            <w:pPr>
              <w:spacing w:after="0"/>
              <w:rPr>
                <w:sz w:val="6"/>
                <w:szCs w:val="6"/>
                <w:color w:val="auto"/>
              </w:rPr>
            </w:pPr>
          </w:p>
        </w:tc>
        <w:tc>
          <w:tcPr>
            <w:tcW w:w="740" w:type="dxa"/>
            <w:vAlign w:val="bottom"/>
            <w:tcBorders>
              <w:top w:val="single" w:sz="8" w:color="0000FF"/>
            </w:tcBorders>
            <w:shd w:val="clear" w:color="auto" w:fill="CCEEFF"/>
          </w:tcPr>
          <w:p>
            <w:pPr>
              <w:spacing w:after="0"/>
              <w:rPr>
                <w:sz w:val="6"/>
                <w:szCs w:val="6"/>
                <w:color w:val="auto"/>
              </w:rPr>
            </w:pPr>
          </w:p>
        </w:tc>
        <w:tc>
          <w:tcPr>
            <w:tcW w:w="140" w:type="dxa"/>
            <w:vAlign w:val="bottom"/>
            <w:tcBorders>
              <w:top w:val="single" w:sz="8" w:color="0000FF"/>
            </w:tcBorders>
            <w:shd w:val="clear" w:color="auto" w:fill="CCEEFF"/>
          </w:tcPr>
          <w:p>
            <w:pPr>
              <w:spacing w:after="0"/>
              <w:rPr>
                <w:sz w:val="6"/>
                <w:szCs w:val="6"/>
                <w:color w:val="auto"/>
              </w:rPr>
            </w:pPr>
          </w:p>
        </w:tc>
        <w:tc>
          <w:tcPr>
            <w:tcW w:w="162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420" w:type="dxa"/>
            <w:vAlign w:val="bottom"/>
            <w:tcBorders>
              <w:top w:val="single" w:sz="8" w:color="0000FF"/>
            </w:tcBorders>
            <w:shd w:val="clear" w:color="auto" w:fill="CCEEFF"/>
          </w:tcPr>
          <w:p>
            <w:pPr>
              <w:spacing w:after="0"/>
              <w:rPr>
                <w:sz w:val="6"/>
                <w:szCs w:val="6"/>
                <w:color w:val="auto"/>
              </w:rPr>
            </w:pPr>
          </w:p>
        </w:tc>
        <w:tc>
          <w:tcPr>
            <w:tcW w:w="340" w:type="dxa"/>
            <w:vAlign w:val="bottom"/>
            <w:tcBorders>
              <w:top w:val="single" w:sz="8" w:color="0000FF"/>
            </w:tcBorders>
            <w:shd w:val="clear" w:color="auto" w:fill="CCEEFF"/>
          </w:tcPr>
          <w:p>
            <w:pPr>
              <w:spacing w:after="0"/>
              <w:rPr>
                <w:sz w:val="6"/>
                <w:szCs w:val="6"/>
                <w:color w:val="auto"/>
              </w:rPr>
            </w:pPr>
          </w:p>
        </w:tc>
        <w:tc>
          <w:tcPr>
            <w:tcW w:w="780" w:type="dxa"/>
            <w:vAlign w:val="bottom"/>
            <w:tcBorders>
              <w:top w:val="single" w:sz="8" w:color="0000FF"/>
            </w:tcBorders>
            <w:shd w:val="clear" w:color="auto" w:fill="CCEEFF"/>
          </w:tcPr>
          <w:p>
            <w:pPr>
              <w:spacing w:after="0"/>
              <w:rPr>
                <w:sz w:val="6"/>
                <w:szCs w:val="6"/>
                <w:color w:val="auto"/>
              </w:rPr>
            </w:pPr>
          </w:p>
        </w:tc>
        <w:tc>
          <w:tcPr>
            <w:tcW w:w="1160" w:type="dxa"/>
            <w:vAlign w:val="bottom"/>
            <w:tcBorders>
              <w:top w:val="single" w:sz="8" w:color="0000FF"/>
            </w:tcBorders>
            <w:shd w:val="clear" w:color="auto" w:fill="CCEEFF"/>
          </w:tcPr>
          <w:p>
            <w:pPr>
              <w:spacing w:after="0"/>
              <w:rPr>
                <w:sz w:val="6"/>
                <w:szCs w:val="6"/>
                <w:color w:val="auto"/>
              </w:rPr>
            </w:pPr>
          </w:p>
        </w:tc>
        <w:tc>
          <w:tcPr>
            <w:tcW w:w="760" w:type="dxa"/>
            <w:vAlign w:val="bottom"/>
            <w:tcBorders>
              <w:top w:val="single" w:sz="8" w:color="0000FF"/>
            </w:tcBorders>
            <w:shd w:val="clear" w:color="auto" w:fill="CCEEFF"/>
          </w:tcPr>
          <w:p>
            <w:pPr>
              <w:spacing w:after="0"/>
              <w:rPr>
                <w:sz w:val="6"/>
                <w:szCs w:val="6"/>
                <w:color w:val="auto"/>
              </w:rPr>
            </w:pPr>
          </w:p>
        </w:tc>
        <w:tc>
          <w:tcPr>
            <w:tcW w:w="580" w:type="dxa"/>
            <w:vAlign w:val="bottom"/>
            <w:tcBorders>
              <w:top w:val="single" w:sz="8" w:color="0000FF"/>
            </w:tcBorders>
            <w:shd w:val="clear" w:color="auto" w:fill="CCEEFF"/>
          </w:tcPr>
          <w:p>
            <w:pPr>
              <w:spacing w:after="0"/>
              <w:rPr>
                <w:sz w:val="6"/>
                <w:szCs w:val="6"/>
                <w:color w:val="auto"/>
              </w:rPr>
            </w:pPr>
          </w:p>
        </w:tc>
        <w:tc>
          <w:tcPr>
            <w:tcW w:w="2020" w:type="dxa"/>
            <w:vAlign w:val="bottom"/>
            <w:tcBorders>
              <w:top w:val="single" w:sz="8" w:color="0000FF"/>
            </w:tcBorders>
            <w:shd w:val="clear" w:color="auto" w:fill="CCEEFF"/>
          </w:tcPr>
          <w:p>
            <w:pPr>
              <w:spacing w:after="0"/>
              <w:rPr>
                <w:sz w:val="6"/>
                <w:szCs w:val="6"/>
                <w:color w:val="auto"/>
              </w:rPr>
            </w:pPr>
          </w:p>
        </w:tc>
        <w:tc>
          <w:tcPr>
            <w:tcW w:w="30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bottom w:val="single" w:sz="8" w:color="0000FF"/>
            </w:tcBorders>
            <w:gridSpan w:val="15"/>
          </w:tcPr>
          <w:p>
            <w:pPr>
              <w:spacing w:after="0" w:line="202" w:lineRule="exact"/>
              <w:rPr>
                <w:sz w:val="20"/>
                <w:szCs w:val="20"/>
                <w:color w:val="auto"/>
              </w:rPr>
            </w:pPr>
            <w:r>
              <w:rPr>
                <w:rFonts w:ascii="Times New Roman" w:cs="Times New Roman" w:eastAsia="Times New Roman" w:hAnsi="Times New Roman"/>
                <w:sz w:val="18"/>
                <w:szCs w:val="18"/>
                <w:color w:val="0000FF"/>
                <w:w w:val="98"/>
              </w:rPr>
              <w:t>Certification of Chief Executive Officer and Chief Financial Officer pursuant to Rule 13a-14(b) promulgated under the Securities Exchange</w:t>
            </w:r>
          </w:p>
        </w:tc>
        <w:tc>
          <w:tcPr>
            <w:tcW w:w="120" w:type="dxa"/>
            <w:vAlign w:val="bottom"/>
            <w:gridSpan w:val="6"/>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amended, and Section 1350 of Chapter 63 of Title 18 of the United States Code.</w:t>
            </w: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565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74" w:lineRule="exact"/>
        <w:rPr>
          <w:sz w:val="20"/>
          <w:szCs w:val="20"/>
          <w:color w:val="auto"/>
        </w:rPr>
      </w:pPr>
    </w:p>
    <w:p>
      <w:pPr>
        <w:jc w:val="both"/>
        <w:ind w:left="1220" w:right="60" w:hanging="1194"/>
        <w:spacing w:after="0" w:line="253"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March 31, 2025, formatted in Inline XBRL: (i) Condensed Consolidated Balance Sheets, (ii) Condensed Consolidated Statements of Operations, (iii) Condensed Consolidated Statement of Changes in Stockholders’ Equity, (iv) Condensed Consolidated Statements of Cash Flows, and (v) Notes to the Condensed Consolidated Financial Statements.</w:t>
      </w:r>
    </w:p>
    <w:p>
      <w:pPr>
        <w:spacing w:after="0" w:line="18"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500" w:right="20" w:hanging="474"/>
        <w:spacing w:after="0" w:line="270"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Schedules (or similar attachments) have been omitted pursuant to Item 601(a)(5) of Regulation S-K and will be provided to the Securities and Exchange Commission upon request.</w:t>
      </w:r>
    </w:p>
    <w:p>
      <w:pPr>
        <w:spacing w:after="0" w:line="11" w:lineRule="exact"/>
        <w:rPr>
          <w:sz w:val="20"/>
          <w:szCs w:val="20"/>
          <w:color w:val="auto"/>
        </w:rPr>
      </w:pPr>
    </w:p>
    <w:p>
      <w:pPr>
        <w:ind w:left="500" w:hanging="474"/>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Filed herewith.</w:t>
      </w:r>
    </w:p>
    <w:p>
      <w:pPr>
        <w:spacing w:after="0" w:line="50" w:lineRule="exact"/>
        <w:rPr>
          <w:sz w:val="20"/>
          <w:szCs w:val="20"/>
          <w:color w:val="auto"/>
        </w:rPr>
      </w:pPr>
    </w:p>
    <w:p>
      <w:pPr>
        <w:jc w:val="both"/>
        <w:ind w:left="500" w:right="20" w:hanging="474"/>
        <w:spacing w:after="0" w:line="265"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37" w:lineRule="exact"/>
        <w:rPr>
          <w:sz w:val="20"/>
          <w:szCs w:val="20"/>
          <w:color w:val="auto"/>
        </w:rPr>
      </w:pPr>
    </w:p>
    <w:p>
      <w:pPr>
        <w:ind w:left="526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VIPER ENERGY, INC.</w:t>
      </w:r>
    </w:p>
    <w:p>
      <w:pPr>
        <w:spacing w:after="0" w:line="320" w:lineRule="exact"/>
        <w:rPr>
          <w:sz w:val="20"/>
          <w:szCs w:val="20"/>
          <w:color w:val="auto"/>
        </w:rPr>
      </w:pPr>
    </w:p>
    <w:p>
      <w:pPr>
        <w:ind w:left="20"/>
        <w:spacing w:after="0"/>
        <w:tabs>
          <w:tab w:leader="none" w:pos="660" w:val="left"/>
          <w:tab w:leader="none" w:pos="5240" w:val="left"/>
          <w:tab w:leader="none" w:pos="5740" w:val="left"/>
        </w:tabs>
        <w:rPr>
          <w:sz w:val="20"/>
          <w:szCs w:val="20"/>
          <w:color w:val="auto"/>
        </w:rPr>
      </w:pPr>
      <w:r>
        <w:rPr>
          <w:rFonts w:ascii="Times New Roman" w:cs="Times New Roman" w:eastAsia="Times New Roman" w:hAnsi="Times New Roman"/>
          <w:sz w:val="18"/>
          <w:szCs w:val="18"/>
          <w:color w:val="auto"/>
        </w:rPr>
        <w:t>Date:</w:t>
        <w:tab/>
        <w:t>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34290</wp:posOffset>
            </wp:positionV>
            <wp:extent cx="3497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Kaes Van’t Hof</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0"/>
        <w:spacing w:after="0"/>
        <w:tabs>
          <w:tab w:leader="none" w:pos="660" w:val="left"/>
          <w:tab w:leader="none" w:pos="5240" w:val="left"/>
          <w:tab w:leader="none" w:pos="5740" w:val="left"/>
        </w:tabs>
        <w:rPr>
          <w:sz w:val="20"/>
          <w:szCs w:val="20"/>
          <w:color w:val="auto"/>
        </w:rPr>
      </w:pPr>
      <w:r>
        <w:rPr>
          <w:rFonts w:ascii="Times New Roman" w:cs="Times New Roman" w:eastAsia="Times New Roman" w:hAnsi="Times New Roman"/>
          <w:sz w:val="18"/>
          <w:szCs w:val="18"/>
          <w:color w:val="auto"/>
        </w:rPr>
        <w:t>Date:</w:t>
        <w:tab/>
        <w:t>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34290</wp:posOffset>
            </wp:positionV>
            <wp:extent cx="3497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Teresa L. Dick</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8140" w:type="dxa"/>
            <w:vAlign w:val="bottom"/>
            <w:gridSpan w:val="2"/>
          </w:tcPr>
          <w:p>
            <w:pPr>
              <w:ind w:left="722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216"/>
        </w:trPr>
        <w:tc>
          <w:tcPr>
            <w:tcW w:w="3100" w:type="dxa"/>
            <w:vAlign w:val="bottom"/>
          </w:tcPr>
          <w:p>
            <w:pPr>
              <w:spacing w:after="0"/>
              <w:rPr>
                <w:sz w:val="18"/>
                <w:szCs w:val="18"/>
                <w:color w:val="auto"/>
              </w:rPr>
            </w:pPr>
          </w:p>
        </w:tc>
        <w:tc>
          <w:tcPr>
            <w:tcW w:w="8140" w:type="dxa"/>
            <w:vAlign w:val="bottom"/>
            <w:gridSpan w:val="2"/>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Viper Energy, Inc.</w:t>
            </w:r>
          </w:p>
        </w:tc>
      </w:tr>
      <w:tr>
        <w:trPr>
          <w:trHeight w:val="238"/>
        </w:trPr>
        <w:tc>
          <w:tcPr>
            <w:tcW w:w="3100" w:type="dxa"/>
            <w:vAlign w:val="bottom"/>
          </w:tcPr>
          <w:p>
            <w:pPr>
              <w:spacing w:after="0"/>
              <w:rPr>
                <w:sz w:val="20"/>
                <w:szCs w:val="20"/>
                <w:color w:val="auto"/>
              </w:rPr>
            </w:pPr>
          </w:p>
        </w:tc>
        <w:tc>
          <w:tcPr>
            <w:tcW w:w="8140" w:type="dxa"/>
            <w:vAlign w:val="bottom"/>
            <w:gridSpan w:val="2"/>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Significant Subsidiaries of Registrant</w:t>
            </w:r>
          </w:p>
        </w:tc>
      </w:tr>
      <w:tr>
        <w:trPr>
          <w:trHeight w:val="121"/>
        </w:trPr>
        <w:tc>
          <w:tcPr>
            <w:tcW w:w="3100" w:type="dxa"/>
            <w:vAlign w:val="bottom"/>
          </w:tcPr>
          <w:p>
            <w:pPr>
              <w:spacing w:after="0"/>
              <w:rPr>
                <w:sz w:val="10"/>
                <w:szCs w:val="10"/>
                <w:color w:val="auto"/>
              </w:rPr>
            </w:pPr>
          </w:p>
        </w:tc>
        <w:tc>
          <w:tcPr>
            <w:tcW w:w="8140" w:type="dxa"/>
            <w:vAlign w:val="bottom"/>
            <w:gridSpan w:val="2"/>
          </w:tcPr>
          <w:p>
            <w:pPr>
              <w:spacing w:after="0"/>
              <w:rPr>
                <w:sz w:val="10"/>
                <w:szCs w:val="10"/>
                <w:color w:val="auto"/>
              </w:rPr>
            </w:pPr>
          </w:p>
        </w:tc>
      </w:tr>
      <w:tr>
        <w:trPr>
          <w:trHeight w:val="223"/>
        </w:trPr>
        <w:tc>
          <w:tcPr>
            <w:tcW w:w="3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8100" w:type="dxa"/>
            <w:vAlign w:val="bottom"/>
            <w:tcBorders>
              <w:top w:val="single" w:sz="8" w:color="auto"/>
              <w:bottom w:val="single" w:sz="8" w:color="auto"/>
            </w:tcBorders>
          </w:tcPr>
          <w:p>
            <w:pPr>
              <w:jc w:val="center"/>
              <w:ind w:left="537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c>
          <w:tcPr>
            <w:tcW w:w="40" w:type="dxa"/>
            <w:vAlign w:val="bottom"/>
          </w:tcPr>
          <w:p>
            <w:pPr>
              <w:spacing w:after="0"/>
              <w:rPr>
                <w:sz w:val="19"/>
                <w:szCs w:val="19"/>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Viper Energy Partners LLC</w:t>
            </w:r>
          </w:p>
        </w:tc>
        <w:tc>
          <w:tcPr>
            <w:tcW w:w="8100" w:type="dxa"/>
            <w:vAlign w:val="bottom"/>
            <w:shd w:val="clear" w:color="auto" w:fill="CCEEFF"/>
          </w:tcPr>
          <w:p>
            <w:pPr>
              <w:jc w:val="center"/>
              <w:ind w:left="5370"/>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19"/>
                <w:szCs w:val="19"/>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King Snake Royalty LLC</w:t>
            </w:r>
          </w:p>
        </w:tc>
        <w:tc>
          <w:tcPr>
            <w:tcW w:w="8100" w:type="dxa"/>
            <w:vAlign w:val="bottom"/>
          </w:tcPr>
          <w:p>
            <w:pPr>
              <w:jc w:val="center"/>
              <w:ind w:left="5350"/>
              <w:spacing w:after="0"/>
              <w:rPr>
                <w:sz w:val="20"/>
                <w:szCs w:val="20"/>
                <w:color w:val="auto"/>
              </w:rPr>
            </w:pPr>
            <w:r>
              <w:rPr>
                <w:rFonts w:ascii="Times New Roman" w:cs="Times New Roman" w:eastAsia="Times New Roman" w:hAnsi="Times New Roman"/>
                <w:sz w:val="18"/>
                <w:szCs w:val="18"/>
                <w:color w:val="auto"/>
                <w:w w:val="97"/>
              </w:rPr>
              <w:t>Texas</w:t>
            </w:r>
          </w:p>
        </w:tc>
        <w:tc>
          <w:tcPr>
            <w:tcW w:w="40" w:type="dxa"/>
            <w:vAlign w:val="bottom"/>
          </w:tcPr>
          <w:p>
            <w:pPr>
              <w:spacing w:after="0"/>
              <w:rPr>
                <w:sz w:val="19"/>
                <w:szCs w:val="19"/>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1979 Royalties, LP</w:t>
            </w:r>
          </w:p>
        </w:tc>
        <w:tc>
          <w:tcPr>
            <w:tcW w:w="8100" w:type="dxa"/>
            <w:vAlign w:val="bottom"/>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7"/>
              </w:rPr>
              <w:t>Texas</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Viper Energy, Inc. (the “registrant”).</w:t>
      </w:r>
    </w:p>
    <w:p>
      <w:pPr>
        <w:spacing w:after="0" w:line="90" w:lineRule="exact"/>
        <w:rPr>
          <w:rFonts w:ascii="Times New Roman" w:cs="Times New Roman" w:eastAsia="Times New Roman" w:hAnsi="Times New Roman"/>
          <w:sz w:val="18"/>
          <w:szCs w:val="18"/>
          <w:color w:val="auto"/>
        </w:rPr>
      </w:pPr>
    </w:p>
    <w:p>
      <w:pPr>
        <w:ind w:left="460" w:right="340" w:hanging="412"/>
        <w:spacing w:after="0" w:line="266" w:lineRule="auto"/>
        <w:tabs>
          <w:tab w:leader="none" w:pos="3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hanging="406"/>
        <w:spacing w:after="0" w:line="282" w:lineRule="auto"/>
        <w:tabs>
          <w:tab w:leader="none" w:pos="8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hanging="406"/>
        <w:spacing w:after="0" w:line="282" w:lineRule="auto"/>
        <w:tabs>
          <w:tab w:leader="none" w:pos="8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7, 2025</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18"/>
        </w:trPr>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Viper Energy, Inc. (the “registrant”).</w:t>
      </w:r>
    </w:p>
    <w:p>
      <w:pPr>
        <w:spacing w:after="0" w:line="90" w:lineRule="exact"/>
        <w:rPr>
          <w:rFonts w:ascii="Times New Roman" w:cs="Times New Roman" w:eastAsia="Times New Roman" w:hAnsi="Times New Roman"/>
          <w:sz w:val="18"/>
          <w:szCs w:val="18"/>
          <w:color w:val="auto"/>
        </w:rPr>
      </w:pPr>
    </w:p>
    <w:p>
      <w:pPr>
        <w:ind w:left="460" w:right="340" w:hanging="412"/>
        <w:spacing w:after="0" w:line="266" w:lineRule="auto"/>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hanging="406"/>
        <w:spacing w:after="0" w:line="282" w:lineRule="auto"/>
        <w:tabs>
          <w:tab w:leader="none" w:pos="8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hanging="406"/>
        <w:spacing w:after="0" w:line="282" w:lineRule="auto"/>
        <w:tabs>
          <w:tab w:leader="none" w:pos="8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7, 2025</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5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Viper Energy, Inc. (the “Company”), as filed with the Securities and Exchange Commission on the date hereof (the “Report”), the undersigned, Kaes Van’t Hof, Chief Executive Officer of Viper Energy, Inc., and Teresa L. Dick, Chief Financial Officer of Viper Energy, Inc., certify, pursuant to 18 U.S.C. Section 1350, as adopted pursuant to Section 906 of the Sarbanes-Oxley Act of 2002, that, to their knowledge:</w:t>
      </w:r>
    </w:p>
    <w:p>
      <w:pPr>
        <w:spacing w:after="0" w:line="126" w:lineRule="exact"/>
        <w:rPr>
          <w:sz w:val="20"/>
          <w:szCs w:val="20"/>
          <w:color w:val="auto"/>
        </w:rPr>
      </w:pPr>
    </w:p>
    <w:p>
      <w:pPr>
        <w:ind w:left="940" w:hanging="28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78o(d)); and</w:t>
      </w:r>
    </w:p>
    <w:p>
      <w:pPr>
        <w:spacing w:after="0" w:line="1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7, 2025</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18"/>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7, 2025</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lowerRoman"/>
      <w:start w:val="3"/>
    </w:lvl>
  </w:abstractNum>
  <w:abstractNum w:abstractNumId="8">
    <w:nsid w:val="431BD7B7"/>
    <w:multiLevelType w:val="hybridMultilevel"/>
    <w:lvl w:ilvl="0">
      <w:lvlJc w:val="left"/>
      <w:lvlText w:val="(%1)"/>
      <w:numFmt w:val="lowerRoman"/>
      <w:start w:val="2"/>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1)"/>
      <w:numFmt w:val="lowerRoman"/>
      <w:start w:val="2"/>
    </w:lvl>
  </w:abstractNum>
  <w:abstractNum w:abstractNumId="13">
    <w:nsid w:val="436C6125"/>
    <w:multiLevelType w:val="hybridMultilevel"/>
    <w:lvl w:ilvl="0">
      <w:lvlJc w:val="left"/>
      <w:lvlText w:val="%1."/>
      <w:numFmt w:val="decimal"/>
      <w:start w:val="13"/>
    </w:lvl>
  </w:abstractNum>
  <w:abstractNum w:abstractNumId="14">
    <w:nsid w:val="628C895D"/>
    <w:multiLevelType w:val="hybridMultilevel"/>
    <w:lvl w:ilvl="0">
      <w:lvlJc w:val="left"/>
      <w:lvlText w:val="(%1)"/>
      <w:numFmt w:val="lowerRoman"/>
      <w:start w:val="2"/>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Roman"/>
      <w:start w:val="2"/>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19" Type="http://schemas.openxmlformats.org/officeDocument/2006/relationships/hyperlink" Target="https://www.sec.gov/ix?doc=/Archives/edgar/data/1602065/000160206525000010/vnom-20241231.htm#ib14eb29379da49d391d7c1866e807b85_25" TargetMode="External"/><Relationship Id="rId26" Type="http://schemas.openxmlformats.org/officeDocument/2006/relationships/hyperlink" Target="https://www.sec.gov/ix?doc=/Archives/edgar/data/1602065/000160206525000010/vnom-20241231.htm" TargetMode="External"/><Relationship Id="rId36" Type="http://schemas.openxmlformats.org/officeDocument/2006/relationships/hyperlink" Target="https://www.sec.gov/ix?doc=/Archives/edgar/data/1602065/000160206525000010/vnom-20241231.htm#ib14eb29379da49d391d7c1866e807b85_136" TargetMode="External"/><Relationship Id="rId41" Type="http://schemas.openxmlformats.org/officeDocument/2006/relationships/hyperlink" Target="https://www.sec.gov/ix?doc=/Archives/edgar/data/1602065/000160206525000010/vnom-20241231.htm#ib14eb29379da49d391d7c1866e807b85_148" TargetMode="External"/><Relationship Id="rId47" Type="http://schemas.openxmlformats.org/officeDocument/2006/relationships/hyperlink" Target="https://www.sec.gov/ix?doc=/Archives/edgar/data/0001602065/000160206525000010/vnom-20241231.htm" TargetMode="External"/><Relationship Id="rId63" Type="http://schemas.openxmlformats.org/officeDocument/2006/relationships/hyperlink" Target="https://www.sec.gov/Archives/edgar/data/1602065/000160206525000003/viperex21-dropdownpsa.htm" TargetMode="External"/><Relationship Id="rId64" Type="http://schemas.openxmlformats.org/officeDocument/2006/relationships/hyperlink" Target="https://www.sec.gov/Archives/edgar/data/1602065/000160206523000080/viperex993-11x223.htm" TargetMode="External"/><Relationship Id="rId65" Type="http://schemas.openxmlformats.org/officeDocument/2006/relationships/hyperlink" Target="https://www.sec.gov/Archives/edgar/data/1602065/000160206524000088/viperex31-amendedandrestat.htm" TargetMode="External"/><Relationship Id="rId66" Type="http://schemas.openxmlformats.org/officeDocument/2006/relationships/hyperlink" Target="https://www.sec.gov/Archives/edgar/data/1602065/000160206525000027/exhibit31-viperenergyllcx3.htm" TargetMode="External"/><Relationship Id="rId67" Type="http://schemas.openxmlformats.org/officeDocument/2006/relationships/hyperlink" Target="https://www.sec.gov/Archives/edgar/data/1602065/000110465923116606/tm2330431d1_ex10-3.htm" TargetMode="External"/><Relationship Id="rId68" Type="http://schemas.openxmlformats.org/officeDocument/2006/relationships/hyperlink" Target="https://www.sec.gov/Archives/edgar/data/1602065/000160206524000076/exhibit43-viperxtwrivxregi.htm" TargetMode="External"/><Relationship Id="rId69" Type="http://schemas.openxmlformats.org/officeDocument/2006/relationships/hyperlink" Target="https://www.sec.gov/Archives/edgar/data/1602065/000160206525000010/viper202410-kxex44.htm" TargetMode="External"/><Relationship Id="rId70" Type="http://schemas.openxmlformats.org/officeDocument/2006/relationships/hyperlink" Target="https://www.sec.gov/Archives/edgar/data/1602065/000160206524000076/exhibit41-viperxtwrxoption.htm" TargetMode="External"/><Relationship Id="rId71" Type="http://schemas.openxmlformats.org/officeDocument/2006/relationships/hyperlink" Target="https://www.sec.gov/Archives/edgar/data/1602065/000160206524000076/exhibit42-viperenergyllcx2.htm" TargetMode="External"/><Relationship Id="rId72" Type="http://schemas.openxmlformats.org/officeDocument/2006/relationships/hyperlink" Target="https://www.sec.gov/Archives/edgar/data/1602065/000160206525000010/viper202410-kx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2025-05-07T15:14:08Z</dcterms:created>
  <dcterms:modified xsi:type="dcterms:W3CDTF">2025-05-07T15:14:08Z</dcterms:modified>
</cp:coreProperties>
</file>