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107315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100965</wp:posOffset>
            </wp:positionV>
            <wp:extent cx="2614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01" w:lineRule="exact"/>
        <w:rPr>
          <w:sz w:val="24"/>
          <w:szCs w:val="24"/>
          <w:color w:val="auto"/>
        </w:rPr>
      </w:pPr>
    </w:p>
    <w:p>
      <w:pPr>
        <w:ind w:left="640" w:right="9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640" w:right="940" w:hanging="614"/>
        <w:spacing w:after="0" w:line="235" w:lineRule="auto"/>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197485</wp:posOffset>
            </wp:positionV>
            <wp:extent cx="2614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Viper Energy Partners LP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71"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98"/>
              </w:rPr>
              <w:t>DE</w:t>
            </w:r>
          </w:p>
        </w:tc>
        <w:tc>
          <w:tcPr>
            <w:tcW w:w="3340" w:type="dxa"/>
            <w:vAlign w:val="bottom"/>
          </w:tcPr>
          <w:p>
            <w:pPr>
              <w:jc w:val="right"/>
              <w:ind w:right="784"/>
              <w:spacing w:after="0"/>
              <w:rPr>
                <w:sz w:val="20"/>
                <w:szCs w:val="20"/>
                <w:color w:val="auto"/>
              </w:rPr>
            </w:pPr>
            <w:r>
              <w:rPr>
                <w:rFonts w:ascii="Arial" w:cs="Arial" w:eastAsia="Arial" w:hAnsi="Arial"/>
                <w:sz w:val="16"/>
                <w:szCs w:val="16"/>
                <w:b w:val="1"/>
                <w:bCs w:val="1"/>
                <w:color w:val="auto"/>
              </w:rPr>
              <w:t>46-5001985</w:t>
            </w:r>
          </w:p>
        </w:tc>
        <w:tc>
          <w:tcPr>
            <w:tcW w:w="0" w:type="dxa"/>
            <w:vAlign w:val="bottom"/>
          </w:tcPr>
          <w:p>
            <w:pPr>
              <w:spacing w:after="0"/>
              <w:rPr>
                <w:sz w:val="1"/>
                <w:szCs w:val="1"/>
                <w:color w:val="auto"/>
              </w:rPr>
            </w:pPr>
          </w:p>
        </w:tc>
      </w:tr>
      <w:tr>
        <w:trPr>
          <w:trHeight w:val="357"/>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186"/>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5"/>
              </w:rPr>
              <w:t>Organization)</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8"/>
              </w:rPr>
              <w:t>500 West Texas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8"/>
              </w:rPr>
              <w:t>Suite 1200</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Midland, TX</w:t>
            </w:r>
          </w:p>
        </w:tc>
        <w:tc>
          <w:tcPr>
            <w:tcW w:w="33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c>
          <w:tcPr>
            <w:tcW w:w="0" w:type="dxa"/>
            <w:vAlign w:val="bottom"/>
          </w:tcPr>
          <w:p>
            <w:pPr>
              <w:spacing w:after="0"/>
              <w:rPr>
                <w:sz w:val="1"/>
                <w:szCs w:val="1"/>
                <w:color w:val="auto"/>
              </w:rPr>
            </w:pPr>
          </w:p>
        </w:tc>
      </w:tr>
      <w:tr>
        <w:trPr>
          <w:trHeight w:val="108"/>
        </w:trPr>
        <w:tc>
          <w:tcPr>
            <w:tcW w:w="3780" w:type="dxa"/>
            <w:vAlign w:val="bottom"/>
            <w:vMerge w:val="continue"/>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bl>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33" w:lineRule="exact"/>
        <w:rPr>
          <w:sz w:val="24"/>
          <w:szCs w:val="24"/>
          <w:color w:val="auto"/>
        </w:rPr>
      </w:pPr>
    </w:p>
    <w:tbl>
      <w:tblPr>
        <w:tblLayout w:type="fixed"/>
        <w:tblInd w:w="2820" w:type="dxa"/>
        <w:tblCellMar>
          <w:top w:w="0" w:type="dxa"/>
          <w:left w:w="0" w:type="dxa"/>
          <w:bottom w:w="0" w:type="dxa"/>
          <w:right w:w="0" w:type="dxa"/>
        </w:tblCellMar>
      </w:tblPr>
      <w:tr>
        <w:trPr>
          <w:trHeight w:val="184"/>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52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1640" w:type="dxa"/>
            <w:vAlign w:val="bottom"/>
            <w:gridSpan w:val="2"/>
          </w:tcPr>
          <w:p>
            <w:pPr>
              <w:jc w:val="center"/>
              <w:ind w:right="440"/>
              <w:spacing w:after="0"/>
              <w:rPr>
                <w:sz w:val="20"/>
                <w:szCs w:val="20"/>
                <w:color w:val="auto"/>
              </w:rPr>
            </w:pPr>
            <w:r>
              <w:rPr>
                <w:rFonts w:ascii="Arial" w:cs="Arial" w:eastAsia="Arial" w:hAnsi="Arial"/>
                <w:sz w:val="16"/>
                <w:szCs w:val="16"/>
                <w:color w:val="auto"/>
                <w:w w:val="94"/>
              </w:rPr>
              <w:t>Common Units</w:t>
            </w:r>
          </w:p>
        </w:tc>
        <w:tc>
          <w:tcPr>
            <w:tcW w:w="420" w:type="dxa"/>
            <w:vAlign w:val="bottom"/>
          </w:tcPr>
          <w:p>
            <w:pPr>
              <w:spacing w:after="0"/>
              <w:rPr>
                <w:sz w:val="20"/>
                <w:szCs w:val="20"/>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6"/>
                <w:szCs w:val="16"/>
                <w:color w:val="auto"/>
              </w:rPr>
              <w:t>VNOM</w:t>
            </w:r>
          </w:p>
        </w:tc>
        <w:tc>
          <w:tcPr>
            <w:tcW w:w="30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16"/>
        </w:trPr>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311"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As of April 30, 2021, the registrant had outstanding 64,707,040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5"/>
              </w:rPr>
              <w:t>Page</w:t>
            </w: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23"/>
            <w:shd w:val="clear" w:color="auto" w:fill="CCEEFF"/>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Glossary of Oil and Natural Gas Terms</w:t>
              </w:r>
            </w:hyperlink>
          </w:p>
        </w:tc>
        <w:tc>
          <w:tcPr>
            <w:tcW w:w="24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2"/>
            <w:shd w:val="clear" w:color="auto" w:fill="CCEEFF"/>
          </w:tcPr>
          <w:p>
            <w:pPr>
              <w:jc w:val="center"/>
              <w:ind w:right="280"/>
              <w:spacing w:after="0" w:line="156"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gridSpan w:val="8"/>
          </w:tcPr>
          <w:p>
            <w:pPr>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Glossary of Certain Other Terms</w:t>
              </w:r>
            </w:hyperlink>
          </w:p>
        </w:tc>
        <w:tc>
          <w:tcPr>
            <w:tcW w:w="7720" w:type="dxa"/>
            <w:vAlign w:val="bottom"/>
            <w:gridSpan w:val="15"/>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3"/>
          </w:tcPr>
          <w:p>
            <w:pPr>
              <w:jc w:val="center"/>
              <w:ind w:right="260"/>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iii</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2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right="24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iv</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960" w:type="dxa"/>
            <w:vAlign w:val="bottom"/>
            <w:gridSpan w:val="14"/>
            <w:shd w:val="clear" w:color="auto" w:fill="CCEEFF"/>
          </w:tcPr>
          <w:p>
            <w:pPr>
              <w:jc w:val="center"/>
              <w:ind w:right="2940"/>
              <w:spacing w:after="0" w:line="189"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 FINANCIAL INFORMATION</w:t>
              </w:r>
            </w:hyperlink>
          </w:p>
        </w:tc>
        <w:tc>
          <w:tcPr>
            <w:tcW w:w="24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Item 1. Condensed Consolidated Financial Statements (Unaudited)</w:t>
              </w:r>
            </w:hyperlink>
          </w:p>
        </w:tc>
        <w:tc>
          <w:tcPr>
            <w:tcW w:w="420" w:type="dxa"/>
            <w:vAlign w:val="bottom"/>
            <w:gridSpan w:val="3"/>
          </w:tcPr>
          <w:p>
            <w:pPr>
              <w:jc w:val="center"/>
              <w:ind w:left="13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0000FF"/>
            </w:tcBorders>
            <w:gridSpan w:val="8"/>
            <w:shd w:val="clear" w:color="auto" w:fill="CCEEFF"/>
          </w:tcPr>
          <w:p>
            <w:pPr>
              <w:spacing w:after="0" w:line="182"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Condensed Consolidated Balance Sheets</w:t>
              </w:r>
            </w:hyperlink>
          </w:p>
        </w:tc>
        <w:tc>
          <w:tcPr>
            <w:tcW w:w="6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right w:val="single" w:sz="8" w:color="CCEEFF"/>
            </w:tcBorders>
            <w:gridSpan w:val="3"/>
            <w:shd w:val="clear" w:color="auto" w:fill="CCEEFF"/>
          </w:tcPr>
          <w:p>
            <w:pPr>
              <w:jc w:val="center"/>
              <w:ind w:left="130"/>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4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0000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22"/>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w:t>
              </w:r>
            </w:hyperlink>
          </w:p>
        </w:tc>
        <w:tc>
          <w:tcPr>
            <w:tcW w:w="420" w:type="dxa"/>
            <w:vAlign w:val="bottom"/>
            <w:gridSpan w:val="3"/>
          </w:tcPr>
          <w:p>
            <w:pPr>
              <w:jc w:val="center"/>
              <w:ind w:left="13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2</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80" w:type="dxa"/>
            <w:vAlign w:val="bottom"/>
            <w:gridSpan w:val="22"/>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Changes to Unitholders’ Equity</w:t>
              </w:r>
            </w:hyperlink>
          </w:p>
        </w:tc>
        <w:tc>
          <w:tcPr>
            <w:tcW w:w="420" w:type="dxa"/>
            <w:vAlign w:val="bottom"/>
            <w:tcBorders>
              <w:right w:val="single" w:sz="8" w:color="CCEEFF"/>
            </w:tcBorders>
            <w:gridSpan w:val="3"/>
            <w:shd w:val="clear" w:color="auto" w:fill="CCEEFF"/>
          </w:tcPr>
          <w:p>
            <w:pPr>
              <w:jc w:val="center"/>
              <w:ind w:left="13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40" w:type="dxa"/>
            <w:vAlign w:val="bottom"/>
            <w:gridSpan w:val="18"/>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w:t>
              </w:r>
            </w:hyperlink>
          </w:p>
        </w:tc>
        <w:tc>
          <w:tcPr>
            <w:tcW w:w="4740" w:type="dxa"/>
            <w:vAlign w:val="bottom"/>
            <w:gridSpan w:val="4"/>
          </w:tcPr>
          <w:p>
            <w:pPr>
              <w:spacing w:after="0"/>
              <w:rPr>
                <w:sz w:val="16"/>
                <w:szCs w:val="16"/>
                <w:color w:val="auto"/>
              </w:rPr>
            </w:pPr>
          </w:p>
        </w:tc>
        <w:tc>
          <w:tcPr>
            <w:tcW w:w="420" w:type="dxa"/>
            <w:vAlign w:val="bottom"/>
            <w:gridSpan w:val="3"/>
          </w:tcPr>
          <w:p>
            <w:pPr>
              <w:jc w:val="center"/>
              <w:ind w:left="130"/>
              <w:spacing w:after="0" w:line="189"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4</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80" w:type="dxa"/>
            <w:vAlign w:val="bottom"/>
            <w:gridSpan w:val="22"/>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Notes to Consolidated Financial Statements</w:t>
              </w:r>
            </w:hyperlink>
          </w:p>
        </w:tc>
        <w:tc>
          <w:tcPr>
            <w:tcW w:w="420" w:type="dxa"/>
            <w:vAlign w:val="bottom"/>
            <w:tcBorders>
              <w:right w:val="single" w:sz="8" w:color="CCEEFF"/>
            </w:tcBorders>
            <w:gridSpan w:val="3"/>
            <w:shd w:val="clear" w:color="auto" w:fill="CCEEFF"/>
          </w:tcPr>
          <w:p>
            <w:pPr>
              <w:jc w:val="center"/>
              <w:ind w:left="130"/>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5</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Item 2. Management’s Discussion and Analysis of Financial Condition and Results of Operations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20">
              <w:r>
                <w:rPr>
                  <w:rFonts w:ascii="Arial" w:cs="Arial" w:eastAsia="Arial" w:hAnsi="Arial"/>
                  <w:sz w:val="18"/>
                  <w:szCs w:val="18"/>
                  <w:color w:val="0000FF"/>
                  <w:w w:val="89"/>
                </w:rPr>
                <w:t>15</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Item 3. Quantitative and Qualitative Disclosures about Market Risk</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24</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Item 4. Controls and Procedures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25</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40" w:type="dxa"/>
            <w:vAlign w:val="bottom"/>
            <w:gridSpan w:val="12"/>
            <w:shd w:val="clear" w:color="auto" w:fill="CCEEFF"/>
          </w:tcPr>
          <w:p>
            <w:pPr>
              <w:jc w:val="center"/>
              <w:ind w:right="3560"/>
              <w:spacing w:after="0" w:line="189" w:lineRule="exact"/>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OTHER INFORMATION</w:t>
              </w:r>
            </w:hyperlink>
          </w:p>
        </w:tc>
        <w:tc>
          <w:tcPr>
            <w:tcW w:w="2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Item 1. Legal Proceedings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25</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Item 1A. Risk Factors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25</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Item 2. Unregistered Sales of Equity Securities and Use of Proceeds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26</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Item 6. Exhibits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27</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Signatures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28</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8780" w:type="dxa"/>
            <w:vAlign w:val="bottom"/>
          </w:tcPr>
          <w:p>
            <w:pPr>
              <w:ind w:left="112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natural gas terms that are used in this Quarterly Report on Form 10-Q (this “report”):</w:t>
            </w:r>
          </w:p>
        </w:tc>
      </w:tr>
      <w:tr>
        <w:trPr>
          <w:trHeight w:val="122"/>
        </w:trPr>
        <w:tc>
          <w:tcPr>
            <w:tcW w:w="24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Bbl or barrel</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One stock tank barrel, or 42 U.S. gallons liquid volume, used in this report in reference to crude oil or other liquid</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hydrocarbons.</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barrel of oil.</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BO/d</w:t>
            </w:r>
          </w:p>
        </w:tc>
        <w:tc>
          <w:tcPr>
            <w:tcW w:w="8780" w:type="dxa"/>
            <w:vAlign w:val="bottom"/>
          </w:tcPr>
          <w:p>
            <w:pPr>
              <w:ind w:left="280"/>
              <w:spacing w:after="0"/>
              <w:rPr>
                <w:sz w:val="20"/>
                <w:szCs w:val="20"/>
                <w:color w:val="auto"/>
              </w:rPr>
            </w:pPr>
            <w:r>
              <w:rPr>
                <w:rFonts w:ascii="Arial" w:cs="Arial" w:eastAsia="Arial" w:hAnsi="Arial"/>
                <w:sz w:val="18"/>
                <w:szCs w:val="18"/>
                <w:color w:val="auto"/>
              </w:rPr>
              <w:t>BO per day.</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One barrel of oil equivalent, with six thousand cubic feet of natural gas being equivalent to one barrel of oil.</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BOE/d</w:t>
            </w:r>
          </w:p>
        </w:tc>
        <w:tc>
          <w:tcPr>
            <w:tcW w:w="8780" w:type="dxa"/>
            <w:vAlign w:val="bottom"/>
          </w:tcPr>
          <w:p>
            <w:pPr>
              <w:ind w:left="280"/>
              <w:spacing w:after="0"/>
              <w:rPr>
                <w:sz w:val="20"/>
                <w:szCs w:val="20"/>
                <w:color w:val="auto"/>
              </w:rPr>
            </w:pPr>
            <w:r>
              <w:rPr>
                <w:rFonts w:ascii="Arial" w:cs="Arial" w:eastAsia="Arial" w:hAnsi="Arial"/>
                <w:sz w:val="18"/>
                <w:szCs w:val="18"/>
                <w:color w:val="auto"/>
              </w:rPr>
              <w:t>BOE per day.</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Condensate</w:t>
            </w:r>
          </w:p>
        </w:tc>
        <w:tc>
          <w:tcPr>
            <w:tcW w:w="8780" w:type="dxa"/>
            <w:vAlign w:val="bottom"/>
          </w:tcPr>
          <w:p>
            <w:pPr>
              <w:ind w:left="280"/>
              <w:spacing w:after="0"/>
              <w:rPr>
                <w:sz w:val="20"/>
                <w:szCs w:val="20"/>
                <w:color w:val="auto"/>
              </w:rPr>
            </w:pPr>
            <w:r>
              <w:rPr>
                <w:rFonts w:ascii="Arial" w:cs="Arial" w:eastAsia="Arial" w:hAnsi="Arial"/>
                <w:sz w:val="18"/>
                <w:szCs w:val="18"/>
                <w:color w:val="auto"/>
              </w:rPr>
              <w:t>Liquid hydrocarbons associated with the production of a primarily natural gas reserve.</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Horizontal wells</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 vertical</w:t>
            </w:r>
          </w:p>
        </w:tc>
      </w:tr>
      <w:tr>
        <w:trPr>
          <w:trHeight w:val="230"/>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drilling mechanisms.</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MBbls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Thousand barrels of crude oil or other liquid hydrocarbons.</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MBOE</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3"/>
              </w:rPr>
              <w:t>One thousand barrels of crude oil equivalent, determined using a ratio of six Mcf of natural gas to one Bbl of crude</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oil, condensate or natural gas liquids.</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thousand cubic feet of natural gas.</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Mineral interests</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3"/>
              </w:rPr>
              <w:t>The interests in ownership of the resource and mineral rights, giving an owner the right to profit from the extracted</w:t>
            </w:r>
          </w:p>
        </w:tc>
      </w:tr>
      <w:tr>
        <w:trPr>
          <w:trHeight w:val="230"/>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resources.</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MMBtu</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million British Thermal Units.</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Net royalty acres</w:t>
            </w:r>
          </w:p>
        </w:tc>
        <w:tc>
          <w:tcPr>
            <w:tcW w:w="8780" w:type="dxa"/>
            <w:vAlign w:val="bottom"/>
          </w:tcPr>
          <w:p>
            <w:pPr>
              <w:ind w:left="280"/>
              <w:spacing w:after="0"/>
              <w:rPr>
                <w:sz w:val="20"/>
                <w:szCs w:val="20"/>
                <w:color w:val="auto"/>
              </w:rPr>
            </w:pPr>
            <w:r>
              <w:rPr>
                <w:rFonts w:ascii="Arial" w:cs="Arial" w:eastAsia="Arial" w:hAnsi="Arial"/>
                <w:sz w:val="18"/>
                <w:szCs w:val="18"/>
                <w:color w:val="auto"/>
              </w:rPr>
              <w:t>Gross acreage multiplied by the average royalty interest.</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Operator</w:t>
            </w:r>
          </w:p>
        </w:tc>
        <w:tc>
          <w:tcPr>
            <w:tcW w:w="8780" w:type="dxa"/>
            <w:vAlign w:val="bottom"/>
          </w:tcPr>
          <w:p>
            <w:pPr>
              <w:ind w:left="28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 lease.</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Prospect</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A specific geographic area which, based on supporting geological, geophysical or other data and also preliminary</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economic analysis using reasonably anticipated prices and costs, is deemed to have potential for the discovery of</w:t>
            </w:r>
          </w:p>
        </w:tc>
      </w:tr>
      <w:tr>
        <w:trPr>
          <w:trHeight w:val="230"/>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 hydrocarbons.</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Proved reserves</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0"/>
              </w:rPr>
              <w:t>The estimated quantities of oil, natural gas and natural gas liquids which geological and engineering data demonstrate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7"/>
              </w:rPr>
              <w:t>with reasonable certainty to be commercially recoverable in future years from known reservoirs under existing</w:t>
            </w:r>
          </w:p>
        </w:tc>
      </w:tr>
      <w:tr>
        <w:trPr>
          <w:trHeight w:val="230"/>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economic and operating conditions.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Reserves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The estimated remaining quantities of oil and natural gas and related substances anticipated to be economically</w:t>
            </w:r>
          </w:p>
        </w:tc>
      </w:tr>
      <w:tr>
        <w:trPr>
          <w:trHeight w:val="176"/>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producible, as of a given date, by application of development projects to known accumulations. In addition, there</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must exist, or there must be a reasonable expectation that there will exist, the legal right to produce or a revenue</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interest in the production, installed means of delivering oil and natural gas or related substances to the market and all</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permits and financing required to implement the project. Reserves are not assigned to adjacent reservoirs isolated by</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major, potentially sealing, faults until those reservoirs are penetrated and evaluated as economically producible.</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Reserves should not be assigned to areas that are clearly separated from a known accumulation by a non-productive</w:t>
            </w:r>
          </w:p>
        </w:tc>
      </w:tr>
      <w:tr>
        <w:trPr>
          <w:trHeight w:val="176"/>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6"/>
              </w:rPr>
              <w:t>reservoir (i.e., absence of reservoir, structurally low reservoir or negative test results). Such areas may contain</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prospective resources (i.e., potentially recoverable resources from undiscovered accumulations).</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Reservoir</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 and/or</w:t>
            </w:r>
          </w:p>
        </w:tc>
      </w:tr>
      <w:tr>
        <w:trPr>
          <w:trHeight w:val="230"/>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crude oil that is confined by impermeable rock or water barriers and is separate from other reservoirs.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Royalty interest</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 any</w:t>
            </w:r>
          </w:p>
        </w:tc>
      </w:tr>
      <w:tr>
        <w:trPr>
          <w:trHeight w:val="230"/>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costs of development, which may be subject to expiration.</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Spud</w:t>
            </w:r>
          </w:p>
        </w:tc>
        <w:tc>
          <w:tcPr>
            <w:tcW w:w="8780" w:type="dxa"/>
            <w:vAlign w:val="bottom"/>
          </w:tcPr>
          <w:p>
            <w:pPr>
              <w:ind w:left="280"/>
              <w:spacing w:after="0"/>
              <w:rPr>
                <w:sz w:val="20"/>
                <w:szCs w:val="20"/>
                <w:color w:val="auto"/>
              </w:rPr>
            </w:pPr>
            <w:r>
              <w:rPr>
                <w:rFonts w:ascii="Arial" w:cs="Arial" w:eastAsia="Arial" w:hAnsi="Arial"/>
                <w:sz w:val="18"/>
                <w:szCs w:val="18"/>
                <w:color w:val="auto"/>
              </w:rPr>
              <w:t>Commencement of actual drilling operations.</w:t>
            </w:r>
          </w:p>
        </w:tc>
      </w:tr>
      <w:tr>
        <w:trPr>
          <w:trHeight w:val="230"/>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WTI</w:t>
            </w:r>
          </w:p>
        </w:tc>
        <w:tc>
          <w:tcPr>
            <w:tcW w:w="87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9120" w:type="dxa"/>
            <w:vAlign w:val="bottom"/>
          </w:tcPr>
          <w:p>
            <w:pPr>
              <w:ind w:left="17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08"/>
        </w:trPr>
        <w:tc>
          <w:tcPr>
            <w:tcW w:w="210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Diamondback</w:t>
            </w:r>
          </w:p>
        </w:tc>
        <w:tc>
          <w:tcPr>
            <w:tcW w:w="9120" w:type="dxa"/>
            <w:vAlign w:val="bottom"/>
          </w:tcPr>
          <w:p>
            <w:pPr>
              <w:ind w:left="620"/>
              <w:spacing w:after="0"/>
              <w:rPr>
                <w:sz w:val="20"/>
                <w:szCs w:val="20"/>
                <w:color w:val="auto"/>
              </w:rPr>
            </w:pPr>
            <w:r>
              <w:rPr>
                <w:rFonts w:ascii="Arial" w:cs="Arial" w:eastAsia="Arial" w:hAnsi="Arial"/>
                <w:sz w:val="18"/>
                <w:szCs w:val="18"/>
                <w:color w:val="auto"/>
              </w:rPr>
              <w:t>Diamondback Energy, Inc., a Delaware corporation.</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Act</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The Securities Exchange Act of 1934, as amended.</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GAAP</w:t>
            </w:r>
          </w:p>
        </w:tc>
        <w:tc>
          <w:tcPr>
            <w:tcW w:w="9120" w:type="dxa"/>
            <w:vAlign w:val="bottom"/>
          </w:tcPr>
          <w:p>
            <w:pPr>
              <w:ind w:left="6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Partner</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4"/>
              </w:rPr>
              <w:t>Viper Energy Partners GP LLC, a Delaware limited liability company, and the General Partner of the Partnership.</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LIBOR</w:t>
            </w:r>
          </w:p>
        </w:tc>
        <w:tc>
          <w:tcPr>
            <w:tcW w:w="9120" w:type="dxa"/>
            <w:vAlign w:val="bottom"/>
          </w:tcPr>
          <w:p>
            <w:pPr>
              <w:ind w:left="620"/>
              <w:spacing w:after="0"/>
              <w:rPr>
                <w:sz w:val="20"/>
                <w:szCs w:val="20"/>
                <w:color w:val="auto"/>
              </w:rPr>
            </w:pPr>
            <w:r>
              <w:rPr>
                <w:rFonts w:ascii="Arial" w:cs="Arial" w:eastAsia="Arial" w:hAnsi="Arial"/>
                <w:sz w:val="18"/>
                <w:szCs w:val="18"/>
                <w:color w:val="auto"/>
              </w:rPr>
              <w:t>The London interbank offered rate.</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LTIP</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Viper Energy Partners LP Long Term Incentive Plan.</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NYMEX</w:t>
            </w:r>
          </w:p>
        </w:tc>
        <w:tc>
          <w:tcPr>
            <w:tcW w:w="9120" w:type="dxa"/>
            <w:vAlign w:val="bottom"/>
          </w:tcPr>
          <w:p>
            <w:pPr>
              <w:ind w:left="62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OPEC</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Organization of the Petroleum Exporting Countries.</w:t>
            </w:r>
          </w:p>
        </w:tc>
      </w:tr>
      <w:tr>
        <w:trPr>
          <w:trHeight w:val="175"/>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Operating Company</w:t>
            </w:r>
          </w:p>
        </w:tc>
        <w:tc>
          <w:tcPr>
            <w:tcW w:w="9120" w:type="dxa"/>
            <w:vAlign w:val="bottom"/>
          </w:tcPr>
          <w:p>
            <w:pPr>
              <w:ind w:left="620"/>
              <w:spacing w:after="0" w:line="176" w:lineRule="exact"/>
              <w:rPr>
                <w:sz w:val="20"/>
                <w:szCs w:val="20"/>
                <w:color w:val="auto"/>
              </w:rPr>
            </w:pPr>
            <w:r>
              <w:rPr>
                <w:rFonts w:ascii="Arial" w:cs="Arial" w:eastAsia="Arial" w:hAnsi="Arial"/>
                <w:sz w:val="18"/>
                <w:szCs w:val="18"/>
                <w:color w:val="auto"/>
                <w:w w:val="96"/>
              </w:rPr>
              <w:t>Viper Energy Partners LLC, a Delaware limited liability company and a consolidated subsidiary of Viper Energy</w:t>
            </w:r>
          </w:p>
        </w:tc>
      </w:tr>
      <w:tr>
        <w:trPr>
          <w:trHeight w:val="230"/>
        </w:trPr>
        <w:tc>
          <w:tcPr>
            <w:tcW w:w="2100" w:type="dxa"/>
            <w:vAlign w:val="bottom"/>
          </w:tcPr>
          <w:p>
            <w:pPr>
              <w:spacing w:after="0"/>
              <w:rPr>
                <w:sz w:val="19"/>
                <w:szCs w:val="19"/>
                <w:color w:val="auto"/>
              </w:rPr>
            </w:pPr>
          </w:p>
        </w:tc>
        <w:tc>
          <w:tcPr>
            <w:tcW w:w="9120" w:type="dxa"/>
            <w:vAlign w:val="bottom"/>
          </w:tcPr>
          <w:p>
            <w:pPr>
              <w:ind w:left="620"/>
              <w:spacing w:after="0"/>
              <w:rPr>
                <w:sz w:val="20"/>
                <w:szCs w:val="20"/>
                <w:color w:val="auto"/>
              </w:rPr>
            </w:pPr>
            <w:r>
              <w:rPr>
                <w:rFonts w:ascii="Arial" w:cs="Arial" w:eastAsia="Arial" w:hAnsi="Arial"/>
                <w:sz w:val="18"/>
                <w:szCs w:val="18"/>
                <w:color w:val="auto"/>
              </w:rPr>
              <w:t>Partners LP.</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SEC</w:t>
            </w:r>
          </w:p>
        </w:tc>
        <w:tc>
          <w:tcPr>
            <w:tcW w:w="9120" w:type="dxa"/>
            <w:vAlign w:val="bottom"/>
          </w:tcPr>
          <w:p>
            <w:pPr>
              <w:ind w:left="62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2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 Notes</w:t>
            </w:r>
          </w:p>
        </w:tc>
        <w:tc>
          <w:tcPr>
            <w:tcW w:w="91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The $500.0 million in aggregate principal amount of 5.375% Senior Notes due 2027 issued on October 16,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38" w:lineRule="auto"/>
        <w:rPr>
          <w:rFonts w:ascii="Arial" w:cs="Arial" w:eastAsia="Arial" w:hAnsi="Arial"/>
          <w:sz w:val="18"/>
          <w:szCs w:val="18"/>
          <w:color w:val="auto"/>
        </w:rPr>
      </w:pPr>
      <w:r>
        <w:rPr>
          <w:rFonts w:ascii="Arial" w:cs="Arial" w:eastAsia="Arial" w:hAnsi="Arial"/>
          <w:sz w:val="18"/>
          <w:szCs w:val="18"/>
          <w:color w:val="auto"/>
        </w:rPr>
        <w:t>Various statements contained in this report are “forward-looking statements” as defined by the SEC. These forward-looking statements are subject to a number of risks, uncertainties and assumptions,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including those detailed under “</w:t>
      </w:r>
      <w:hyperlink w:anchor="page31">
        <w:r>
          <w:rPr>
            <w:rFonts w:ascii="Arial" w:cs="Arial" w:eastAsia="Arial" w:hAnsi="Arial"/>
            <w:sz w:val="18"/>
            <w:szCs w:val="18"/>
            <w:u w:val="single" w:color="auto"/>
            <w:color w:val="0000FF"/>
          </w:rPr>
          <w:t>Part II. Item 1A. Risk Factors</w:t>
        </w:r>
      </w:hyperlink>
      <w:r>
        <w:rPr>
          <w:rFonts w:ascii="Arial" w:cs="Arial" w:eastAsia="Arial" w:hAnsi="Arial"/>
          <w:sz w:val="18"/>
          <w:szCs w:val="18"/>
          <w:color w:val="auto"/>
        </w:rPr>
        <w:t xml:space="preserve">” in this report, our </w:t>
      </w:r>
      <w:hyperlink r:id="rId1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could affect our actual results and cause our actual results to 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the Operating Company.</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117" w:lineRule="exact"/>
        <w:rPr>
          <w:sz w:val="20"/>
          <w:szCs w:val="20"/>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or volatility of realized oil and natural gas prices;</w:t>
      </w:r>
    </w:p>
    <w:p>
      <w:pPr>
        <w:spacing w:after="0" w:line="117" w:lineRule="exact"/>
        <w:rPr>
          <w:rFonts w:ascii="Arial" w:cs="Arial" w:eastAsia="Arial" w:hAnsi="Arial"/>
          <w:sz w:val="18"/>
          <w:szCs w:val="18"/>
          <w:color w:val="auto"/>
        </w:rPr>
      </w:pPr>
    </w:p>
    <w:p>
      <w:pPr>
        <w:jc w:val="both"/>
        <w:ind w:left="1220" w:right="20" w:hanging="321"/>
        <w:spacing w:after="0" w:line="26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implications and logistical challenges of epidemic or pandemic diseases, including the ongoing COVID-19 pandemic on the oil and natural gas industry, including the impact on pricing and demand for oil and natural gas and the supply chain disruptions during the ongoing COVID-19 pandemic;</w:t>
      </w:r>
    </w:p>
    <w:p>
      <w:pPr>
        <w:spacing w:after="0" w:line="75"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conditions of the U.S. oil and natural gas industry and the effect of U.S. energy, environmental, monetary and trade policies;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on favorable terms or at all;</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production on our properties;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reduced drilling activity on our exploration and development drilling prospects, inventories, projects and programs;</w:t>
      </w:r>
    </w:p>
    <w:p>
      <w:pPr>
        <w:spacing w:after="0" w:line="128" w:lineRule="exact"/>
        <w:rPr>
          <w:rFonts w:ascii="Arial" w:cs="Arial" w:eastAsia="Arial" w:hAnsi="Arial"/>
          <w:sz w:val="17"/>
          <w:szCs w:val="17"/>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curtailments or interruptions of production, and any government order, rule or regulation that may impose production limits on properties in which we have mineral and royalty interest;</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third party operators on our mineral and royalty acreage;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obtain capital or financing needed for development and exploration operations;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extreme weather conditions, including the recent severe winter storms in the Permian Basin, on production volumes on our mineral and royalty acreage;</w:t>
      </w:r>
    </w:p>
    <w:p>
      <w:pPr>
        <w:spacing w:after="0" w:line="62"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comply with applicable governmental laws and regulations and to obtain permits and governmental approvals;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distributions to eligible unitholders;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potential impairment charges;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future litigation;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500" w:type="dxa"/>
            <w:vAlign w:val="bottom"/>
          </w:tcPr>
          <w:p>
            <w:pPr>
              <w:jc w:val="right"/>
              <w:ind w:right="3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w w:val="98"/>
              </w:rPr>
              <w:t>(In thousands, except unit amounts)</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Royalty income receivable (net of allowance for credit losses)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32,210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receivable—related party</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8"/>
                <w:szCs w:val="18"/>
                <w:color w:val="auto"/>
              </w:rPr>
              <w:t>Property:</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Oil and natural gas interests, full cost method of accounting ($1,347,832 and $1,364,906 excluded</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2,895,616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2,895,542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depletion at March 31, 2021 and December 31, 2020, respectively)</w:t>
            </w: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Land</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 and impairment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(496,176)</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Property, net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2,380,242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2,405,054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2,441,804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2,461,375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600"/>
              <w:spacing w:after="0"/>
              <w:rPr>
                <w:sz w:val="20"/>
                <w:szCs w:val="20"/>
                <w:color w:val="auto"/>
              </w:rPr>
            </w:pPr>
            <w:r>
              <w:rPr>
                <w:rFonts w:ascii="Arial" w:cs="Arial" w:eastAsia="Arial" w:hAnsi="Arial"/>
                <w:sz w:val="16"/>
                <w:szCs w:val="16"/>
                <w:b w:val="1"/>
                <w:bCs w:val="1"/>
                <w:color w:val="auto"/>
              </w:rPr>
              <w:t>Liabilities and Unitholders’ Equity</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26,593</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62,855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555,644</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600,542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Unitholders’ equity:</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partner</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175"/>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units (64,949,540 units issued and outstanding as of March 31, 2021 and 65,817,281 units</w:t>
            </w:r>
          </w:p>
        </w:tc>
        <w:tc>
          <w:tcPr>
            <w:tcW w:w="3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611,172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633,415</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issued and outstanding as of December 31, 2020)</w:t>
            </w:r>
          </w:p>
        </w:tc>
        <w:tc>
          <w:tcPr>
            <w:tcW w:w="3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Class B units (90,709,946 units issued and outstanding as of March 31, 2021 and December 31,</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Viper Energy Partners LP unitholders’ equity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612,967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635,255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1,860,833</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unitholders’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2,441,804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2,461,375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r>
      <w:tr>
        <w:trPr>
          <w:trHeight w:val="209"/>
        </w:trPr>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4"/>
          </w:tcPr>
          <w:p>
            <w:pPr>
              <w:jc w:val="right"/>
              <w:ind w:right="10"/>
              <w:spacing w:after="0"/>
              <w:rPr>
                <w:sz w:val="20"/>
                <w:szCs w:val="20"/>
                <w:color w:val="auto"/>
              </w:rPr>
            </w:pPr>
            <w:r>
              <w:rPr>
                <w:rFonts w:ascii="Arial" w:cs="Arial" w:eastAsia="Arial" w:hAnsi="Arial"/>
                <w:sz w:val="16"/>
                <w:szCs w:val="16"/>
                <w:b w:val="1"/>
                <w:bCs w:val="1"/>
                <w:color w:val="auto"/>
                <w:w w:val="90"/>
              </w:rPr>
              <w:t>(In thousands, except per unit amounts)</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Royalty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96,512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76,829</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78,692</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2"/>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Depletion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24,642</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45,237</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2"/>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(7,942)</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revaluation of investment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8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(26,621)</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18,616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142,466</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(123,850)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18,319</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(142,169)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 units: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2"/>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common limited partner units outstanding:</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67,822</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7"/>
            <w:vMerge w:val="restart"/>
          </w:tcPr>
          <w:p>
            <w:pPr>
              <w:ind w:left="300"/>
              <w:spacing w:after="0"/>
              <w:rPr>
                <w:sz w:val="20"/>
                <w:szCs w:val="20"/>
                <w:color w:val="auto"/>
              </w:rPr>
            </w:pPr>
            <w:r>
              <w:rPr>
                <w:rFonts w:ascii="Arial" w:cs="Arial" w:eastAsia="Arial" w:hAnsi="Arial"/>
                <w:sz w:val="16"/>
                <w:szCs w:val="16"/>
                <w:b w:val="1"/>
                <w:bCs w:val="1"/>
                <w:color w:val="auto"/>
              </w:rPr>
              <w:t>Limited Partners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General</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3"/>
              </w:rPr>
              <w:t>Non-Controlling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6"/>
              </w:rPr>
              <w:t>Partner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Interest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Class B</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4"/>
              </w:rPr>
              <w:t>Units</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9"/>
              </w:rPr>
              <w:t>Units</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6"/>
          </w:tcPr>
          <w:p>
            <w:pPr>
              <w:jc w:val="right"/>
              <w:ind w:right="1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65,817</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633,415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1,860,833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Unit-based compensation</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common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Distributions to Diamondback</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16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2,687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(2,687)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subsidiaries, net</w:t>
            </w: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1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Cash paid for tax withholding on vested</w:t>
            </w: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units</w:t>
            </w:r>
          </w:p>
        </w:tc>
        <w:tc>
          <w:tcPr>
            <w:tcW w:w="10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16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(870)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(13,043)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(13,043)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rPr>
              <w:t>buyback</w:t>
            </w:r>
          </w:p>
        </w:tc>
        <w:tc>
          <w:tcPr>
            <w:tcW w:w="10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6"/>
                <w:szCs w:val="16"/>
                <w:b w:val="1"/>
                <w:bCs w:val="1"/>
                <w:color w:val="auto"/>
              </w:rPr>
              <w:t>Balance at March 31, 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611,172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1,237,071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7"/>
            <w:vMerge w:val="restart"/>
          </w:tcPr>
          <w:p>
            <w:pPr>
              <w:ind w:left="280"/>
              <w:spacing w:after="0"/>
              <w:rPr>
                <w:sz w:val="20"/>
                <w:szCs w:val="20"/>
                <w:color w:val="auto"/>
              </w:rPr>
            </w:pPr>
            <w:r>
              <w:rPr>
                <w:rFonts w:ascii="Arial" w:cs="Arial" w:eastAsia="Arial" w:hAnsi="Arial"/>
                <w:sz w:val="16"/>
                <w:szCs w:val="16"/>
                <w:b w:val="1"/>
                <w:bCs w:val="1"/>
                <w:color w:val="auto"/>
              </w:rPr>
              <w:t>Limited Partners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General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Non-Controlling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7"/>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Partner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Interest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8"/>
              </w:rPr>
              <w:t>Class B</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Units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Units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w w:val="97"/>
              </w:rPr>
              <w:t>(In thousands)</w:t>
            </w: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929,116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1,254,285</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2,185,420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Unit-based compensation</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common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w w:val="95"/>
              </w:rPr>
              <w:t>Distribution equivalent rights payments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public</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Distributions to Diamondback</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General Partner</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6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4"/>
              </w:rPr>
              <w:t>Cash paid for tax withholding on vested</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common units</w:t>
            </w: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000" w:type="dxa"/>
            <w:vAlign w:val="bottom"/>
          </w:tcPr>
          <w:p>
            <w:pPr>
              <w:jc w:val="right"/>
              <w:spacing w:after="0"/>
              <w:rPr>
                <w:sz w:val="20"/>
                <w:szCs w:val="20"/>
                <w:color w:val="auto"/>
              </w:rPr>
            </w:pPr>
            <w:r>
              <w:rPr>
                <w:rFonts w:ascii="Arial" w:cs="Arial" w:eastAsia="Arial" w:hAnsi="Arial"/>
                <w:sz w:val="18"/>
                <w:szCs w:val="18"/>
                <w:color w:val="auto"/>
              </w:rPr>
              <w:t>67,831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756,408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90,710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1,231,785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1,990,167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2020</w:t>
            </w:r>
          </w:p>
        </w:tc>
      </w:tr>
      <w:tr>
        <w:trPr>
          <w:trHeight w:val="209"/>
        </w:trPr>
        <w:tc>
          <w:tcPr>
            <w:tcW w:w="7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23,859</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(123,850)</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Deferred income taxes expense (benefit)</w:t>
            </w:r>
          </w:p>
        </w:tc>
        <w:tc>
          <w:tcPr>
            <w:tcW w:w="10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142,466</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(Gain) loss on derivative instruments, net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7,942</w:t>
            </w: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payments on derivatives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(14,942)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(Gain) loss on revaluation of investment</w:t>
            </w:r>
          </w:p>
        </w:tc>
        <w:tc>
          <w:tcPr>
            <w:tcW w:w="10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10,120</w:t>
            </w: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Royalty income receivable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20,129</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Royalty income receivable—related party</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10,576</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r>
      <w:tr>
        <w:trPr>
          <w:trHeight w:val="230"/>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96,111</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oil and natural gas interests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(64,626)</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(64,626)</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Proceeds from borrowings under credit facility</w:t>
            </w:r>
          </w:p>
        </w:tc>
        <w:tc>
          <w:tcPr>
            <w:tcW w:w="10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92,000</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on credit facility</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Repurchased units as part of unit buyback</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(13,043)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public</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(30,214)</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Distributions to Diamondback</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(12,826)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(41,173)</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(61,979)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36,669</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Viper Energy Partners GP LLC (the “General Partner”) held a 100% general partner interest in the Partnership and Diamondback Energy, Inc. (“Diamondback”) beneficially owned an approximate 59%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spacing w:after="0" w:line="173"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w:t>
      </w:r>
      <w:hyperlink r:id="rId1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2020, which contains a summary of the Partnership’s significant accounting policies and other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at the date of the financial statements.</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For instance, in 2020, the effects of COVID-19 and actions by OPEC members and other exporting nations on the supply and demand in global oil and natural gas markets resulted in significant negative pricing pressure in the first half of 2020, followed by a recovery in pricing in the second half of 2020 and into 2021. The financial results of companies in the oil and natural gas industry have been impacted materially as a result of changing market conditions. Such circumstances generally increase uncertainty in the Partnership’s accounting estimates, particularly those involving financial forecasts.</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interests, the recoverability of costs of unevaluated properties, the fair value determination of assets and liabilities, fair value estimates of commodity derivatives and estimates of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10"/>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6,501</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This update is intended to simplify the accounting for income taxes by removing certain exceptions and by clarifying and amending existing guidance and is effective for public business entities beginning after December 15, 2020 with early adoption permitted. The Partnership adopted this update effective January 1, 2021. The adoption of this update did not have a material impact on its financial position, results of operations or liquidity.</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ASUs not discussed above were assessed and determined to be either not applicable or clarifications of ASUs previously disclosed.</w:t>
      </w: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10"/>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w w:val="95"/>
              </w:rPr>
              <w:t>2020</w:t>
            </w:r>
          </w:p>
        </w:tc>
      </w:tr>
      <w:tr>
        <w:trPr>
          <w:trHeight w:val="210"/>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Total royalty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76,829</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had no significant acquisition or divestiture activity during the three months ended March 31, 2021.</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Activity</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three months ended March 31, 2020, the Partnership acquired, from unrelated third-party sellers, mineral and royalty interests representing 4,948 gross (410 net royalty) acres in the Permian Basin for an aggregate purchase price of approximately $63.4 million, including post-closing adjustments. The Partnership funded these acquisitions with cash on hand and borrowings under the Operating Company’s revolving credit facility.</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Oil and natural gas interests include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36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0"/>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1,547,784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1,530,636</w:t>
            </w: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1,364,906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2,895,616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2,895,542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(496,176)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2,374,554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2,399,366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2,380,242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2,405,054</w:t>
            </w:r>
          </w:p>
        </w:tc>
      </w:tr>
      <w:tr>
        <w:trPr>
          <w:trHeight w:val="21"/>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2021 and December 31, 2020, the Partnership had mineral and royalty interests representing 24,350 net royalty acres.</w:t>
      </w:r>
    </w:p>
    <w:p>
      <w:pPr>
        <w:spacing w:after="0" w:line="2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impairment expense was recorded for the quarters ended March 31, 2021 and 2020 based on the results of the respective quarterly ceiling tests.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Partnership will have write-downs in subsequent quarters, which may be material.</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10"/>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notes due 2027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84,000</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555,644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2027 Senior Notes</w:t>
      </w:r>
    </w:p>
    <w:p>
      <w:pPr>
        <w:spacing w:after="0" w:line="22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Partnership’s 5.375% senior notes due 2027 (the “Notes”) of $479.9 million in aggregate principal amount are senior unsecured obligations of the Partnership, are initially guaranteed on a senior unsecured basis by the Operating Company and pay interest semi-annually. Neither Diamondback nor the General Partner guarantee the Notes. In the future, each of the Partnership’s restricted subsidiaries that either (1) guarantees any of its or a guarantor’s other indebtedness or (2) is a domestic restricted subsidiary and is an obligor with respect to any indebtedness under any credit facility will be required to guarantee the Notes. The Notes will mature on November 1, 2027.</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Operating Company’s credit agreement, as amended to date, provides for a revolving credit facility in the maximum credit amount of $2.0 billion and a borrowing base of $580.0 million based on the Operating Company’s oil and natural gas reserves and other factors. The borrowing base is scheduled to be redetermined semi-annually in May and November. As of March 31, 2021, there was $57.0 million of outstanding borrowings and $523.0 million available for future borrowings under the Operating Company’s revolving credit facility. During the three months ended March 31, 2021 and 2020, the weighted average interest rate on the Operating Company’s revolving credit facility was 1.88% and 3.32%, respectively. The revolving credit facility will mature on November 1, 2022.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2021, the Operating Company was in compliance with the financial maintenance covenants under its credit agreement.</w:t>
      </w: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Partnership has general partner and limited partner units. At March 31, 2021, the Partnership had a total of 64,949,540 common units issued and outstanding and 90,709,946 Class B units issued and outstanding, of which 731,500 common units and 90,709,946 Class B units were beneficially owned by Diamondback, representing approximately 59% of the Partnership’s total units outstanding. Diamondback also beneficially owns 90,709,946 Operating Company units, representing a 58%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Common Unit Repurchase Program</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On November 6, 2020, the board of directors of the General Partner approved an expansion of the Partnership’s return of capital program with the implementation of a common unit repurchase program to acquire up to $100.0 million of the Partnership’s outstanding common units. During the three months ended March 31, 2021, the Partnership repurchased approximately $13.0 million of common units under the repurchase program. As of March 31, 2021, $62.9 million remains available for use under the repurchase program. The common unit repurchase program is authorized to extend through December 31, 2021 and the Partnership intends to purchase common units under the repurchase program opportunistically with funds from cash on hand, free cash flow from operations and potential liquidity events such as the sale of assets. The repurchase program may be suspended from time to time, modified, extended or discontinued by the board of directors of the Partnership’s general partner at any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board of directors of the General Partner has established a distribution policy whereby the Operating Company distributes all or a portion of its available cash on a quarterly basis to its unitholders (including Diamondback and the Partnership). The Partnership in turn distributes all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Operating Company’s available cash generally equals its Adjusted EBITDA for the quarter, less cash needed for debt service and other contractual obligations, fixed charges and reserves for future operating or capital needs that the board of directors of the General Partner deems necessary or appropriate, if any. The Partnership’s available cash for each quarter generally equals the Partnership’s proportional share of the Operating Company’s available cash for the quarter, less cash needed for the payment of income taxes, if any, and the preferred distribution. The percentage of available cash distributed pursuant to the distribution policy discussed above may change quarterly to enable the Operating Company to retain cash flow to help strengthen the Partnership’s balance sheet while also expanding the return of capital program through the Partnership’s common unit repurchase program. The Partnership is not required to pay distributions to its common unitholders on a quarterly or other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6"/>
                <w:szCs w:val="16"/>
                <w:b w:val="1"/>
                <w:bCs w:val="1"/>
                <w:color w:val="auto"/>
                <w:w w:val="93"/>
              </w:rPr>
              <w:t>Distributions</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3"/>
          </w:tcPr>
          <w:p>
            <w:pPr>
              <w:jc w:val="center"/>
              <w:ind w:left="678"/>
              <w:spacing w:after="0"/>
              <w:rPr>
                <w:sz w:val="20"/>
                <w:szCs w:val="20"/>
                <w:color w:val="auto"/>
              </w:rPr>
            </w:pPr>
            <w:r>
              <w:rPr>
                <w:rFonts w:ascii="Arial" w:cs="Arial" w:eastAsia="Arial" w:hAnsi="Arial"/>
                <w:sz w:val="16"/>
                <w:szCs w:val="16"/>
                <w:b w:val="1"/>
                <w:bCs w:val="1"/>
                <w:color w:val="auto"/>
                <w:w w:val="90"/>
              </w:rPr>
              <w:t>(In thousands)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w w:val="92"/>
              </w:rPr>
              <w:t>Operating Company</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Unitholder Record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 per Unit</w:t>
            </w: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Distributions to</w:t>
            </w:r>
          </w:p>
        </w:tc>
        <w:tc>
          <w:tcPr>
            <w:tcW w:w="19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Common Unitholders</w:t>
            </w:r>
            <w:r>
              <w:rPr>
                <w:rFonts w:ascii="Arial" w:cs="Arial" w:eastAsia="Arial" w:hAnsi="Arial"/>
                <w:sz w:val="21"/>
                <w:szCs w:val="21"/>
                <w:b w:val="1"/>
                <w:bCs w:val="1"/>
                <w:color w:val="auto"/>
                <w:vertAlign w:val="superscript"/>
              </w:rPr>
              <w:t>(1)</w:t>
            </w:r>
          </w:p>
        </w:tc>
        <w:tc>
          <w:tcPr>
            <w:tcW w:w="18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Declaration Date</w:t>
            </w:r>
          </w:p>
        </w:tc>
        <w:tc>
          <w:tcPr>
            <w:tcW w:w="1620" w:type="dxa"/>
            <w:vAlign w:val="bottom"/>
            <w:gridSpan w:val="2"/>
            <w:vMerge w:val="continue"/>
          </w:tcPr>
          <w:p>
            <w:pPr>
              <w:spacing w:after="0"/>
              <w:rPr>
                <w:sz w:val="14"/>
                <w:szCs w:val="14"/>
                <w:color w:val="auto"/>
              </w:rPr>
            </w:pPr>
          </w:p>
        </w:tc>
        <w:tc>
          <w:tcPr>
            <w:tcW w:w="160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16"/>
        </w:trPr>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Diamondback</w:t>
            </w:r>
          </w:p>
        </w:tc>
        <w:tc>
          <w:tcPr>
            <w:tcW w:w="1920" w:type="dxa"/>
            <w:vAlign w:val="bottom"/>
            <w:gridSpan w:val="3"/>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Q4 2020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9"/>
              </w:rPr>
              <w:t>February 19, 2021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0"/>
              </w:rPr>
              <w:t>March 4, 2021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1"/>
              </w:rPr>
              <w:t>March 11, 2021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Includes $0.1 million paid to Diamondback.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to Diamondback discussed below result in adjustments to non-controlling interest and common unitholder equity, tax effected. The following table summarizes the changes in common unitholder equity due to changes in ownership interest during the period: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in ownership of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Change from net income (loss) attributable to the Partnership's unitholders and transfers to non-controlling interest</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changes in ownership of consolidated subsidiaries during the three months ended March 31,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Income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left="20"/>
        <w:spacing w:after="0" w:line="237" w:lineRule="auto"/>
        <w:rPr>
          <w:sz w:val="20"/>
          <w:szCs w:val="20"/>
          <w:color w:val="auto"/>
        </w:rPr>
      </w:pPr>
      <w:r>
        <w:rPr>
          <w:rFonts w:ascii="Arial" w:cs="Arial" w:eastAsia="Arial" w:hAnsi="Arial"/>
          <w:sz w:val="18"/>
          <w:szCs w:val="18"/>
          <w:b w:val="1"/>
          <w:bCs w:val="1"/>
          <w:color w:val="auto"/>
        </w:rPr>
        <w:t>Three Months Ended March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(3,020)</w:t>
            </w:r>
          </w:p>
        </w:tc>
      </w:tr>
      <w:tr>
        <w:trPr>
          <w:trHeight w:val="230"/>
        </w:trPr>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094" w:lineRule="exact"/>
        <w:rPr>
          <w:sz w:val="20"/>
          <w:szCs w:val="20"/>
          <w:color w:val="auto"/>
        </w:rPr>
      </w:pPr>
    </w:p>
    <w:p>
      <w:pPr>
        <w:sectPr>
          <w:pgSz w:w="11900" w:h="16838" w:orient="portrait"/>
          <w:cols w:equalWidth="0" w:num="2">
            <w:col w:w="8820" w:space="180"/>
            <w:col w:w="2240"/>
          </w:cols>
          <w:pgMar w:left="320" w:top="122" w:right="339" w:bottom="1440" w:gutter="0" w:footer="0" w:header="0"/>
          <w:type w:val="continuous"/>
        </w:sectPr>
      </w:pPr>
    </w:p>
    <w:p>
      <w:pPr>
        <w:spacing w:after="0" w:line="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as managing member of the Operating Company, has entered into an agreement whereby special allocations of the Operating Company’s income and gains over losses and deductions (but before depletion) are to be made to Diamondback through 2023. These special income allocations will reduce the taxable income allocated to the Partnership’s common unitholders.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net income (loss) per common unit on the condensed consolidated statements of operations is based on the net income (loss) of the Partnership for the three months ended March 31, 2021 and 2020, which is the amount of net income (loss) attributable to the Partnership’s common units.</w:t>
      </w:r>
    </w:p>
    <w:p>
      <w:pPr>
        <w:spacing w:after="0" w:line="151" w:lineRule="exact"/>
        <w:rPr>
          <w:sz w:val="20"/>
          <w:szCs w:val="20"/>
          <w:color w:val="auto"/>
        </w:rPr>
      </w:pPr>
    </w:p>
    <w:p>
      <w:pPr>
        <w:jc w:val="both"/>
        <w:ind w:firstLine="648"/>
        <w:spacing w:after="0" w:line="248" w:lineRule="auto"/>
        <w:rPr>
          <w:rFonts w:ascii="Arial" w:cs="Arial" w:eastAsia="Arial" w:hAnsi="Arial"/>
          <w:sz w:val="18"/>
          <w:szCs w:val="18"/>
          <w:color w:val="0000FF"/>
        </w:rPr>
      </w:pPr>
      <w:r>
        <w:rPr>
          <w:rFonts w:ascii="Arial" w:cs="Arial" w:eastAsia="Arial" w:hAnsi="Arial"/>
          <w:sz w:val="18"/>
          <w:szCs w:val="18"/>
          <w:color w:val="auto"/>
        </w:rPr>
        <w:t xml:space="preserve">The Partnership’s net income (loss) is allocated wholly to the common units, as the General Partner does not have an economic interest. Payments </w:t>
      </w:r>
      <w:hyperlink w:anchor="page14">
        <w:r>
          <w:rPr>
            <w:rFonts w:ascii="Arial" w:cs="Arial" w:eastAsia="Arial" w:hAnsi="Arial"/>
            <w:sz w:val="18"/>
            <w:szCs w:val="18"/>
            <w:color w:val="auto"/>
          </w:rPr>
          <w:t>made to the Partnership’s unitholders are determined in relation to the cash distribution policy described in Note 7—</w:t>
        </w:r>
        <w:r>
          <w:rPr>
            <w:rFonts w:ascii="Arial" w:cs="Arial" w:eastAsia="Arial" w:hAnsi="Arial"/>
            <w:sz w:val="18"/>
            <w:szCs w:val="18"/>
            <w:u w:val="single" w:color="auto"/>
            <w:color w:val="0000FF"/>
          </w:rPr>
          <w:t>Unitholders' Equity and Partnership</w:t>
        </w:r>
      </w:hyperlink>
      <w:r>
        <w:rPr>
          <w:rFonts w:ascii="Arial" w:cs="Arial" w:eastAsia="Arial" w:hAnsi="Arial"/>
          <w:sz w:val="18"/>
          <w:szCs w:val="18"/>
          <w:color w:val="auto"/>
        </w:rPr>
        <w:t xml:space="preserve"> </w:t>
      </w:r>
      <w:hyperlink w:anchor="page14">
        <w:r>
          <w:rPr>
            <w:rFonts w:ascii="Arial" w:cs="Arial" w:eastAsia="Arial" w:hAnsi="Arial"/>
            <w:sz w:val="18"/>
            <w:szCs w:val="18"/>
            <w:u w:val="single" w:color="auto"/>
            <w:color w:val="0000FF"/>
          </w:rPr>
          <w:t>Distributions</w:t>
        </w:r>
        <w:r>
          <w:rPr>
            <w:rFonts w:ascii="Arial" w:cs="Arial" w:eastAsia="Arial" w:hAnsi="Arial"/>
            <w:sz w:val="18"/>
            <w:szCs w:val="18"/>
            <w:color w:val="000000"/>
          </w:rPr>
          <w:t>.</w:t>
        </w:r>
      </w:hyperlink>
    </w:p>
    <w:p>
      <w:pPr>
        <w:spacing w:after="0" w:line="20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3180" w:type="dxa"/>
            <w:vAlign w:val="bottom"/>
            <w:gridSpan w:val="5"/>
          </w:tcPr>
          <w:p>
            <w:pPr>
              <w:jc w:val="right"/>
              <w:ind w:right="111"/>
              <w:spacing w:after="0"/>
              <w:rPr>
                <w:sz w:val="20"/>
                <w:szCs w:val="20"/>
                <w:color w:val="auto"/>
              </w:rPr>
            </w:pPr>
            <w:r>
              <w:rPr>
                <w:rFonts w:ascii="Arial" w:cs="Arial" w:eastAsia="Arial" w:hAnsi="Arial"/>
                <w:sz w:val="16"/>
                <w:szCs w:val="16"/>
                <w:b w:val="1"/>
                <w:bCs w:val="1"/>
                <w:color w:val="auto"/>
                <w:w w:val="97"/>
              </w:rPr>
              <w:t>(In thousands, except per unit amounts)</w:t>
            </w:r>
          </w:p>
        </w:tc>
        <w:tc>
          <w:tcPr>
            <w:tcW w:w="0" w:type="dxa"/>
            <w:vAlign w:val="bottom"/>
          </w:tcPr>
          <w:p>
            <w:pPr>
              <w:spacing w:after="0"/>
              <w:rPr>
                <w:sz w:val="1"/>
                <w:szCs w:val="1"/>
                <w:color w:val="auto"/>
              </w:rPr>
            </w:pP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period</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(3,020)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net gain (loss) allocated to participating securities</w:t>
            </w:r>
            <w:r>
              <w:rPr>
                <w:rFonts w:ascii="Arial" w:cs="Arial" w:eastAsia="Arial" w:hAnsi="Arial"/>
                <w:sz w:val="23"/>
                <w:szCs w:val="23"/>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1"/>
        </w:trPr>
        <w:tc>
          <w:tcPr>
            <w:tcW w:w="80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common unitholders</w:t>
            </w:r>
          </w:p>
        </w:tc>
        <w:tc>
          <w:tcPr>
            <w:tcW w:w="1060" w:type="dxa"/>
            <w:vAlign w:val="bottom"/>
            <w:tcBorders>
              <w:bottom w:val="single" w:sz="8" w:color="auto"/>
            </w:tcBorders>
            <w:shd w:val="clear" w:color="auto" w:fill="CCEEFF"/>
          </w:tcPr>
          <w:p>
            <w:pPr>
              <w:jc w:val="right"/>
              <w:ind w:right="854"/>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(3,044)</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(142,189)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67,822</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10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65,360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unit, basic</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income (loss) per common unit, diluted</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3" w:lineRule="exact"/>
        <w:rPr>
          <w:rFonts w:ascii="Arial" w:cs="Arial" w:eastAsia="Arial" w:hAnsi="Arial"/>
          <w:sz w:val="18"/>
          <w:szCs w:val="18"/>
          <w:color w:val="auto"/>
        </w:rPr>
      </w:pPr>
    </w:p>
    <w:p>
      <w:pPr>
        <w:ind w:left="340" w:hanging="332"/>
        <w:spacing w:after="0" w:line="323" w:lineRule="auto"/>
        <w:tabs>
          <w:tab w:leader="none" w:pos="271"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three months ended March 31, 2021, 112,436 potential common units were excluded from the computation of diluted earnings per common unit because their inclusion would have been anti-dilutive as a result of recording a net loss attributable to the common unitholders for the period.</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Partnership’s effective income tax rate was 0.1% for the three months ended March 31, 2021, and differed from amounts computed by applying the United States federal statutory tax rate to pre-tax income for the period, primarily due to net income attributable to the non-controlling interest and the impact of maintaining a valuation allowance on the Partnership’s deferred tax assets as discussed further below.</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For the three months ended March 31, 2021, the Partnership’s total income tax provision includes current and deferred tax expense as well as a deferred tax benefit resulting from a reduction to the valuation allowance due to pre-tax income for the period. As required by applicable financial accounting standards, the reduction in the valuation allowance was based on the Partnership’s assessment of all available evidence, both positive and negative, supporting realizability of its deferred tax assets. In light of those criteria for recognizing the tax benefit of deferred tax assets, the Partnership maintained a valuation allowance against its remaining deferred tax assets as of March 31, 2021.</w:t>
      </w:r>
    </w:p>
    <w:p>
      <w:pPr>
        <w:spacing w:after="0" w:line="20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Partnership’s effective income tax rate exceeded 100% for the three months ended March 31, 2020. Total income tax expense for the three months ended March 31, 2020 differed from amounts computed by applying the United States federal statutory tax rate to pre-tax income for the period primarily due to net income attributable to the non-controlling interest and the impact of recording a valuation allowance on the Partnership’s deferred tax assets during the first quarter of 2020.</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three months ended March 31, 2020, the Partnership recorded a discrete income tax expense of approximately $142.5 million related to application of a valuation allowance on the Partnership’s beginning-of-the-year deferred tax assets, which consist primarily of its investment in the Operating Company and federal net operating loss carryforwards. A valuation allowance was also applied against the year-to-date tax benefit resulting from the Partnership’s projected pretax loss for the year. The determination to record a valuation allowance was based on its assessment of all available evidence, both positive and negative, supporting realizability of the Partnership’s deferred tax assets, as required by applicable financial accounting standards. In light of those criteria for recognizing the tax benefit of deferred tax assets, the Partnership’s assessment resulted in recording a valuation allowance against its deferred tax assets as of March 31, 2020.</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American Rescue Plan Act was enacted on March 11, 2021, and the Coronavirus Aid, Relief, and Economic Security Act (“CARES Act”) was enacted on March 27, 2020, which included a number of provisions applicable to U.S. income taxes for corporations. The Partnership has considered the impact of this legislation in the period of enactment and concluded there was not a material impact to the Partnership’s current or deferred income tax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Partnership historically has used fixed price swap contracts, fixed price basis swap contracts and costless collars with corresponding put and call options to reduce price volatility associated with certain of its royalty income. 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20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crude oil derivative settlements based on New York Mercantile Exchange West Texas Intermediate pricing (Cushing).</w:t>
      </w:r>
    </w:p>
    <w:p>
      <w:pPr>
        <w:spacing w:after="0" w:line="19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guarantor subsidiaries; therefore, the Partnership is not required to post any collateral. The Partnership’s counterparties have been determined to have an acceptable credit risk; therefore, the Partnership does not require collateral from its counterparties.</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As of March 31, 2021, the Partnership had the following outstanding derivative contracts. When aggregating multiple contracts, the weighted average contract price is disclosed.</w:t>
      </w:r>
    </w:p>
    <w:tbl>
      <w:tblPr>
        <w:tblLayout w:type="fixed"/>
        <w:tblInd w:w="0" w:type="dxa"/>
        <w:tblCellMar>
          <w:top w:w="0" w:type="dxa"/>
          <w:left w:w="0" w:type="dxa"/>
          <w:bottom w:w="0" w:type="dxa"/>
          <w:right w:w="0" w:type="dxa"/>
        </w:tblCellMar>
      </w:tblPr>
      <w:tr>
        <w:trPr>
          <w:trHeight w:val="213"/>
        </w:trPr>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60" w:type="dxa"/>
            <w:vAlign w:val="bottom"/>
            <w:gridSpan w:val="3"/>
          </w:tcPr>
          <w:p>
            <w:pPr>
              <w:ind w:left="920"/>
              <w:spacing w:after="0"/>
              <w:rPr>
                <w:sz w:val="20"/>
                <w:szCs w:val="20"/>
                <w:color w:val="auto"/>
              </w:rPr>
            </w:pPr>
            <w:r>
              <w:rPr>
                <w:rFonts w:ascii="Arial" w:cs="Arial" w:eastAsia="Arial" w:hAnsi="Arial"/>
                <w:sz w:val="16"/>
                <w:szCs w:val="16"/>
                <w:b w:val="1"/>
                <w:bCs w:val="1"/>
                <w:color w:val="auto"/>
              </w:rPr>
              <w:t>Swaps</w:t>
            </w:r>
          </w:p>
        </w:tc>
        <w:tc>
          <w:tcPr>
            <w:tcW w:w="2200" w:type="dxa"/>
            <w:vAlign w:val="bottom"/>
            <w:gridSpan w:val="3"/>
          </w:tcPr>
          <w:p>
            <w:pPr>
              <w:ind w:left="800"/>
              <w:spacing w:after="0"/>
              <w:rPr>
                <w:sz w:val="20"/>
                <w:szCs w:val="20"/>
                <w:color w:val="auto"/>
              </w:rPr>
            </w:pPr>
            <w:r>
              <w:rPr>
                <w:rFonts w:ascii="Arial" w:cs="Arial" w:eastAsia="Arial" w:hAnsi="Arial"/>
                <w:sz w:val="16"/>
                <w:szCs w:val="16"/>
                <w:b w:val="1"/>
                <w:bCs w:val="1"/>
                <w:color w:val="auto"/>
              </w:rPr>
              <w:t>Collars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Calls</w:t>
            </w: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Type of</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Bbls/Mcf</w:t>
            </w:r>
          </w:p>
        </w:tc>
        <w:tc>
          <w:tcPr>
            <w:tcW w:w="1280" w:type="dxa"/>
            <w:vAlign w:val="bottom"/>
          </w:tcPr>
          <w:p>
            <w:pPr>
              <w:spacing w:after="0"/>
              <w:rPr>
                <w:sz w:val="13"/>
                <w:szCs w:val="13"/>
                <w:color w:val="auto"/>
              </w:rPr>
            </w:pPr>
          </w:p>
        </w:tc>
        <w:tc>
          <w:tcPr>
            <w:tcW w:w="1120" w:type="dxa"/>
            <w:vAlign w:val="bottom"/>
            <w:tcBorders>
              <w:top w:val="single" w:sz="8" w:color="auto"/>
            </w:tcBorders>
          </w:tcPr>
          <w:p>
            <w:pPr>
              <w:jc w:val="center"/>
              <w:ind w:left="17"/>
              <w:spacing w:after="0" w:line="158" w:lineRule="exact"/>
              <w:rPr>
                <w:sz w:val="20"/>
                <w:szCs w:val="20"/>
                <w:color w:val="auto"/>
              </w:rPr>
            </w:pPr>
            <w:r>
              <w:rPr>
                <w:rFonts w:ascii="Arial" w:cs="Arial" w:eastAsia="Arial" w:hAnsi="Arial"/>
                <w:sz w:val="16"/>
                <w:szCs w:val="16"/>
                <w:b w:val="1"/>
                <w:bCs w:val="1"/>
                <w:color w:val="auto"/>
                <w:w w:val="91"/>
              </w:rPr>
              <w:t>Weighted</w:t>
            </w:r>
          </w:p>
        </w:tc>
        <w:tc>
          <w:tcPr>
            <w:tcW w:w="1160" w:type="dxa"/>
            <w:vAlign w:val="bottom"/>
            <w:tcBorders>
              <w:top w:val="single" w:sz="8" w:color="auto"/>
            </w:tcBorders>
          </w:tcPr>
          <w:p>
            <w:pPr>
              <w:jc w:val="center"/>
              <w:ind w:left="17"/>
              <w:spacing w:after="0" w:line="158" w:lineRule="exact"/>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gridSpan w:val="2"/>
            <w:vMerge w:val="restart"/>
          </w:tcPr>
          <w:p>
            <w:pPr>
              <w:jc w:val="right"/>
              <w:ind w:right="70"/>
              <w:spacing w:after="0"/>
              <w:rPr>
                <w:sz w:val="20"/>
                <w:szCs w:val="20"/>
                <w:color w:val="auto"/>
              </w:rPr>
            </w:pPr>
            <w:r>
              <w:rPr>
                <w:rFonts w:ascii="Arial" w:cs="Arial" w:eastAsia="Arial" w:hAnsi="Arial"/>
                <w:sz w:val="16"/>
                <w:szCs w:val="16"/>
                <w:b w:val="1"/>
                <w:bCs w:val="1"/>
                <w:color w:val="auto"/>
                <w:w w:val="93"/>
              </w:rPr>
              <w:t>Settlement Month Settlement Year</w:t>
            </w: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Index</w:t>
            </w: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Average Fixed</w:t>
            </w: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 Floor</w:t>
            </w:r>
          </w:p>
        </w:tc>
        <w:tc>
          <w:tcPr>
            <w:tcW w:w="11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Average</w:t>
            </w: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Strike Price</w:t>
            </w:r>
          </w:p>
        </w:tc>
        <w:tc>
          <w:tcPr>
            <w:tcW w:w="0" w:type="dxa"/>
            <w:vAlign w:val="bottom"/>
          </w:tcPr>
          <w:p>
            <w:pPr>
              <w:spacing w:after="0"/>
              <w:rPr>
                <w:sz w:val="1"/>
                <w:szCs w:val="1"/>
                <w:color w:val="auto"/>
              </w:rPr>
            </w:pPr>
          </w:p>
        </w:tc>
      </w:tr>
      <w:tr>
        <w:trPr>
          <w:trHeight w:val="213"/>
        </w:trPr>
        <w:tc>
          <w:tcPr>
            <w:tcW w:w="2620" w:type="dxa"/>
            <w:vAlign w:val="bottom"/>
            <w:gridSpan w:val="2"/>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Per Day</w:t>
            </w:r>
          </w:p>
        </w:tc>
        <w:tc>
          <w:tcPr>
            <w:tcW w:w="1280" w:type="dxa"/>
            <w:vAlign w:val="bottom"/>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Price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Ceiling Price</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OIL</w:t>
            </w:r>
          </w:p>
        </w:tc>
        <w:tc>
          <w:tcPr>
            <w:tcW w:w="1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jc w:val="center"/>
              <w:spacing w:after="0"/>
              <w:rPr>
                <w:sz w:val="20"/>
                <w:szCs w:val="20"/>
                <w:color w:val="auto"/>
              </w:rPr>
            </w:pPr>
            <w:r>
              <w:rPr>
                <w:rFonts w:ascii="Arial" w:cs="Arial" w:eastAsia="Arial" w:hAnsi="Arial"/>
                <w:sz w:val="18"/>
                <w:szCs w:val="18"/>
                <w:color w:val="auto"/>
                <w:w w:val="92"/>
              </w:rPr>
              <w:t>Apr. - Dec.</w:t>
            </w:r>
          </w:p>
        </w:tc>
        <w:tc>
          <w:tcPr>
            <w:tcW w:w="122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WTI Cushing</w:t>
            </w:r>
          </w:p>
        </w:tc>
        <w:tc>
          <w:tcPr>
            <w:tcW w:w="1120" w:type="dxa"/>
            <w:vAlign w:val="bottom"/>
          </w:tcPr>
          <w:p>
            <w:pPr>
              <w:jc w:val="center"/>
              <w:ind w:left="17"/>
              <w:spacing w:after="0"/>
              <w:rPr>
                <w:sz w:val="20"/>
                <w:szCs w:val="20"/>
                <w:color w:val="auto"/>
              </w:rPr>
            </w:pPr>
            <w:r>
              <w:rPr>
                <w:rFonts w:ascii="Arial" w:cs="Arial" w:eastAsia="Arial" w:hAnsi="Arial"/>
                <w:sz w:val="18"/>
                <w:szCs w:val="18"/>
                <w:color w:val="auto"/>
                <w:w w:val="92"/>
              </w:rPr>
              <w:t>$—</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$43.05</w:t>
            </w: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page17">
        <w:r>
          <w:rPr>
            <w:rFonts w:ascii="Arial" w:cs="Arial" w:eastAsia="Arial" w:hAnsi="Arial"/>
            <w:sz w:val="18"/>
            <w:szCs w:val="18"/>
            <w:u w:val="single" w:color="auto"/>
            <w:color w:val="0000FF"/>
          </w:rPr>
          <w:t>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gains and losses on derivative instruments included in the condensed consolidated statements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10"/>
        </w:trPr>
        <w:tc>
          <w:tcPr>
            <w:tcW w:w="4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w w:val="95"/>
              </w:rPr>
              <w:t>2020</w:t>
            </w:r>
          </w:p>
        </w:tc>
      </w:tr>
      <w:tr>
        <w:trPr>
          <w:trHeight w:val="210"/>
        </w:trPr>
        <w:tc>
          <w:tcPr>
            <w:tcW w:w="4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32"/>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4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(31,504)</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Net cash payments on derivatives</w:t>
            </w:r>
          </w:p>
        </w:tc>
        <w:tc>
          <w:tcPr>
            <w:tcW w:w="4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(14,942)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890"/>
        </w:trPr>
        <w:tc>
          <w:tcPr>
            <w:tcW w:w="4120" w:type="dxa"/>
            <w:vAlign w:val="bottom"/>
          </w:tcPr>
          <w:p>
            <w:pPr>
              <w:spacing w:after="0"/>
              <w:rPr>
                <w:sz w:val="24"/>
                <w:szCs w:val="24"/>
                <w:color w:val="auto"/>
              </w:rPr>
            </w:pPr>
          </w:p>
        </w:tc>
        <w:tc>
          <w:tcPr>
            <w:tcW w:w="4240" w:type="dxa"/>
            <w:vAlign w:val="bottom"/>
          </w:tcPr>
          <w:p>
            <w:pPr>
              <w:jc w:val="right"/>
              <w:ind w:right="255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4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and liabilities are reported at fair value on a recurring basis,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ind w:right="40" w:firstLine="8"/>
        <w:spacing w:after="0" w:line="255"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in the Partnership’s condensed consolidated balance sheets as of March 31, 2021 and December 31, 2020. The net amounts are classified as current or noncurrent based on their anticipated settlement dates.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6"/>
                <w:szCs w:val="16"/>
                <w:b w:val="1"/>
                <w:bCs w:val="1"/>
                <w:color w:val="auto"/>
                <w:w w:val="92"/>
              </w:rPr>
              <w:t>As of March 31, 2021</w:t>
            </w: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56"/>
              <w:spacing w:after="0"/>
              <w:rPr>
                <w:sz w:val="20"/>
                <w:szCs w:val="20"/>
                <w:color w:val="auto"/>
              </w:rPr>
            </w:pPr>
            <w:r>
              <w:rPr>
                <w:rFonts w:ascii="Arial" w:cs="Arial" w:eastAsia="Arial" w:hAnsi="Arial"/>
                <w:sz w:val="16"/>
                <w:szCs w:val="16"/>
                <w:b w:val="1"/>
                <w:bCs w:val="1"/>
                <w:color w:val="auto"/>
                <w:w w:val="92"/>
              </w:rPr>
              <w:t>Total Gross Fair</w:t>
            </w:r>
          </w:p>
        </w:tc>
        <w:tc>
          <w:tcPr>
            <w:tcW w:w="160" w:type="dxa"/>
            <w:vAlign w:val="bottom"/>
          </w:tcPr>
          <w:p>
            <w:pPr>
              <w:spacing w:after="0"/>
              <w:rPr>
                <w:sz w:val="13"/>
                <w:szCs w:val="13"/>
                <w:color w:val="auto"/>
              </w:rPr>
            </w:pPr>
          </w:p>
        </w:tc>
        <w:tc>
          <w:tcPr>
            <w:tcW w:w="1380" w:type="dxa"/>
            <w:vAlign w:val="bottom"/>
          </w:tcPr>
          <w:p>
            <w:pPr>
              <w:jc w:val="center"/>
              <w:ind w:right="75"/>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right"/>
              <w:ind w:right="175"/>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94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left="776"/>
              <w:spacing w:after="0"/>
              <w:rPr>
                <w:sz w:val="20"/>
                <w:szCs w:val="20"/>
                <w:color w:val="auto"/>
              </w:rPr>
            </w:pPr>
            <w:r>
              <w:rPr>
                <w:rFonts w:ascii="Arial" w:cs="Arial" w:eastAsia="Arial" w:hAnsi="Arial"/>
                <w:sz w:val="16"/>
                <w:szCs w:val="16"/>
                <w:b w:val="1"/>
                <w:bCs w:val="1"/>
                <w:color w:val="auto"/>
                <w:w w:val="90"/>
              </w:rPr>
              <w:t>(In thousands)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43,697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43,697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center"/>
              <w:ind w:right="615"/>
              <w:spacing w:after="0"/>
              <w:rPr>
                <w:sz w:val="20"/>
                <w:szCs w:val="20"/>
                <w:color w:val="auto"/>
              </w:rPr>
            </w:pPr>
            <w:r>
              <w:rPr>
                <w:rFonts w:ascii="Arial" w:cs="Arial" w:eastAsia="Arial" w:hAnsi="Arial"/>
                <w:sz w:val="16"/>
                <w:szCs w:val="16"/>
                <w:b w:val="1"/>
                <w:bCs w:val="1"/>
                <w:color w:val="auto"/>
                <w:w w:val="91"/>
              </w:rPr>
              <w:t>As of December 31, 2020</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36"/>
              <w:spacing w:after="0"/>
              <w:rPr>
                <w:sz w:val="20"/>
                <w:szCs w:val="20"/>
                <w:color w:val="auto"/>
              </w:rPr>
            </w:pPr>
            <w:r>
              <w:rPr>
                <w:rFonts w:ascii="Arial" w:cs="Arial" w:eastAsia="Arial" w:hAnsi="Arial"/>
                <w:sz w:val="16"/>
                <w:szCs w:val="16"/>
                <w:b w:val="1"/>
                <w:bCs w:val="1"/>
                <w:color w:val="auto"/>
                <w:w w:val="91"/>
              </w:rPr>
              <w:t>Total Gross Fair</w:t>
            </w:r>
          </w:p>
        </w:tc>
        <w:tc>
          <w:tcPr>
            <w:tcW w:w="140" w:type="dxa"/>
            <w:vAlign w:val="bottom"/>
          </w:tcPr>
          <w:p>
            <w:pPr>
              <w:spacing w:after="0"/>
              <w:rPr>
                <w:sz w:val="13"/>
                <w:szCs w:val="13"/>
                <w:color w:val="auto"/>
              </w:rPr>
            </w:pPr>
          </w:p>
        </w:tc>
        <w:tc>
          <w:tcPr>
            <w:tcW w:w="138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right"/>
              <w:ind w:right="175"/>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3</w:t>
            </w:r>
          </w:p>
        </w:tc>
        <w:tc>
          <w:tcPr>
            <w:tcW w:w="9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left="736"/>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28,933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28,933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(2,340)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26,593</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4"/>
          </w:tcPr>
          <w:p>
            <w:pPr>
              <w:ind w:left="94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316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4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57,000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84,000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84,000</w:t>
            </w: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471,911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471,644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501,439</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March 31, 2021 quoted market price, a Level 1 classification 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has other financial instruments consisting of cash and cash equivalents, royalty income receivable, other current assets, accounts payable and accrued liabilities. The carrying value of these instruments approximate their fair value because of the short-term nature of the instruments.</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6"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including those that arise from interpretation of federal and state laws and regulations affecting the crude oil and natural gas industry. These proceedings, disputes and claims may include differing interpretations as to the prices at which crude oil and natural gas sales may be made, the prices at which royalty owners may be paid for production from their leases, title claims, environmental issues and other matters.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660" w:right="8860" w:hanging="652"/>
        <w:spacing w:after="0" w:line="566" w:lineRule="auto"/>
        <w:tabs>
          <w:tab w:leader="none" w:pos="417"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Distribution</w:t>
      </w:r>
    </w:p>
    <w:p>
      <w:pPr>
        <w:ind w:firstLine="648"/>
        <w:spacing w:after="0" w:line="277" w:lineRule="auto"/>
        <w:rPr>
          <w:sz w:val="20"/>
          <w:szCs w:val="20"/>
          <w:color w:val="auto"/>
        </w:rPr>
      </w:pPr>
      <w:r>
        <w:rPr>
          <w:rFonts w:ascii="Arial" w:cs="Arial" w:eastAsia="Arial" w:hAnsi="Arial"/>
          <w:sz w:val="18"/>
          <w:szCs w:val="18"/>
          <w:color w:val="auto"/>
        </w:rPr>
        <w:t>On April 27, 2021, the board of directors of the General Partner approved a cash distribution for the first quarter of 2021 of $0.25 per common unit, payable on May 20, 2021, to eligible unitholders of record at the close of business on May 13,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16">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2020.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31">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4">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operate in one reportable segment. Since May 10, 2018, we have been treated as a corporation for U.S. federal income tax purposes.</w:t>
      </w:r>
    </w:p>
    <w:p>
      <w:pPr>
        <w:spacing w:after="0" w:line="211"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our general partner held a 100% general partner interest in us, and Diamondback owned 731,500 of our common units and beneficially owned all of our 90,709,946 outstanding Class B units, representing approximately 59% of our total units outstanding. Diamondback also owns and controls our general partner.</w:t>
      </w:r>
    </w:p>
    <w:p>
      <w:pPr>
        <w:spacing w:after="0" w:line="207"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COVID-19 and Commodity Prices</w:t>
      </w:r>
    </w:p>
    <w:p>
      <w:pPr>
        <w:spacing w:after="0" w:line="252" w:lineRule="exact"/>
        <w:rPr>
          <w:rFonts w:ascii="Arial" w:cs="Arial" w:eastAsia="Arial" w:hAnsi="Arial"/>
          <w:sz w:val="17"/>
          <w:szCs w:val="17"/>
          <w:i w:val="1"/>
          <w:iCs w:val="1"/>
          <w:color w:val="auto"/>
        </w:rPr>
      </w:pPr>
    </w:p>
    <w:p>
      <w:pPr>
        <w:jc w:val="both"/>
        <w:ind w:firstLine="648"/>
        <w:spacing w:after="0" w:line="253" w:lineRule="auto"/>
        <w:rPr>
          <w:sz w:val="20"/>
          <w:szCs w:val="20"/>
          <w:color w:val="auto"/>
        </w:rPr>
      </w:pPr>
      <w:r>
        <w:rPr>
          <w:rFonts w:ascii="Arial" w:cs="Arial" w:eastAsia="Arial" w:hAnsi="Arial"/>
          <w:sz w:val="17"/>
          <w:szCs w:val="17"/>
          <w:color w:val="auto"/>
        </w:rPr>
        <w:t>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ongoing COVID-19 pandemic. However, certain restrictions on conducting business that were implemented in response to the COVID-19 pandemic have been lifted as improved treatments and vaccinations for COVID-19 have been rolled-out globally since late 2020. As a result, oil and natural gas market prices have improved in response to the increase in demand. During 2020 and 2021, the posted price for West Texas intermediate light sweet crude oil, or NYMEX WTI, has ranged from $(37.63) to $66.09 Bbl, and the NYMEX Henry Hub price of natural gas has ranged from $1.48 to $3.35 per MMBtu. On April 12, 2021, the closing NYMEX WTI price for crude oil was $59.70 per Bbl and the closing NYMEX Henry Hub price of natural gas was $2.56 per MMBtu. Commodity prices have historically been volatile and we cannot predict events which may lead to future fluctuations in these prices.</w:t>
      </w:r>
    </w:p>
    <w:p>
      <w:pPr>
        <w:spacing w:after="0" w:line="211" w:lineRule="exact"/>
        <w:rPr>
          <w:rFonts w:ascii="Arial" w:cs="Arial" w:eastAsia="Arial" w:hAnsi="Arial"/>
          <w:sz w:val="17"/>
          <w:szCs w:val="17"/>
          <w:i w:val="1"/>
          <w:iCs w:val="1"/>
          <w:color w:val="auto"/>
        </w:rPr>
      </w:pPr>
    </w:p>
    <w:p>
      <w:pPr>
        <w:jc w:val="both"/>
        <w:ind w:firstLine="648"/>
        <w:spacing w:after="0" w:line="243" w:lineRule="auto"/>
        <w:rPr>
          <w:sz w:val="20"/>
          <w:szCs w:val="20"/>
          <w:color w:val="auto"/>
        </w:rPr>
      </w:pPr>
      <w:r>
        <w:rPr>
          <w:rFonts w:ascii="Arial" w:cs="Arial" w:eastAsia="Arial" w:hAnsi="Arial"/>
          <w:sz w:val="18"/>
          <w:szCs w:val="18"/>
          <w:color w:val="auto"/>
        </w:rPr>
        <w:t>As a result of the reduction in crude oil demand caused by factors discussed above, Diamondback and other operators on properties in which we have mineral and royalty interests lowered their 2020 capital budgets and production guidance however, Diamondback and certain of our other operators have since restored curtailed production. We cannot reasonably predict whether production levels will remain at current levels or the impact the full extent of the events above and subsequent recovery may have on our industry and our business.</w:t>
      </w:r>
    </w:p>
    <w:p>
      <w:pPr>
        <w:spacing w:after="0" w:line="215" w:lineRule="exact"/>
        <w:rPr>
          <w:rFonts w:ascii="Arial" w:cs="Arial" w:eastAsia="Arial" w:hAnsi="Arial"/>
          <w:sz w:val="17"/>
          <w:szCs w:val="17"/>
          <w:i w:val="1"/>
          <w:iCs w:val="1"/>
          <w:color w:val="auto"/>
        </w:rPr>
      </w:pPr>
    </w:p>
    <w:p>
      <w:pPr>
        <w:jc w:val="both"/>
        <w:ind w:firstLine="648"/>
        <w:spacing w:after="0" w:line="262" w:lineRule="auto"/>
        <w:rPr>
          <w:sz w:val="20"/>
          <w:szCs w:val="20"/>
          <w:color w:val="auto"/>
        </w:rPr>
      </w:pPr>
      <w:r>
        <w:rPr>
          <w:rFonts w:ascii="Arial" w:cs="Arial" w:eastAsia="Arial" w:hAnsi="Arial"/>
          <w:sz w:val="17"/>
          <w:szCs w:val="17"/>
          <w:color w:val="auto"/>
        </w:rPr>
        <w:t>Based on the results of the quarterly ceiling test, we were not required to record an impairment on our proved oil and natural gas interests for the quarter ended March 31, 2021. If commodity prices fall below current levels, we may be required to record impairments in future periods and such impairments could be material. Further, if commodity prices fail to stabilize or decrease further, our production, proved reserves and cash flows will be adversely impacted. Our business may be also further adversely impacted by any pipeline capacity and storage constraints.</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 Update</w:t>
      </w:r>
    </w:p>
    <w:p>
      <w:pPr>
        <w:spacing w:after="0" w:line="225" w:lineRule="exact"/>
        <w:rPr>
          <w:rFonts w:ascii="Arial" w:cs="Arial" w:eastAsia="Arial" w:hAnsi="Arial"/>
          <w:sz w:val="17"/>
          <w:szCs w:val="17"/>
          <w:i w:val="1"/>
          <w:iCs w:val="1"/>
          <w:color w:val="auto"/>
        </w:rPr>
      </w:pPr>
    </w:p>
    <w:p>
      <w:pPr>
        <w:jc w:val="both"/>
        <w:ind w:firstLine="648"/>
        <w:spacing w:after="0" w:line="219" w:lineRule="auto"/>
        <w:rPr>
          <w:sz w:val="20"/>
          <w:szCs w:val="20"/>
          <w:color w:val="auto"/>
        </w:rPr>
      </w:pPr>
      <w:r>
        <w:rPr>
          <w:rFonts w:ascii="Arial" w:cs="Arial" w:eastAsia="Arial" w:hAnsi="Arial"/>
          <w:sz w:val="18"/>
          <w:szCs w:val="18"/>
          <w:color w:val="auto"/>
        </w:rPr>
        <w:t>We had immaterial additions to mineral and royalty interests during the first quarter of 2021, leaving our footprint of mineral and royalty interests at a total of 24,350 royalty acres at March 31, 2021.</w:t>
      </w:r>
    </w:p>
    <w:p>
      <w:pPr>
        <w:spacing w:after="0" w:line="230"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52" w:lineRule="exact"/>
        <w:rPr>
          <w:rFonts w:ascii="Arial" w:cs="Arial" w:eastAsia="Arial" w:hAnsi="Arial"/>
          <w:sz w:val="17"/>
          <w:szCs w:val="17"/>
          <w:i w:val="1"/>
          <w:iCs w:val="1"/>
          <w:color w:val="auto"/>
        </w:rPr>
      </w:pPr>
    </w:p>
    <w:p>
      <w:pPr>
        <w:jc w:val="both"/>
        <w:ind w:left="40" w:firstLine="608"/>
        <w:spacing w:after="0" w:line="241" w:lineRule="auto"/>
        <w:rPr>
          <w:sz w:val="20"/>
          <w:szCs w:val="20"/>
          <w:color w:val="auto"/>
        </w:rPr>
      </w:pPr>
      <w:r>
        <w:rPr>
          <w:rFonts w:ascii="Arial" w:cs="Arial" w:eastAsia="Arial" w:hAnsi="Arial"/>
          <w:sz w:val="18"/>
          <w:szCs w:val="18"/>
          <w:color w:val="auto"/>
        </w:rPr>
        <w:t>On April 27, 2021, the board of directors of our general partner declared a cash distribution for the three months ended March 31, 2021 of $0.25 per common unit, increasing our distribution for the first quarter of 2021 to 60% of cash available for distribution. The distribution is payable on May 20, 2021 to eligible common unitholders of record at the close of business on May 13, 2021. With net debt decreasing in the third quarter of 2020 from peak levels due to strong free cash flow generation, as well as an improved forward outlook for production, realized pricing and free cash flow yield, driven primarily by</w:t>
      </w:r>
    </w:p>
    <w:p>
      <w:pPr>
        <w:spacing w:after="0" w:line="200" w:lineRule="exact"/>
        <w:rPr>
          <w:rFonts w:ascii="Arial" w:cs="Arial" w:eastAsia="Arial" w:hAnsi="Arial"/>
          <w:sz w:val="17"/>
          <w:szCs w:val="17"/>
          <w:i w:val="1"/>
          <w:iCs w:val="1"/>
          <w:color w:val="auto"/>
        </w:rPr>
      </w:pPr>
    </w:p>
    <w:p>
      <w:pPr>
        <w:spacing w:after="0" w:line="327"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line="261" w:lineRule="auto"/>
        <w:rPr>
          <w:sz w:val="20"/>
          <w:szCs w:val="20"/>
          <w:color w:val="auto"/>
        </w:rPr>
      </w:pPr>
      <w:r>
        <w:rPr>
          <w:rFonts w:ascii="Arial" w:cs="Arial" w:eastAsia="Arial" w:hAnsi="Arial"/>
          <w:sz w:val="18"/>
          <w:szCs w:val="18"/>
          <w:color w:val="auto"/>
        </w:rPr>
        <w:t>Diamondback’s anticipated development plan and benefiting from our hedging arrangements rolling off in 2021, we expect to continue to increase our return on capital to unitholders in future quarters.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business has rebounded strongly from the unprecedented volatility experienced throughout 2020 as commodity prices increased and activity has returned to our acreage. There are currently 29 rigs operating on our mineral and royalty acreage, four of which are operated by Diamondback. Our production and free cash flow outlook is expected to be driven by Diamondback’s continued focus on developing our acreage, as well as our exposure to other well-capitalized operators in the Permian Basin. Despite the adversity presented by Winter Storm Uri in February 2021, we produced a strong first quarter as production fully returned from the negative impacts of the severe weather and Diamondback quickly resumed completion operations. We expect production to remain strong throughout the remainder of 2021, particularly in the second half of 2021, as Diamondback plans to complete more wells with a higher interest net to us and third-party activity is expected to continue to strengthen relative to the levels experienced over the past several quarters. As a result, we have increased our production outlook for the full year 2021, based on our visibility into Diamondback’s expected forward development plan, which includes several large pads in which we will own a significant royalty interest.</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gross well information as of April 12,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Diamondback</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Third Party</w:t>
            </w:r>
          </w:p>
        </w:tc>
        <w:tc>
          <w:tcPr>
            <w:tcW w:w="110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Horizontal wells turned to production (first quarter 2021)</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4.2 %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Horizontal producing well count (as of April 12, 2021):</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Horizontal active development well count (as of April 12, 2021)</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Line of sight wells (as of April 12, 2021)</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lateral length of 10,584.</w:t>
      </w:r>
    </w:p>
    <w:p>
      <w:pPr>
        <w:spacing w:after="0" w:line="11" w:lineRule="exact"/>
        <w:rPr>
          <w:rFonts w:ascii="Arial" w:cs="Arial" w:eastAsia="Arial" w:hAnsi="Arial"/>
          <w:sz w:val="18"/>
          <w:szCs w:val="18"/>
          <w:color w:val="auto"/>
        </w:rPr>
      </w:pPr>
    </w:p>
    <w:p>
      <w:pPr>
        <w:ind w:left="260" w:hanging="252"/>
        <w:spacing w:after="0" w:line="234" w:lineRule="auto"/>
        <w:tabs>
          <w:tab w:leader="none" w:pos="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total 471 gross wells currently in the process of active development are those wells that have been spud and are expected to be turned to production within approximately the next six to eight months.</w:t>
      </w:r>
    </w:p>
    <w:p>
      <w:pPr>
        <w:spacing w:after="0" w:line="1" w:lineRule="exact"/>
        <w:rPr>
          <w:rFonts w:ascii="Arial" w:cs="Arial" w:eastAsia="Arial" w:hAnsi="Arial"/>
          <w:sz w:val="18"/>
          <w:szCs w:val="18"/>
          <w:color w:val="auto"/>
        </w:rPr>
      </w:pPr>
    </w:p>
    <w:p>
      <w:pPr>
        <w:jc w:val="both"/>
        <w:ind w:left="260" w:hanging="252"/>
        <w:spacing w:after="0" w:line="256" w:lineRule="auto"/>
        <w:tabs>
          <w:tab w:leader="none" w:pos="27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total 490 gross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current depressed oil prices.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3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78,344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72,200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3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w:t>
            </w: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76,829</w:t>
            </w: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Lease bonus income</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35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income</w:t>
            </w:r>
          </w:p>
        </w:tc>
        <w:tc>
          <w:tcPr>
            <w:tcW w:w="3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78,692</w:t>
            </w: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Depletion</w:t>
            </w: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 expenses</w:t>
            </w:r>
          </w:p>
        </w:tc>
        <w:tc>
          <w:tcPr>
            <w:tcW w:w="3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35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33,455</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45,237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Gain (loss) on revaluation of investment</w:t>
            </w:r>
          </w:p>
        </w:tc>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(10,120)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35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net</w:t>
            </w:r>
          </w:p>
        </w:tc>
        <w:tc>
          <w:tcPr>
            <w:tcW w:w="3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(26,621)</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142,466</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18,319</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3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(142,169)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8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2020</w:t>
            </w: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1,587</w:t>
            </w: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8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r>
      <w:tr>
        <w:trPr>
          <w:trHeight w:val="270"/>
        </w:trPr>
        <w:tc>
          <w:tcPr>
            <w:tcW w:w="8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8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Average daily oil volumes (BO/d)</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17,441</w:t>
            </w:r>
          </w:p>
        </w:tc>
      </w:tr>
      <w:tr>
        <w:trPr>
          <w:trHeight w:val="230"/>
        </w:trPr>
        <w:tc>
          <w:tcPr>
            <w:tcW w:w="8320" w:type="dxa"/>
            <w:vAlign w:val="bottom"/>
          </w:tcPr>
          <w:p>
            <w:pPr>
              <w:ind w:left="180"/>
              <w:spacing w:after="0" w:line="230" w:lineRule="exact"/>
              <w:rPr>
                <w:sz w:val="20"/>
                <w:szCs w:val="20"/>
                <w:color w:val="auto"/>
              </w:rPr>
            </w:pPr>
            <w:r>
              <w:rPr>
                <w:rFonts w:ascii="Arial" w:cs="Arial" w:eastAsia="Arial" w:hAnsi="Arial"/>
                <w:sz w:val="18"/>
                <w:szCs w:val="18"/>
                <w:color w:val="auto"/>
              </w:rPr>
              <w:t>Average daily combined volumes (BOE/d)</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27,575</w:t>
            </w:r>
          </w:p>
        </w:tc>
      </w:tr>
      <w:tr>
        <w:trPr>
          <w:trHeight w:val="270"/>
        </w:trPr>
        <w:tc>
          <w:tcPr>
            <w:tcW w:w="8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16"/>
        </w:trPr>
        <w:tc>
          <w:tcPr>
            <w:tcW w:w="83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Average sales prices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rPr>
              <w:t>Combined ($/BOE)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30.62</w:t>
            </w:r>
          </w:p>
        </w:tc>
      </w:tr>
      <w:tr>
        <w:trPr>
          <w:trHeight w:val="270"/>
        </w:trPr>
        <w:tc>
          <w:tcPr>
            <w:tcW w:w="8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832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45.49</w:t>
            </w:r>
          </w:p>
        </w:tc>
      </w:tr>
      <w:tr>
        <w:trPr>
          <w:trHeight w:val="229"/>
        </w:trPr>
        <w:tc>
          <w:tcPr>
            <w:tcW w:w="8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832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30"/>
        </w:trPr>
        <w:tc>
          <w:tcPr>
            <w:tcW w:w="83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r>
      <w:tr>
        <w:trPr>
          <w:trHeight w:val="270"/>
        </w:trPr>
        <w:tc>
          <w:tcPr>
            <w:tcW w:w="8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8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9.82</w:t>
            </w:r>
          </w:p>
        </w:tc>
      </w:tr>
    </w:tbl>
    <w:p>
      <w:pPr>
        <w:spacing w:after="0" w:line="6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volumes and average sales prices presented are based on actual production volumes and not calculated utilizing the rounded production volumes presented in the table above.</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liquids and natural gas production volumes sold and average prices received for those volumes.</w:t>
      </w:r>
    </w:p>
    <w:p>
      <w:pPr>
        <w:spacing w:after="0" w:line="2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increase in average prices received during the three months ended March 31, 2021 as compared to the same period in 2020 contributed to $29.0 million of the total $19.7 million increase in royalty income. This was slightly offset by a 7% decrease in combined volumes sold by our operators as compared to the three months ended March 31, 2020 primarily resulting from the recent winter storms in the Permian Basin. The storms caused the loss of approximately four to five days of total net production during February 2021 for Diamondback operated properties, with a slightly higher negative impact expected for third party operated properties. Diamondback has indicated it expects to make up these production losses throughout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production and ad valorem taxes for the three months ended March 31, 2021 and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Three Months Ended March 31,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Royalty Income</w:t>
            </w: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4.7 %</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8.0 %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Production taxes as a percentage of royalty income for the three months ended March 31, 2021 remained consistent with the three months ended March 31, 2020. Ad valorem taxes as a percentage of royalty income for these same periods in 2021 compared to 2020 decreased primarily due to improved average sales prices, while the tax valuation of oil and natural gas interest remained fairly flat.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Depletion expense increased $0.2 million, or 1%, for the three months ended March 31, 2021 compared to the same period in 2020. The average depletion rate increased to $10.61 per BOE for the three months ended March 31, 2021 compared to $9.82 per BOE for the three months ended March 31, 2020. This rate increase largely resulted from lower SEC oil prices utilized in the reserve calculations in the 2021 period, shortening the economic life of the reserve base and resulted in lower projected remaining reserve volumes on our wells.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interest expense for the three months ended March 31, 2021 and 2020 totaled $7.9 million and $9.0 million, respectively. The decrease of $1.1 million was due primarily to our repayment of borrowings under the Operating Company’s revolving credit facility and our repurchase of $20.1 million of the Notes during the second and third quarters of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recorded a loss on derivative instruments for the three months ended March 31, 2021 and 2020 of $31.5 million and $7.9 million, respectively, which includes cash payments of $14.9 million and $0.5 million on settlements of commodity derivative contracts during the respective periods.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Gain (Loss) on Revaluation of Investment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did not record a gain or loss on revaluation of investment for the three months ended March 31, 2021, as we divested our equity interest in a limited partnership during the third and fourth quarters of 2020. We recorded a loss on revaluation of investment of $10.1 million for the three months ended March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recorded an immaterial income tax expense for the three months ended March 31, 2021 due to maintaining a valuation allowance against our deferred tax assets, partially offset by current income tax expense for the period, and recorded income tax expense of $142.5 million for the three months ended March 31, 2020 due to recording a valuation allowance against our deferred tax assets.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Adjusted EBITDA is a supplemental non-GAAP financial measure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period to period without regard to our financing methods or capital structure. In addition, management uses Adjusted EBITDA to evaluate cash flow available to pay distributions to our common unitholders.</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define Adjusted EBITDA as net income (loss) attributable to Viper Energy Partners LP plus net income (loss) attributable to non-controlling interest (“net income (loss)”) before interest expense, net, non-cash unit-based compensation expense, depletion expense, impairment expense, (gain) loss on revaluation of investment, non-cash (gain) loss on derivative instruments, and provision for (benefit from) income taxes, if any.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Certain items excluded from Adjusted EBITDA are significant components in understanding and assessing a company’s financial performance, such as a company’s cost of capital and tax structure, as well as historic costs of depreciable assets, none of which are components of Adjusted EBITDA.</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GAAP measure most directly comparable to Adjusted EBITDA is net income. However, Adjusted EBITDA is not a measure of net income (loss) as determined by GAAP and should not be considered an alternative to, or more meaningful than, net income (loss), royalty income, cash flow from operating activities or any other measure of financial performance or liquidity presented as determined in accordance with GAAP. Our computations of Adjusted EBITDA excludes some, but not all, items that affect net income (loss), and these measures may vary from those of other companies. As a result, Adjusted EBITDA as presented below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the GAAP financial measure of net income (loss) to the non-GAAP financial measures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and cash available for distribution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r>
      <w:tr>
        <w:trPr>
          <w:trHeight w:val="209"/>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18"/>
                <w:szCs w:val="18"/>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(142,169)</w:t>
            </w:r>
          </w:p>
        </w:tc>
      </w:tr>
      <w:tr>
        <w:trPr>
          <w:trHeight w:val="229"/>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(123,850)</w:t>
            </w:r>
          </w:p>
        </w:tc>
      </w:tr>
      <w:tr>
        <w:trPr>
          <w:trHeight w:val="229"/>
        </w:trPr>
        <w:tc>
          <w:tcPr>
            <w:tcW w:w="826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8,963</w:t>
            </w: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unit-based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Depletion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24,642</w:t>
            </w: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loss on revaluation of investment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w:t>
            </w: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Non-cash (gain) loss on derivative instruments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7,489</w:t>
            </w: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142,466</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Consolidated Adjusted EBITDA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73,517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70,217</w:t>
            </w: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Less: Adjusted EBITDA attributable to non-controlling interest</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40,175</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Adjusted EBITDA attributable to Viper Energy Partners LP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Adjustments to reconcile Adjusted EBITDA to cash available for distribution: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2"/>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Debt service, contractual obligations, fixed charges and reserves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(3,383)</w:t>
            </w: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tax withholding on vested common units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Distribution equivalent rights payments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Preferred distributions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available for distribution to Viper Energy Partners LP unitholders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Common limited partner units outstanding</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67,831</w:t>
            </w:r>
          </w:p>
        </w:tc>
      </w:tr>
      <w:tr>
        <w:trPr>
          <w:trHeight w:val="270"/>
        </w:trPr>
        <w:tc>
          <w:tcPr>
            <w:tcW w:w="8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available for distribution per limited partner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per unit approved for distribution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Does not take into account special income allocation consideration.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52" w:lineRule="exact"/>
        <w:rPr>
          <w:sz w:val="20"/>
          <w:szCs w:val="20"/>
          <w:color w:val="auto"/>
        </w:rPr>
      </w:pPr>
    </w:p>
    <w:p>
      <w:pPr>
        <w:jc w:val="both"/>
        <w:ind w:firstLine="648"/>
        <w:spacing w:after="0" w:line="261" w:lineRule="auto"/>
        <w:rPr>
          <w:rFonts w:ascii="Arial" w:cs="Arial" w:eastAsia="Arial" w:hAnsi="Arial"/>
          <w:sz w:val="18"/>
          <w:szCs w:val="18"/>
          <w:color w:val="auto"/>
        </w:rPr>
      </w:pPr>
      <w:r>
        <w:rPr>
          <w:rFonts w:ascii="Arial" w:cs="Arial" w:eastAsia="Arial" w:hAnsi="Arial"/>
          <w:sz w:val="18"/>
          <w:szCs w:val="18"/>
          <w:color w:val="auto"/>
        </w:rPr>
        <w:t>The distribution for the first quarter of 2021 of $0.25 per common unit is payable on May 20, 2021 to common unitholders of record at the close of business on May 13, 2021. See Note 7—</w:t>
      </w:r>
      <w:hyperlink w:anchor="page14">
        <w:r>
          <w:rPr>
            <w:rFonts w:ascii="Arial" w:cs="Arial" w:eastAsia="Arial" w:hAnsi="Arial"/>
            <w:sz w:val="18"/>
            <w:szCs w:val="18"/>
            <w:u w:val="single" w:color="auto"/>
            <w:color w:val="0000FF"/>
          </w:rPr>
          <w:t>Unitholders' Equity and Distributions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our distributions.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primary sources of liquidity have been cash flows from operations, proceeds from sales of non-core assets and investments, equity and debt offerings and borrowings under our credit agreement. Our primary uses of cash have been distributions to our unitholders, repayment of debt and capital expenditures for the acquisition of our mineral interests and royalty interests in oil and natural gas properties, and repurchases of our common units. We intend to finance future expenditures through a combination of cash on hand, borrowings under our credit agreement, issuance of common units and, subject to market conditions and other factors, proceeds from one or more capital market transactions, which may include debt or equity offerings.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generate cash is subject to several factors, some of which are beyond our control, including commodity prices and general economic, financial, competitive, legislative, regulatory and other factors, including extreme weather conditions, such as the recent severe winter storms in the Permian Basin that impacted production volumes on our mineral and royalty acreage. Continued prolonged volatility in the capital, financial and/or credit markets, depressed commodity prices and/or adverse macroeconomic conditions may limit our access to, or increase our cost of, capital or make capital unavailable on terms acceptable to us or at all.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w w:val="95"/>
              </w:rPr>
              <w:t>2020</w:t>
            </w:r>
          </w:p>
        </w:tc>
      </w:tr>
      <w:tr>
        <w:trPr>
          <w:trHeight w:val="209"/>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34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54,659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96,111</w:t>
            </w:r>
          </w:p>
        </w:tc>
      </w:tr>
      <w:tr>
        <w:trPr>
          <w:trHeight w:val="229"/>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(64,626)</w:t>
            </w:r>
          </w:p>
        </w:tc>
      </w:tr>
      <w:tr>
        <w:trPr>
          <w:trHeight w:val="230"/>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76" w:lineRule="auto"/>
        <w:rPr>
          <w:rFonts w:ascii="Arial" w:cs="Arial" w:eastAsia="Arial" w:hAnsi="Arial"/>
          <w:sz w:val="16"/>
          <w:szCs w:val="16"/>
          <w:color w:val="auto"/>
        </w:rPr>
      </w:pPr>
      <w:r>
        <w:rPr>
          <w:rFonts w:ascii="Arial" w:cs="Arial" w:eastAsia="Arial" w:hAnsi="Arial"/>
          <w:sz w:val="16"/>
          <w:szCs w:val="16"/>
          <w:color w:val="auto"/>
        </w:rPr>
        <w:t>Our operating cash flow is sensitive to many variables, the most significant of which are the volatility of prices for oil and natural gas and the volume of oil and natural gas sold by our producers. Prices for these commodities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The decrease in net cash provided by operating activities during the three months ended March 31, 2021, was primarily due to an increase in cash paid for derivative settlements and changes in our working capital accounts, most notably through an increase in our accounts receivable. These were partially offset by the increase in royalty income as discussed in “—</w:t>
      </w:r>
      <w:hyperlink w:anchor="page22">
        <w:r>
          <w:rPr>
            <w:rFonts w:ascii="Arial" w:cs="Arial" w:eastAsia="Arial" w:hAnsi="Arial"/>
            <w:sz w:val="16"/>
            <w:szCs w:val="16"/>
            <w:u w:val="single" w:color="auto"/>
            <w:color w:val="0000FF"/>
          </w:rPr>
          <w:t>Results of Operations</w:t>
        </w:r>
      </w:hyperlink>
      <w:r>
        <w:rPr>
          <w:rFonts w:ascii="Arial" w:cs="Arial" w:eastAsia="Arial" w:hAnsi="Arial"/>
          <w:sz w:val="16"/>
          <w:szCs w:val="16"/>
          <w:color w:val="auto"/>
        </w:rPr>
        <w:t>” above.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2021 and 2020, was primarily related to acquisitions of oil and natural gas interests.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during the three months ended March 31, 2021, was primarily related to the repayment of $27.0 million of borrowings under the Operating Company’s revolving credit facility, distributions of $21.9 million to our unitholders and $13.0 million of repurchases of our common units during the first quarter of 2021 as discussed below.</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was $5.2 million during the three months ended March 31, 2020, primarily related to net borrowing activity under the Operating Company’s revolving credit facility of $77.0 million and partially offset by distributions of $71.4 million to our unitholders during the period.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On November 6, 2020, the board of directors of our general partner approved an expansion of our return of capital program with the implementation of a common unit repurchase program to acquire up to $100.0 million of our outstanding common units. During the three months ended March 31, 2021, we repurchased approximately $13.0 million of common units under our repurchase program. As of March 31, 2021, $62.9 million remains available for us to repurchase units under our common unit repurchase program. The common unit repurchase program is authorized to extend through December 31, 2021 and we intend to purchase common units under the repurchase program opportunistically with funds from cash on hand, free cash flow from operations and potential liquidity events such as the sale of assets. The repurchase program may be suspended from time to time, modified, extended or discontinued by the board of directors of our general partner at any time.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jc w:val="both"/>
        <w:ind w:left="40" w:firstLine="648"/>
        <w:spacing w:after="0" w:line="239" w:lineRule="auto"/>
        <w:rPr>
          <w:sz w:val="20"/>
          <w:szCs w:val="20"/>
          <w:color w:val="auto"/>
        </w:rPr>
      </w:pPr>
      <w:r>
        <w:rPr>
          <w:rFonts w:ascii="Arial" w:cs="Arial" w:eastAsia="Arial" w:hAnsi="Arial"/>
          <w:sz w:val="18"/>
          <w:szCs w:val="18"/>
          <w:color w:val="auto"/>
        </w:rPr>
        <w:t>At March 31, 2021, our indebtedness consists of $479.9 million in principal amount of Notes outstanding and borrowings under the Operating Company’s revolving credit facility. The Operating Company’s credit agreement, as amended to date, provides for a revolving credit facility in the maximum credit amount of $2.0 billion, with a borrowing base of $580.0 million as of March 31, 2021, based on the Operating Company’s oil and natural gas reserves and other factors. The borrowing base is scheduled to be redetermined semi-annually in May and November. As of March 31, 2021, there was $57.0 million of outstanding borrowings and $523.0 million available for future borrowings under the Operating Company’s revolving credit facility. During the three months ended March 31, 2021, the weighted average interest rate on the Operating Company’s revolving credit facility was 1.88%. The revolving credit facility will mature on November 1, 2022.</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2021, the Operating Company was in compliance with the financial maintenance covenants under its credit agreement.</w:t>
      </w:r>
    </w:p>
    <w:p>
      <w:pPr>
        <w:spacing w:after="0" w:line="264"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additional discussion of our indebtedness in Note 6—</w:t>
      </w:r>
      <w:hyperlink w:anchor="page13">
        <w:r>
          <w:rPr>
            <w:rFonts w:ascii="Arial" w:cs="Arial" w:eastAsia="Arial" w:hAnsi="Arial"/>
            <w:sz w:val="18"/>
            <w:szCs w:val="18"/>
            <w:u w:val="single" w:color="auto"/>
            <w:color w:val="0000FF"/>
          </w:rPr>
          <w:t>Debt</w:t>
        </w:r>
      </w:hyperlink>
      <w:r>
        <w:rPr>
          <w:rFonts w:ascii="Arial" w:cs="Arial" w:eastAsia="Arial" w:hAnsi="Arial"/>
          <w:sz w:val="18"/>
          <w:szCs w:val="18"/>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Other than the changes in our outstanding debt discussed in Note 6—</w:t>
      </w:r>
      <w:hyperlink w:anchor="page13">
        <w:r>
          <w:rPr>
            <w:rFonts w:ascii="Arial" w:cs="Arial" w:eastAsia="Arial" w:hAnsi="Arial"/>
            <w:sz w:val="18"/>
            <w:szCs w:val="18"/>
            <w:u w:val="single" w:color="auto"/>
            <w:color w:val="0000FF"/>
          </w:rPr>
          <w:t>Debt</w:t>
        </w:r>
      </w:hyperlink>
      <w:r>
        <w:rPr>
          <w:rFonts w:ascii="Arial" w:cs="Arial" w:eastAsia="Arial" w:hAnsi="Arial"/>
          <w:sz w:val="18"/>
          <w:szCs w:val="18"/>
          <w:color w:val="auto"/>
        </w:rPr>
        <w:t xml:space="preserve">, there were no material changes in our contractual obligations and other commitments as disclosed in our </w:t>
      </w:r>
      <w:hyperlink r:id="rId1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from those disclosed in our Annual Report on Form 10-K 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Further, oil prices dropped sharply in early March 2020 and then continued to decline, briefly reaching negative levels. This was as a result of multiple factors affecting supply and demand in the global oil and natural gas markets, including actions taken by OPEC members and other exporting nations, and a significant decrease in demand due to the ongoing COVID-19 pandemic, which resulted in a widespread health crisis and significant volatility, uncertainty and turmoil in the global economy, financial markets and oil and natural gas industry. Although market prices for oil and natural gas have recently increased, we cannot predict events that may lead to future price volatility.</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historically have used fixed price swap contracts, fixed price basis swap contracts and costless collars with corresponding put and call options to reduce price volatility associated with certain of our royalty income. Under our costless collar contracts, each collar has an established floor price and ceiling price. When the settlement price is below the floor price, the counterparty is required to make a payment to us and when the settlement price is above the ceiling price, we are required to make a payment to the counterparty. When the settlement price is between the floor and the ceiling, there is no payment required.</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March 31, 2021, we had a net liability derivative position related to our commodity price derivatives of $43.2 million. Utilizing actual derivative contractual volumes under our fixed price swaps as of March 31, 2021, a 10% increase in forward curves associated with the underlying commodity would have increased the net liability position to $47.6 million, an increase of $4.4 million, while a 10% decrease in forward curves associated with the underlying commodity would have decreased the net liability derivative position to $38.7 million, a decrease of $4.4 million. However, any cash derivative gain or loss would be substantially offset by a decrease or increase, respectively, in the actual sales value of production covered by the derivative instrument.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Depressed commodity pricing environment and adverse macroeconomic conditions may enhance our purchaser credit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0.75% to 1.75% in the case of the alternative base rate and from 1.75% to 2.75% in the case of LIBOR, in each case depending on the amount of the loan outstanding in relation to the borrowing base. We entered into this credit agreement on July 8, 2014, as subsequently amended, and as of March 31, 2021, we had $57.0 million in outstanding borrowings. During the three months ended March 31, 2021, the weighted average interest rate on the Operating Company’s revolving credit facility was 1.88%.</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March 31, 2021, our disclosure controls and procedures are effective.</w:t>
      </w:r>
    </w:p>
    <w:p>
      <w:pPr>
        <w:spacing w:after="0" w:line="2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March 31, 2021 that have materially affected, or are reasonably likely to materially affect, internal controls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86" w:lineRule="auto"/>
        <w:rPr>
          <w:rFonts w:ascii="Arial" w:cs="Arial" w:eastAsia="Arial" w:hAnsi="Arial"/>
          <w:sz w:val="17"/>
          <w:szCs w:val="17"/>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page19">
        <w:r>
          <w:rPr>
            <w:rFonts w:ascii="Arial" w:cs="Arial" w:eastAsia="Arial" w:hAnsi="Arial"/>
            <w:sz w:val="17"/>
            <w:szCs w:val="17"/>
            <w:u w:val="single" w:color="auto"/>
            <w:color w:val="0000FF"/>
          </w:rPr>
          <w:t>Commitments and Contingencies</w:t>
        </w:r>
      </w:hyperlink>
      <w:r>
        <w:rPr>
          <w:rFonts w:ascii="Arial" w:cs="Arial" w:eastAsia="Arial" w:hAnsi="Arial"/>
          <w:sz w:val="17"/>
          <w:szCs w:val="17"/>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70" w:lineRule="auto"/>
        <w:rPr>
          <w:rFonts w:ascii="Arial" w:cs="Arial" w:eastAsia="Arial" w:hAnsi="Arial"/>
          <w:sz w:val="17"/>
          <w:szCs w:val="17"/>
          <w:color w:val="000000"/>
        </w:rPr>
      </w:pPr>
      <w:hyperlink r:id="rId47">
        <w:r>
          <w:rPr>
            <w:rFonts w:ascii="Arial" w:cs="Arial" w:eastAsia="Arial" w:hAnsi="Arial"/>
            <w:sz w:val="17"/>
            <w:szCs w:val="17"/>
            <w:color w:val="auto"/>
          </w:rPr>
          <w:t xml:space="preserve">In addition to the information set forth in this report, you should carefully consider the risk factors disclosed in </w:t>
        </w:r>
        <w:r>
          <w:rPr>
            <w:rFonts w:ascii="Arial" w:cs="Arial" w:eastAsia="Arial" w:hAnsi="Arial"/>
            <w:sz w:val="17"/>
            <w:szCs w:val="17"/>
            <w:u w:val="single" w:color="auto"/>
            <w:color w:val="0000FF"/>
          </w:rPr>
          <w:t>Part I, Item 1A. Risk Factors in our</w:t>
        </w:r>
      </w:hyperlink>
      <w:r>
        <w:rPr>
          <w:rFonts w:ascii="Arial" w:cs="Arial" w:eastAsia="Arial" w:hAnsi="Arial"/>
          <w:sz w:val="17"/>
          <w:szCs w:val="17"/>
          <w:color w:val="auto"/>
        </w:rPr>
        <w:t xml:space="preserve"> </w:t>
      </w:r>
      <w:hyperlink r:id="rId47">
        <w:r>
          <w:rPr>
            <w:rFonts w:ascii="Arial" w:cs="Arial" w:eastAsia="Arial" w:hAnsi="Arial"/>
            <w:sz w:val="17"/>
            <w:szCs w:val="17"/>
            <w:u w:val="single" w:color="auto"/>
            <w:color w:val="0000FF"/>
          </w:rPr>
          <w:t>Annual Report on Form 10-K</w:t>
        </w:r>
        <w:r>
          <w:rPr>
            <w:rFonts w:ascii="Arial" w:cs="Arial" w:eastAsia="Arial" w:hAnsi="Arial"/>
            <w:sz w:val="17"/>
            <w:szCs w:val="17"/>
            <w:color w:val="0000FF"/>
          </w:rPr>
          <w:t xml:space="preserve"> </w:t>
        </w:r>
        <w:r>
          <w:rPr>
            <w:rFonts w:ascii="Arial" w:cs="Arial" w:eastAsia="Arial" w:hAnsi="Arial"/>
            <w:sz w:val="17"/>
            <w:szCs w:val="17"/>
            <w:color w:val="000000"/>
          </w:rPr>
          <w:t>for the year ended December 31, 2020, and in subsequent filings we make with the SEC. There have been no material</w:t>
        </w:r>
      </w:hyperlink>
      <w:r>
        <w:rPr>
          <w:rFonts w:ascii="Arial" w:cs="Arial" w:eastAsia="Arial" w:hAnsi="Arial"/>
          <w:sz w:val="17"/>
          <w:szCs w:val="17"/>
          <w:color w:val="0000FF"/>
        </w:rPr>
        <w:t xml:space="preserve"> </w:t>
      </w:r>
      <w:r>
        <w:rPr>
          <w:rFonts w:ascii="Arial" w:cs="Arial" w:eastAsia="Arial" w:hAnsi="Arial"/>
          <w:sz w:val="17"/>
          <w:szCs w:val="17"/>
          <w:color w:val="000000"/>
        </w:rPr>
        <w:t xml:space="preserve">changes in our risk factors from those described in our </w:t>
      </w:r>
      <w:hyperlink r:id="rId1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for the year ended December 31, 2020.</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4"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March 31, 2021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 of Units</w:t>
            </w:r>
          </w:p>
        </w:tc>
        <w:tc>
          <w:tcPr>
            <w:tcW w:w="26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Arial" w:cs="Arial" w:eastAsia="Arial" w:hAnsi="Arial"/>
                <w:sz w:val="16"/>
                <w:szCs w:val="16"/>
                <w:b w:val="1"/>
                <w:bCs w:val="1"/>
                <w:color w:val="auto"/>
                <w:w w:val="96"/>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Total Number of Units</w:t>
            </w:r>
          </w:p>
        </w:tc>
        <w:tc>
          <w:tcPr>
            <w:tcW w:w="1720" w:type="dxa"/>
            <w:vAlign w:val="bottom"/>
            <w:gridSpan w:val="2"/>
            <w:vMerge w:val="restart"/>
          </w:tcPr>
          <w:p>
            <w:pPr>
              <w:jc w:val="right"/>
              <w:ind w:right="113"/>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Value of Units that May</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8"/>
              </w:rPr>
              <w:t>Yet Be Purchased Under</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360" w:type="dxa"/>
            <w:vAlign w:val="bottom"/>
          </w:tcPr>
          <w:p>
            <w:pPr>
              <w:spacing w:after="0"/>
              <w:rPr>
                <w:sz w:val="18"/>
                <w:szCs w:val="18"/>
                <w:color w:val="auto"/>
              </w:rPr>
            </w:pPr>
          </w:p>
        </w:tc>
        <w:tc>
          <w:tcPr>
            <w:tcW w:w="13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Per Unit</w:t>
            </w:r>
            <w:r>
              <w:rPr>
                <w:rFonts w:ascii="Arial" w:cs="Arial" w:eastAsia="Arial" w:hAnsi="Arial"/>
                <w:sz w:val="21"/>
                <w:szCs w:val="21"/>
                <w:b w:val="1"/>
                <w:bCs w:val="1"/>
                <w:color w:val="auto"/>
                <w:vertAlign w:val="superscript"/>
              </w:rPr>
              <w:t>(2)</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260" w:type="dxa"/>
            <w:vAlign w:val="bottom"/>
          </w:tcPr>
          <w:p>
            <w:pPr>
              <w:spacing w:after="0"/>
              <w:rPr>
                <w:sz w:val="18"/>
                <w:szCs w:val="18"/>
                <w:color w:val="auto"/>
              </w:rPr>
            </w:pPr>
          </w:p>
        </w:tc>
        <w:tc>
          <w:tcPr>
            <w:tcW w:w="1640" w:type="dxa"/>
            <w:vAlign w:val="bottom"/>
          </w:tcPr>
          <w:p>
            <w:pPr>
              <w:jc w:val="right"/>
              <w:ind w:right="454"/>
              <w:spacing w:after="0" w:line="216" w:lineRule="exact"/>
              <w:rPr>
                <w:sz w:val="20"/>
                <w:szCs w:val="20"/>
                <w:color w:val="auto"/>
              </w:rPr>
            </w:pPr>
            <w:r>
              <w:rPr>
                <w:rFonts w:ascii="Arial" w:cs="Arial" w:eastAsia="Arial" w:hAnsi="Arial"/>
                <w:sz w:val="16"/>
                <w:szCs w:val="16"/>
                <w:b w:val="1"/>
                <w:bCs w:val="1"/>
                <w:color w:val="auto"/>
              </w:rPr>
              <w:t>the Plan</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07"/>
        </w:trPr>
        <w:tc>
          <w:tcPr>
            <w:tcW w:w="3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2"/>
          </w:tcPr>
          <w:p>
            <w:pPr>
              <w:jc w:val="right"/>
              <w:ind w:right="454"/>
              <w:spacing w:after="0"/>
              <w:rPr>
                <w:sz w:val="20"/>
                <w:szCs w:val="20"/>
                <w:color w:val="auto"/>
              </w:rPr>
            </w:pPr>
            <w:r>
              <w:rPr>
                <w:rFonts w:ascii="Arial" w:cs="Arial" w:eastAsia="Arial" w:hAnsi="Arial"/>
                <w:sz w:val="16"/>
                <w:szCs w:val="16"/>
                <w:b w:val="1"/>
                <w:bCs w:val="1"/>
                <w:color w:val="auto"/>
                <w:w w:val="96"/>
              </w:rPr>
              <w:t>(In thousands, except unit amounts)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2021 - January 31, 2021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13.99</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71,009</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February 1, 2021 - February 28, 2020</w:t>
            </w:r>
          </w:p>
        </w:tc>
        <w:tc>
          <w:tcPr>
            <w:tcW w:w="1860" w:type="dxa"/>
            <w:vAlign w:val="bottom"/>
          </w:tcPr>
          <w:p>
            <w:pPr>
              <w:jc w:val="right"/>
              <w:spacing w:after="0"/>
              <w:rPr>
                <w:sz w:val="20"/>
                <w:szCs w:val="20"/>
                <w:color w:val="auto"/>
              </w:rPr>
            </w:pPr>
            <w:r>
              <w:rPr>
                <w:rFonts w:ascii="Arial" w:cs="Arial" w:eastAsia="Arial" w:hAnsi="Arial"/>
                <w:sz w:val="18"/>
                <w:szCs w:val="18"/>
                <w:color w:val="auto"/>
              </w:rPr>
              <w:t>189,453</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15.24</w:t>
            </w:r>
          </w:p>
        </w:tc>
        <w:tc>
          <w:tcPr>
            <w:tcW w:w="1860" w:type="dxa"/>
            <w:vAlign w:val="bottom"/>
          </w:tcPr>
          <w:p>
            <w:pPr>
              <w:jc w:val="right"/>
              <w:spacing w:after="0"/>
              <w:rPr>
                <w:sz w:val="20"/>
                <w:szCs w:val="20"/>
                <w:color w:val="auto"/>
              </w:rPr>
            </w:pPr>
            <w:r>
              <w:rPr>
                <w:rFonts w:ascii="Arial" w:cs="Arial" w:eastAsia="Arial" w:hAnsi="Arial"/>
                <w:sz w:val="18"/>
                <w:szCs w:val="18"/>
                <w:color w:val="auto"/>
              </w:rPr>
              <w:t>189,453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68,122</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2021 - March 31, 2021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326,956</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15.95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62,931</w:t>
            </w:r>
          </w:p>
        </w:tc>
        <w:tc>
          <w:tcPr>
            <w:tcW w:w="0" w:type="dxa"/>
            <w:vAlign w:val="bottom"/>
          </w:tcPr>
          <w:p>
            <w:pPr>
              <w:spacing w:after="0"/>
              <w:rPr>
                <w:sz w:val="1"/>
                <w:szCs w:val="1"/>
                <w:color w:val="auto"/>
              </w:rPr>
            </w:pPr>
          </w:p>
        </w:tc>
      </w:tr>
      <w:tr>
        <w:trPr>
          <w:trHeight w:val="224"/>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spacing w:after="0"/>
              <w:rPr>
                <w:sz w:val="20"/>
                <w:szCs w:val="20"/>
                <w:color w:val="auto"/>
              </w:rPr>
            </w:pPr>
            <w:r>
              <w:rPr>
                <w:rFonts w:ascii="Arial" w:cs="Arial" w:eastAsia="Arial" w:hAnsi="Arial"/>
                <w:sz w:val="18"/>
                <w:szCs w:val="18"/>
                <w:color w:val="auto"/>
              </w:rPr>
              <w:t>871,409</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15.00</w:t>
            </w:r>
          </w:p>
        </w:tc>
        <w:tc>
          <w:tcPr>
            <w:tcW w:w="1860" w:type="dxa"/>
            <w:vAlign w:val="bottom"/>
          </w:tcPr>
          <w:p>
            <w:pPr>
              <w:jc w:val="right"/>
              <w:spacing w:after="0"/>
              <w:rPr>
                <w:sz w:val="20"/>
                <w:szCs w:val="20"/>
                <w:color w:val="auto"/>
              </w:rPr>
            </w:pPr>
            <w:r>
              <w:rPr>
                <w:rFonts w:ascii="Arial" w:cs="Arial" w:eastAsia="Arial" w:hAnsi="Arial"/>
                <w:sz w:val="18"/>
                <w:szCs w:val="18"/>
                <w:color w:val="auto"/>
              </w:rPr>
              <w:t>869,965</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hanging="332"/>
        <w:spacing w:after="0" w:line="258"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common units repurchased from employees in order to satisfy tax withholding requirements. Such units are cancelled and retired immediately upon repurchase.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price paid per common unit is net of any commissions paid to repurchase common unit.</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2020, our board of directors approved a common unit repurchase program to acquire up to $100.0 million of our outstanding common units through December 31, 2021. This repurchase program may be suspended from time to time, modified, extended or discontinued by the board of directors of our general partner at any time.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60"/>
              <w:spacing w:after="0"/>
              <w:rPr>
                <w:sz w:val="20"/>
                <w:szCs w:val="20"/>
                <w:color w:val="auto"/>
              </w:rPr>
            </w:pPr>
            <w:r>
              <w:rPr>
                <w:rFonts w:ascii="Arial" w:cs="Arial" w:eastAsia="Arial" w:hAnsi="Arial"/>
                <w:sz w:val="18"/>
                <w:szCs w:val="18"/>
                <w:b w:val="1"/>
                <w:bCs w:val="1"/>
                <w:color w:val="auto"/>
                <w:w w:val="99"/>
              </w:rPr>
              <w:t>Exhibit Number</w:t>
            </w:r>
          </w:p>
        </w:tc>
        <w:tc>
          <w:tcPr>
            <w:tcW w:w="9960" w:type="dxa"/>
            <w:vAlign w:val="bottom"/>
            <w:gridSpan w:val="20"/>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2"/>
        </w:trPr>
        <w:tc>
          <w:tcPr>
            <w:tcW w:w="1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3.1</w:t>
            </w:r>
          </w:p>
        </w:tc>
        <w:tc>
          <w:tcPr>
            <w:tcW w:w="9960" w:type="dxa"/>
            <w:vAlign w:val="bottom"/>
            <w:gridSpan w:val="20"/>
            <w:shd w:val="clear" w:color="auto" w:fill="CCEEFF"/>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Certificate of Limited Partnership of Viper Energy Partners LP (incorporated by reference to Exhibit 3.1 of the Partnership’s</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Registration Statement on Form S-1 (File 333-195769) filed on May 7, 2014).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3900" w:type="dxa"/>
            <w:vAlign w:val="bottom"/>
            <w:tcBorders>
              <w:top w:val="single" w:sz="8" w:color="0000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9960" w:type="dxa"/>
            <w:vAlign w:val="bottom"/>
            <w:gridSpan w:val="20"/>
          </w:tcPr>
          <w:p>
            <w:pPr>
              <w:spacing w:after="0" w:line="189"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Second Amended and Restated Agreement of Limited Partnership of Viper Energy Partners LP, dated as of May 9, 2018 (incorporated</w:t>
              </w:r>
            </w:hyperlink>
          </w:p>
        </w:tc>
      </w:tr>
      <w:tr>
        <w:trPr>
          <w:trHeight w:val="156"/>
        </w:trPr>
        <w:tc>
          <w:tcPr>
            <w:tcW w:w="140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by reference to Exhibit 3.1 of the Partnership’s Current Report on Form 8-K (File 001-36505) filed on May 15,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4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90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3.3</w:t>
            </w:r>
          </w:p>
        </w:tc>
        <w:tc>
          <w:tcPr>
            <w:tcW w:w="9960" w:type="dxa"/>
            <w:vAlign w:val="bottom"/>
            <w:gridSpan w:val="20"/>
            <w:shd w:val="clear" w:color="auto" w:fill="CCEEFF"/>
          </w:tcPr>
          <w:p>
            <w:pPr>
              <w:spacing w:after="0" w:line="189"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First Amendment to Second Amended and Restated Agreement of Limited Partnership of Viper Energy Partners LP, dated as of May</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10, 2018. (incorporated by reference to Exhibit 3.2 of the Partnership’s Current Report on Form 8-K (File 001-36505) filed on May 15,</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1"/>
        </w:trPr>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6"/>
              </w:rPr>
            </w:pPr>
            <w:hyperlink r:id="rId52">
              <w:r>
                <w:rPr>
                  <w:rFonts w:ascii="Arial" w:cs="Arial" w:eastAsia="Arial" w:hAnsi="Arial"/>
                  <w:sz w:val="18"/>
                  <w:szCs w:val="18"/>
                  <w:color w:val="0000FF"/>
                  <w:w w:val="86"/>
                </w:rPr>
                <w:t>2018).</w:t>
              </w:r>
            </w:hyperlink>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56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3900" w:type="dxa"/>
            <w:vAlign w:val="bottom"/>
            <w:tcBorders>
              <w:top w:val="single" w:sz="8" w:color="0000FF"/>
              <w:bottom w:val="single" w:sz="8" w:color="CCEEFF"/>
            </w:tcBorders>
            <w:shd w:val="clear" w:color="auto" w:fill="CCEEFF"/>
          </w:tcPr>
          <w:p>
            <w:pPr>
              <w:spacing w:after="0"/>
              <w:rPr>
                <w:sz w:val="15"/>
                <w:szCs w:val="15"/>
                <w:color w:val="auto"/>
              </w:rPr>
            </w:pPr>
          </w:p>
        </w:tc>
        <w:tc>
          <w:tcPr>
            <w:tcW w:w="2040" w:type="dxa"/>
            <w:vAlign w:val="bottom"/>
            <w:tcBorders>
              <w:top w:val="single" w:sz="8" w:color="0000FF"/>
              <w:bottom w:val="single" w:sz="8" w:color="CCEEFF"/>
            </w:tcBorders>
            <w:shd w:val="clear" w:color="auto" w:fill="CCEEFF"/>
          </w:tcPr>
          <w:p>
            <w:pPr>
              <w:spacing w:after="0"/>
              <w:rPr>
                <w:sz w:val="15"/>
                <w:szCs w:val="15"/>
                <w:color w:val="auto"/>
              </w:rPr>
            </w:pPr>
          </w:p>
        </w:tc>
        <w:tc>
          <w:tcPr>
            <w:tcW w:w="840" w:type="dxa"/>
            <w:vAlign w:val="bottom"/>
            <w:tcBorders>
              <w:top w:val="single" w:sz="8" w:color="0000FF"/>
              <w:bottom w:val="single" w:sz="8" w:color="CCEEFF"/>
            </w:tcBorders>
            <w:shd w:val="clear" w:color="auto" w:fill="CCEEFF"/>
          </w:tcPr>
          <w:p>
            <w:pPr>
              <w:spacing w:after="0"/>
              <w:rPr>
                <w:sz w:val="15"/>
                <w:szCs w:val="15"/>
                <w:color w:val="auto"/>
              </w:rPr>
            </w:pPr>
          </w:p>
        </w:tc>
        <w:tc>
          <w:tcPr>
            <w:tcW w:w="102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4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3.4</w:t>
            </w:r>
          </w:p>
        </w:tc>
        <w:tc>
          <w:tcPr>
            <w:tcW w:w="9960" w:type="dxa"/>
            <w:vAlign w:val="bottom"/>
            <w:tcBorders>
              <w:top w:val="single" w:sz="8" w:color="CCEEFF"/>
            </w:tcBorders>
            <w:gridSpan w:val="20"/>
          </w:tcPr>
          <w:p>
            <w:pPr>
              <w:spacing w:after="0" w:line="189"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Second Amended and Restated Limited Liability Company Agreement of Viper Energy Partners LLC, dated as of May 9, 2018.</w:t>
              </w:r>
            </w:hyperlink>
          </w:p>
        </w:tc>
      </w:tr>
      <w:tr>
        <w:trPr>
          <w:trHeight w:val="156"/>
        </w:trPr>
        <w:tc>
          <w:tcPr>
            <w:tcW w:w="140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Arial" w:cs="Arial" w:eastAsia="Arial" w:hAnsi="Arial"/>
                <w:sz w:val="18"/>
                <w:szCs w:val="18"/>
                <w:color w:val="0000FF"/>
                <w:w w:val="95"/>
              </w:rPr>
            </w:pPr>
            <w:hyperlink r:id="rId53">
              <w:r>
                <w:rPr>
                  <w:rFonts w:ascii="Arial" w:cs="Arial" w:eastAsia="Arial" w:hAnsi="Arial"/>
                  <w:sz w:val="18"/>
                  <w:szCs w:val="18"/>
                  <w:color w:val="0000FF"/>
                  <w:w w:val="95"/>
                </w:rPr>
                <w:t>(incorporated by reference to Exhibit 3.3 of the Partnership’s Current Report on Form 8-K (File 001-36505) filed on May 15,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90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3.5</w:t>
            </w:r>
          </w:p>
        </w:tc>
        <w:tc>
          <w:tcPr>
            <w:tcW w:w="9960" w:type="dxa"/>
            <w:vAlign w:val="bottom"/>
            <w:gridSpan w:val="20"/>
            <w:shd w:val="clear" w:color="auto" w:fill="CCEEFF"/>
          </w:tcPr>
          <w:p>
            <w:pPr>
              <w:spacing w:after="0" w:line="189"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First Amendment to Second Amended and Restated Limited Liability Company Agreement of Viper Energy Partners LLC, dated as of</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w w:val="95"/>
              </w:rPr>
            </w:pPr>
            <w:hyperlink r:id="rId54">
              <w:r>
                <w:rPr>
                  <w:rFonts w:ascii="Arial" w:cs="Arial" w:eastAsia="Arial" w:hAnsi="Arial"/>
                  <w:sz w:val="18"/>
                  <w:szCs w:val="18"/>
                  <w:color w:val="0000FF"/>
                  <w:w w:val="95"/>
                </w:rPr>
                <w:t>March 30, 2020 (incorporated by reference to Exhibit 3.1 of the Partnership’s Current Report on Form 8-K (File 001-36505) filed on</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76"/>
        </w:trPr>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March 31, 2020).</w:t>
              </w:r>
            </w:hyperlink>
          </w:p>
        </w:tc>
        <w:tc>
          <w:tcPr>
            <w:tcW w:w="860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9960" w:type="dxa"/>
            <w:vAlign w:val="bottom"/>
            <w:gridSpan w:val="20"/>
          </w:tcPr>
          <w:p>
            <w:pPr>
              <w:spacing w:after="0" w:line="189" w:lineRule="exact"/>
              <w:rPr>
                <w:rFonts w:ascii="Arial" w:cs="Arial" w:eastAsia="Arial" w:hAnsi="Arial"/>
                <w:sz w:val="18"/>
                <w:szCs w:val="18"/>
                <w:color w:val="0000FF"/>
                <w:w w:val="97"/>
              </w:rPr>
            </w:pPr>
            <w:hyperlink r:id="rId55">
              <w:r>
                <w:rPr>
                  <w:rFonts w:ascii="Arial" w:cs="Arial" w:eastAsia="Arial" w:hAnsi="Arial"/>
                  <w:sz w:val="18"/>
                  <w:szCs w:val="18"/>
                  <w:color w:val="0000FF"/>
                  <w:w w:val="97"/>
                </w:rPr>
                <w:t>Amended and Restated Registration Rights Agreement, dated as of May 9, 2018, by and between Viper Energy Partners LP and</w:t>
              </w:r>
            </w:hyperlink>
          </w:p>
        </w:tc>
      </w:tr>
      <w:tr>
        <w:trPr>
          <w:trHeight w:val="155"/>
        </w:trPr>
        <w:tc>
          <w:tcPr>
            <w:tcW w:w="14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Diamondback Energy, Inc. (incorporated by reference to Exhibit 4.1 of the Partnership’s Current Report on Form 8-K (File 001-36505)</w:t>
              </w:r>
            </w:hyperlink>
          </w:p>
        </w:tc>
        <w:tc>
          <w:tcPr>
            <w:tcW w:w="100" w:type="dxa"/>
            <w:vAlign w:val="bottom"/>
            <w:tcBorders>
              <w:bottom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9920" w:type="dxa"/>
            <w:vAlign w:val="bottom"/>
            <w:gridSpan w:val="18"/>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filed on May 15, 2018).</w:t>
              </w:r>
            </w:hyperlink>
          </w:p>
        </w:tc>
        <w:tc>
          <w:tcPr>
            <w:tcW w:w="40" w:type="dxa"/>
            <w:vAlign w:val="bottom"/>
            <w:gridSpan w:val="2"/>
          </w:tcPr>
          <w:p>
            <w:pPr>
              <w:spacing w:after="0"/>
              <w:rPr>
                <w:sz w:val="13"/>
                <w:szCs w:val="13"/>
                <w:color w:val="auto"/>
              </w:rPr>
            </w:pPr>
          </w:p>
        </w:tc>
      </w:tr>
      <w:tr>
        <w:trPr>
          <w:trHeight w:val="21"/>
        </w:trPr>
        <w:tc>
          <w:tcPr>
            <w:tcW w:w="14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9960" w:type="dxa"/>
            <w:vAlign w:val="bottom"/>
            <w:gridSpan w:val="20"/>
            <w:shd w:val="clear" w:color="auto" w:fill="CCEEFF"/>
          </w:tcPr>
          <w:p>
            <w:pPr>
              <w:spacing w:after="0" w:line="189" w:lineRule="exact"/>
              <w:rPr>
                <w:rFonts w:ascii="Arial" w:cs="Arial" w:eastAsia="Arial" w:hAnsi="Arial"/>
                <w:sz w:val="18"/>
                <w:szCs w:val="18"/>
                <w:color w:val="0000FF"/>
                <w:w w:val="99"/>
              </w:rPr>
            </w:pPr>
            <w:hyperlink w:anchor="page35">
              <w:r>
                <w:rPr>
                  <w:rFonts w:ascii="Arial" w:cs="Arial" w:eastAsia="Arial" w:hAnsi="Arial"/>
                  <w:sz w:val="18"/>
                  <w:szCs w:val="18"/>
                  <w:color w:val="0000FF"/>
                  <w:w w:val="99"/>
                </w:rPr>
                <w:t>Certification of Chief Executive Officer pursuant to Rule 13a-14(a) promulgated under the Securities Exchange Act of 1934, as</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rPr>
            </w:pPr>
            <w:hyperlink w:anchor="page35">
              <w:r>
                <w:rPr>
                  <w:rFonts w:ascii="Arial" w:cs="Arial" w:eastAsia="Arial" w:hAnsi="Arial"/>
                  <w:sz w:val="18"/>
                  <w:szCs w:val="18"/>
                  <w:color w:val="0000FF"/>
                </w:rPr>
                <w:t>amended.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8"/>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90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9960" w:type="dxa"/>
            <w:vAlign w:val="bottom"/>
            <w:gridSpan w:val="20"/>
          </w:tcPr>
          <w:p>
            <w:pPr>
              <w:spacing w:after="0" w:line="189" w:lineRule="exact"/>
              <w:rPr>
                <w:rFonts w:ascii="Arial" w:cs="Arial" w:eastAsia="Arial" w:hAnsi="Arial"/>
                <w:sz w:val="18"/>
                <w:szCs w:val="18"/>
                <w:color w:val="0000FF"/>
                <w:w w:val="99"/>
              </w:rPr>
            </w:pPr>
            <w:hyperlink w:anchor="page36">
              <w:r>
                <w:rPr>
                  <w:rFonts w:ascii="Arial" w:cs="Arial" w:eastAsia="Arial" w:hAnsi="Arial"/>
                  <w:sz w:val="18"/>
                  <w:szCs w:val="18"/>
                  <w:color w:val="0000FF"/>
                  <w:w w:val="99"/>
                </w:rPr>
                <w:t>Certification of Chief Financial Officer pursuant to Rule 13a-14(a) promulgated under the Securities Exchange Act of 1934, as</w:t>
              </w:r>
            </w:hyperlink>
          </w:p>
        </w:tc>
      </w:tr>
      <w:tr>
        <w:trPr>
          <w:trHeight w:val="156"/>
        </w:trPr>
        <w:tc>
          <w:tcPr>
            <w:tcW w:w="140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amended.</w:t>
              </w:r>
            </w:hyperlink>
          </w:p>
        </w:tc>
        <w:tc>
          <w:tcPr>
            <w:tcW w:w="160" w:type="dxa"/>
            <w:vAlign w:val="bottom"/>
            <w:gridSpan w:val="8"/>
          </w:tcPr>
          <w:p>
            <w:pPr>
              <w:spacing w:after="0"/>
              <w:rPr>
                <w:sz w:val="13"/>
                <w:szCs w:val="13"/>
                <w:color w:val="auto"/>
              </w:rPr>
            </w:pPr>
          </w:p>
        </w:tc>
      </w:tr>
      <w:tr>
        <w:trPr>
          <w:trHeight w:val="61"/>
        </w:trPr>
        <w:tc>
          <w:tcPr>
            <w:tcW w:w="1400" w:type="dxa"/>
            <w:vAlign w:val="bottom"/>
          </w:tcPr>
          <w:p>
            <w:pPr>
              <w:spacing w:after="0"/>
              <w:rPr>
                <w:sz w:val="5"/>
                <w:szCs w:val="5"/>
                <w:color w:val="auto"/>
              </w:rPr>
            </w:pPr>
          </w:p>
        </w:tc>
        <w:tc>
          <w:tcPr>
            <w:tcW w:w="4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9960" w:type="dxa"/>
            <w:vAlign w:val="bottom"/>
            <w:gridSpan w:val="20"/>
            <w:shd w:val="clear" w:color="auto" w:fill="CCEEFF"/>
          </w:tcPr>
          <w:p>
            <w:pPr>
              <w:spacing w:after="0" w:line="189" w:lineRule="exact"/>
              <w:rPr>
                <w:rFonts w:ascii="Arial" w:cs="Arial" w:eastAsia="Arial" w:hAnsi="Arial"/>
                <w:sz w:val="18"/>
                <w:szCs w:val="18"/>
                <w:color w:val="0000FF"/>
                <w:w w:val="98"/>
              </w:rPr>
            </w:pPr>
            <w:hyperlink w:anchor="page37">
              <w:r>
                <w:rPr>
                  <w:rFonts w:ascii="Arial" w:cs="Arial" w:eastAsia="Arial" w:hAnsi="Arial"/>
                  <w:sz w:val="18"/>
                  <w:szCs w:val="18"/>
                  <w:color w:val="0000FF"/>
                  <w:w w:val="98"/>
                </w:rPr>
                <w:t>Certification of Chief Executive Officer and Chief Financial Officer pursuant to Rule 13a-14(b) promulgated under the Securities</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Exchange Act of 1934, as amended, and Section 1350 of Chapter 63 of Title 18 of the United States Code.</w:t>
              </w:r>
            </w:hyperlink>
          </w:p>
        </w:tc>
        <w:tc>
          <w:tcPr>
            <w:tcW w:w="180" w:type="dxa"/>
            <w:vAlign w:val="bottom"/>
            <w:tcBorders>
              <w:top w:val="single" w:sz="8" w:color="CCEEFF"/>
            </w:tcBorders>
            <w:gridSpan w:val="9"/>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3900" w:type="dxa"/>
            <w:vAlign w:val="bottom"/>
            <w:tcBorders>
              <w:top w:val="single" w:sz="8" w:color="0000FF"/>
            </w:tcBorders>
            <w:shd w:val="clear" w:color="auto" w:fill="CCEEFF"/>
          </w:tcPr>
          <w:p>
            <w:pPr>
              <w:spacing w:after="0"/>
              <w:rPr>
                <w:sz w:val="5"/>
                <w:szCs w:val="5"/>
                <w:color w:val="auto"/>
              </w:rPr>
            </w:pPr>
          </w:p>
        </w:tc>
        <w:tc>
          <w:tcPr>
            <w:tcW w:w="2040" w:type="dxa"/>
            <w:vAlign w:val="bottom"/>
            <w:tcBorders>
              <w:top w:val="single" w:sz="8" w:color="0000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jc w:val="both"/>
        <w:ind w:left="1400" w:right="60" w:hanging="1374"/>
        <w:spacing w:after="0" w:line="219"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March 31, 2021, formatted in Inline XBRL: (i) Condensed Consolidated Balance Sheets, (ii) Condensed Consolidated Statements of Operations, (iii) Condensed Consolidated Statement of Changes in Unitholders’ Equity, (iv) Condensed Consolidated Statements of Cash Flows and (v) Condensed Notes to Consolidated Financial Statements.</w:t>
      </w:r>
    </w:p>
    <w:p>
      <w:pPr>
        <w:spacing w:after="0" w:line="108"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00" w:hanging="474"/>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500" w:right="40" w:hanging="474"/>
        <w:spacing w:after="0" w:line="22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780" w:type="dxa"/>
            <w:vAlign w:val="bottom"/>
            <w:gridSpan w:val="2"/>
          </w:tcPr>
          <w:p>
            <w:pPr>
              <w:ind w:left="1840"/>
              <w:spacing w:after="0"/>
              <w:rPr>
                <w:sz w:val="20"/>
                <w:szCs w:val="20"/>
                <w:color w:val="auto"/>
              </w:rPr>
            </w:pPr>
            <w:r>
              <w:rPr>
                <w:rFonts w:ascii="Arial" w:cs="Arial" w:eastAsia="Arial" w:hAnsi="Arial"/>
                <w:sz w:val="18"/>
                <w:szCs w:val="18"/>
                <w:b w:val="1"/>
                <w:bCs w:val="1"/>
                <w:color w:val="auto"/>
              </w:rPr>
              <w:t>VIPER ENERGY PARTNERS LP</w:t>
            </w:r>
          </w:p>
        </w:tc>
      </w:tr>
      <w:tr>
        <w:trPr>
          <w:trHeight w:val="499"/>
        </w:trPr>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780" w:type="dxa"/>
            <w:vAlign w:val="bottom"/>
            <w:gridSpan w:val="2"/>
          </w:tcPr>
          <w:p>
            <w:pPr>
              <w:ind w:left="1840"/>
              <w:spacing w:after="0"/>
              <w:rPr>
                <w:sz w:val="20"/>
                <w:szCs w:val="20"/>
                <w:color w:val="auto"/>
              </w:rPr>
            </w:pPr>
            <w:r>
              <w:rPr>
                <w:rFonts w:ascii="Arial" w:cs="Arial" w:eastAsia="Arial" w:hAnsi="Arial"/>
                <w:sz w:val="18"/>
                <w:szCs w:val="18"/>
                <w:color w:val="auto"/>
              </w:rPr>
              <w:t>By:   VIPER ENERGY PARTNERS GP LLC</w:t>
            </w:r>
          </w:p>
        </w:tc>
      </w:tr>
      <w:tr>
        <w:trPr>
          <w:trHeight w:val="230"/>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140"/>
              <w:spacing w:after="0"/>
              <w:rPr>
                <w:sz w:val="20"/>
                <w:szCs w:val="20"/>
                <w:color w:val="auto"/>
              </w:rPr>
            </w:pPr>
            <w:r>
              <w:rPr>
                <w:rFonts w:ascii="Arial" w:cs="Arial" w:eastAsia="Arial" w:hAnsi="Arial"/>
                <w:sz w:val="18"/>
                <w:szCs w:val="18"/>
                <w:color w:val="auto"/>
              </w:rPr>
              <w:t>May 5, 2021</w:t>
            </w:r>
          </w:p>
        </w:tc>
        <w:tc>
          <w:tcPr>
            <w:tcW w:w="2320" w:type="dxa"/>
            <w:vAlign w:val="bottom"/>
          </w:tcPr>
          <w:p>
            <w:pPr>
              <w:ind w:left="18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140"/>
              <w:spacing w:after="0"/>
              <w:rPr>
                <w:sz w:val="20"/>
                <w:szCs w:val="20"/>
                <w:color w:val="auto"/>
              </w:rPr>
            </w:pPr>
            <w:r>
              <w:rPr>
                <w:rFonts w:ascii="Arial" w:cs="Arial" w:eastAsia="Arial" w:hAnsi="Arial"/>
                <w:sz w:val="18"/>
                <w:szCs w:val="18"/>
                <w:color w:val="auto"/>
              </w:rPr>
              <w:t>May 5, 2021</w:t>
            </w:r>
          </w:p>
        </w:tc>
        <w:tc>
          <w:tcPr>
            <w:tcW w:w="2320" w:type="dxa"/>
            <w:vAlign w:val="bottom"/>
          </w:tcPr>
          <w:p>
            <w:pPr>
              <w:ind w:left="18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40"/>
              <w:spacing w:after="0"/>
              <w:rPr>
                <w:sz w:val="20"/>
                <w:szCs w:val="20"/>
                <w:color w:val="auto"/>
              </w:rPr>
            </w:pPr>
            <w:r>
              <w:rPr>
                <w:rFonts w:ascii="Arial" w:cs="Arial" w:eastAsia="Arial" w:hAnsi="Arial"/>
                <w:sz w:val="18"/>
                <w:szCs w:val="18"/>
                <w:color w:val="auto"/>
              </w:rPr>
              <w:t>May 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ind w:left="6400"/>
        <w:spacing w:after="0"/>
        <w:rPr>
          <w:sz w:val="20"/>
          <w:szCs w:val="20"/>
          <w:color w:val="auto"/>
        </w:rPr>
      </w:pPr>
      <w:r>
        <w:rPr>
          <w:rFonts w:ascii="Arial" w:cs="Arial" w:eastAsia="Arial" w:hAnsi="Arial"/>
          <w:sz w:val="18"/>
          <w:szCs w:val="18"/>
          <w:color w:val="auto"/>
        </w:rPr>
        <w:t>Viper Energy Partners GP LLC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general partner of Viper Energy Partners LP)</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200"/>
              <w:spacing w:after="0"/>
              <w:rPr>
                <w:sz w:val="20"/>
                <w:szCs w:val="20"/>
                <w:color w:val="auto"/>
              </w:rPr>
            </w:pPr>
            <w:r>
              <w:rPr>
                <w:rFonts w:ascii="Arial" w:cs="Arial" w:eastAsia="Arial" w:hAnsi="Arial"/>
                <w:sz w:val="18"/>
                <w:szCs w:val="18"/>
                <w:color w:val="auto"/>
              </w:rPr>
              <w:t>May 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9"/>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May 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May 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lowerRoman"/>
      <w:start w:val="2"/>
    </w:lvl>
  </w:abstractNum>
  <w:abstractNum w:abstractNumId="6">
    <w:nsid w:val="1190CDE7"/>
    <w:multiLevelType w:val="hybridMultilevel"/>
    <w:lvl w:ilvl="0">
      <w:lvlJc w:val="left"/>
      <w:lvlText w:val="%1."/>
      <w:numFmt w:val="decimal"/>
      <w:start w:val="13"/>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16" Type="http://schemas.openxmlformats.org/officeDocument/2006/relationships/hyperlink" Target="http://www.sec.gov/ix?doc=/Archives/edgar/data/1602065/000160206521000006/vnom-20201231.htm#i700aec8d20af4047910f4616d0b0e309_7" TargetMode="External"/><Relationship Id="rId47" Type="http://schemas.openxmlformats.org/officeDocument/2006/relationships/hyperlink" Target="http://www.sec.gov/ix?doc=/Archives/edgar/data/1602065/000160206521000006/vnom-20201231.htm#i700aec8d20af4047910f4616d0b0e309_22" TargetMode="External"/><Relationship Id="rId50" Type="http://schemas.openxmlformats.org/officeDocument/2006/relationships/hyperlink" Target="http://www.sec.gov/Archives/edgar/data/1602065/000119312514187469/d673207dex31.htm" TargetMode="External"/><Relationship Id="rId51" Type="http://schemas.openxmlformats.org/officeDocument/2006/relationships/hyperlink" Target="http://www.sec.gov/Archives/edgar/data/1602065/000160206518000017/viperex31-5x15x18.htm" TargetMode="External"/><Relationship Id="rId52" Type="http://schemas.openxmlformats.org/officeDocument/2006/relationships/hyperlink" Target="http://www.sec.gov/Archives/edgar/data/1602065/000160206518000017/viperex32-5x15x18.htm" TargetMode="External"/><Relationship Id="rId53" Type="http://schemas.openxmlformats.org/officeDocument/2006/relationships/hyperlink" Target="http://www.sec.gov/Archives/edgar/data/1602065/000160206518000017/viperex33-5x15x18.htm" TargetMode="External"/><Relationship Id="rId54" Type="http://schemas.openxmlformats.org/officeDocument/2006/relationships/hyperlink" Target="http://www.sec.gov/Archives/edgar/data/1602065/000160206520000014/viperex31-33120.htm" TargetMode="External"/><Relationship Id="rId55" Type="http://schemas.openxmlformats.org/officeDocument/2006/relationships/hyperlink" Target="http://www.sec.gov/Archives/edgar/data/1602065/000160206518000017/viperex41-5x15x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2021-05-05T15:18:56Z</dcterms:created>
  <dcterms:modified xsi:type="dcterms:W3CDTF">2021-05-05T15:18:56Z</dcterms:modified>
</cp:coreProperties>
</file>