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47-2_4seq1.xml.htm"/>
      <w:bookmarkStart w:id="1" w:name="kstm2624647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Diamondback Energy,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NW 63RD STREET,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OKLAHOMA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Viper Energy, Inc.</w:t>
              </w:r>
            </w:hyperlink>
            <w:r>
              <w:rPr/>
              <w:t xml:space="preserve"> [ </w:t>
            </w:r>
            <w:r>
              <w:rPr>
                <w:rFonts w:ascii="Times;serif" w:hAnsi="Times;serif"/>
                <w:color w:val="0000FF"/>
                <w:sz w:val="24"/>
                <w:shd w:fill="FFFFFF" w:val="clear"/>
              </w:rPr>
              <w:t>VNOM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 by Deputization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439" w:type="dxa"/>
        <w:jc w:val="left"/>
        <w:tblInd w:w="-7" w:type="dxa"/>
        <w:tblLayout w:type="fixed"/>
        <w:tblCellMar>
          <w:top w:w="60" w:type="dxa"/>
          <w:left w:w="60" w:type="dxa"/>
          <w:bottom w:w="60" w:type="dxa"/>
          <w:right w:w="60" w:type="dxa"/>
        </w:tblCellMar>
      </w:tblPr>
      <w:tblGrid>
        <w:gridCol w:w="965"/>
        <w:gridCol w:w="861"/>
        <w:gridCol w:w="891"/>
        <w:gridCol w:w="771"/>
        <w:gridCol w:w="591"/>
        <w:gridCol w:w="300"/>
        <w:gridCol w:w="966"/>
        <w:gridCol w:w="276"/>
        <w:gridCol w:w="906"/>
        <w:gridCol w:w="801"/>
        <w:gridCol w:w="891"/>
        <w:gridCol w:w="1221"/>
        <w:gridCol w:w="801"/>
        <w:gridCol w:w="1071"/>
        <w:gridCol w:w="831"/>
        <w:gridCol w:w="1296"/>
      </w:tblGrid>
      <w:tr>
        <w:trPr>
          <w:tblHeader w:val="true"/>
        </w:trPr>
        <w:tc>
          <w:tcPr>
            <w:tcW w:w="134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2,808,459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2,808,459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10,874,987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Diamondback E&amp;P LLC</w:t>
            </w:r>
          </w:p>
        </w:tc>
      </w:tr>
      <w:tr>
        <w:trPr/>
        <w:tc>
          <w:tcPr>
            <w:tcW w:w="9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Operating Company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2,808,459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2,808,459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10,874,987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Diamondback E&amp;P LLC</w:t>
            </w:r>
          </w:p>
        </w:tc>
      </w:tr>
      <w:tr>
        <w:trPr/>
        <w:tc>
          <w:tcPr>
            <w:tcW w:w="9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70,633,640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Endeavor Energy Resources, L.P.</w:t>
            </w:r>
          </w:p>
        </w:tc>
      </w:tr>
      <w:tr>
        <w:trPr/>
        <w:tc>
          <w:tcPr>
            <w:tcW w:w="9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Operating Company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70,633,640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Endeavor Energy Resources, L.P.</w:t>
            </w:r>
          </w:p>
        </w:tc>
      </w:tr>
      <w:tr>
        <w:trPr/>
        <w:tc>
          <w:tcPr>
            <w:tcW w:w="9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64,463,550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64,463,550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Operating Company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64,463,550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64,463,550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Amended and Restated Limited Liability Company Agreement of VNOM Holding Company LLC, each share Class B Common Stock, together with an equal number of Operating Company Units, is redeemable at the holder's discretion for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3, 2026, the Issuer, as parent, and Viper Energy Partners LP, as buyer, entered into a definitive purchase agreement to acquire certain mineral and royalty interests from the Reporting Persons and related subsidiaries in exchange for an aggregate of 3,815,459 Operating Company Units and an equivalent number of shares of the Issuer's Class B Common Stock (the "Purchase Agreement"). The transactions contemplated by the Purchase Agreement closed on September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Teresa L. Dick as Executive Vice President of Accounting and Assistant Secretary of Diamondback Energy, Inc.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9838" TargetMode="External"/><Relationship Id="rId5" Type="http://schemas.openxmlformats.org/officeDocument/2006/relationships/hyperlink" Target="http://www.sec.gov/cgi-bin/browse-edgar?action=getcompany&amp;CIK=00020741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4331</Characters>
  <CharactersWithSpaces>5007</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