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51435</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113665</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16" w:lineRule="exact"/>
        <w:rPr>
          <w:sz w:val="24"/>
          <w:szCs w:val="24"/>
          <w:color w:val="auto"/>
        </w:rPr>
      </w:pPr>
    </w:p>
    <w:p>
      <w:pPr>
        <w:ind w:left="640" w:right="120" w:hanging="614"/>
        <w:spacing w:after="0" w:line="238" w:lineRule="auto"/>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3"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PURSUANT TO SECTION 13 OR 15(d) OF SECURITIES EXCHANGE ACT OF 1934</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208280</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Viper Energy Partners LP</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63" w:lineRule="exact"/>
        <w:rPr>
          <w:sz w:val="24"/>
          <w:szCs w:val="24"/>
          <w:color w:val="auto"/>
        </w:rPr>
      </w:pPr>
    </w:p>
    <w:tbl>
      <w:tblPr>
        <w:tblLayout w:type="fixed"/>
        <w:tblInd w:w="1980" w:type="dxa"/>
        <w:tblCellMar>
          <w:top w:w="0" w:type="dxa"/>
          <w:left w:w="0" w:type="dxa"/>
          <w:bottom w:w="0" w:type="dxa"/>
          <w:right w:w="0" w:type="dxa"/>
        </w:tblCellMar>
      </w:tblPr>
      <w:tr>
        <w:trPr>
          <w:trHeight w:val="212"/>
        </w:trPr>
        <w:tc>
          <w:tcPr>
            <w:tcW w:w="3780" w:type="dxa"/>
            <w:vAlign w:val="bottom"/>
          </w:tcPr>
          <w:p>
            <w:pPr>
              <w:jc w:val="center"/>
              <w:ind w:right="763"/>
              <w:spacing w:after="0"/>
              <w:rPr>
                <w:sz w:val="20"/>
                <w:szCs w:val="20"/>
                <w:color w:val="auto"/>
              </w:rPr>
            </w:pPr>
            <w:r>
              <w:rPr>
                <w:rFonts w:ascii="Times New Roman" w:cs="Times New Roman" w:eastAsia="Times New Roman" w:hAnsi="Times New Roman"/>
                <w:sz w:val="16"/>
                <w:szCs w:val="16"/>
                <w:b w:val="1"/>
                <w:bCs w:val="1"/>
                <w:color w:val="auto"/>
                <w:w w:val="98"/>
              </w:rPr>
              <w:t>DE</w:t>
            </w:r>
          </w:p>
        </w:tc>
        <w:tc>
          <w:tcPr>
            <w:tcW w:w="3340" w:type="dxa"/>
            <w:vAlign w:val="bottom"/>
          </w:tcPr>
          <w:p>
            <w:pPr>
              <w:jc w:val="right"/>
              <w:ind w:right="784"/>
              <w:spacing w:after="0"/>
              <w:rPr>
                <w:sz w:val="20"/>
                <w:szCs w:val="20"/>
                <w:color w:val="auto"/>
              </w:rPr>
            </w:pPr>
            <w:r>
              <w:rPr>
                <w:rFonts w:ascii="Times New Roman" w:cs="Times New Roman" w:eastAsia="Times New Roman" w:hAnsi="Times New Roman"/>
                <w:sz w:val="16"/>
                <w:szCs w:val="16"/>
                <w:b w:val="1"/>
                <w:bCs w:val="1"/>
                <w:color w:val="auto"/>
              </w:rPr>
              <w:t>46-5001985</w:t>
            </w:r>
          </w:p>
        </w:tc>
        <w:tc>
          <w:tcPr>
            <w:tcW w:w="0" w:type="dxa"/>
            <w:vAlign w:val="bottom"/>
          </w:tcPr>
          <w:p>
            <w:pPr>
              <w:spacing w:after="0"/>
              <w:rPr>
                <w:sz w:val="1"/>
                <w:szCs w:val="1"/>
                <w:color w:val="auto"/>
              </w:rPr>
            </w:pPr>
          </w:p>
        </w:tc>
      </w:tr>
      <w:tr>
        <w:trPr>
          <w:trHeight w:val="359"/>
        </w:trPr>
        <w:tc>
          <w:tcPr>
            <w:tcW w:w="3780" w:type="dxa"/>
            <w:vAlign w:val="bottom"/>
          </w:tcPr>
          <w:p>
            <w:pPr>
              <w:jc w:val="center"/>
              <w:ind w:right="763"/>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w:t>
            </w:r>
          </w:p>
        </w:tc>
        <w:tc>
          <w:tcPr>
            <w:tcW w:w="3340" w:type="dxa"/>
            <w:vAlign w:val="bottom"/>
          </w:tcPr>
          <w:p>
            <w:pPr>
              <w:jc w:val="center"/>
              <w:ind w:left="764"/>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c>
          <w:tcPr>
            <w:tcW w:w="0" w:type="dxa"/>
            <w:vAlign w:val="bottom"/>
          </w:tcPr>
          <w:p>
            <w:pPr>
              <w:spacing w:after="0"/>
              <w:rPr>
                <w:sz w:val="1"/>
                <w:szCs w:val="1"/>
                <w:color w:val="auto"/>
              </w:rPr>
            </w:pPr>
          </w:p>
        </w:tc>
      </w:tr>
      <w:tr>
        <w:trPr>
          <w:trHeight w:val="190"/>
        </w:trPr>
        <w:tc>
          <w:tcPr>
            <w:tcW w:w="3780" w:type="dxa"/>
            <w:vAlign w:val="bottom"/>
          </w:tcPr>
          <w:p>
            <w:pPr>
              <w:jc w:val="center"/>
              <w:ind w:right="763"/>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3780" w:type="dxa"/>
            <w:vAlign w:val="bottom"/>
          </w:tcPr>
          <w:p>
            <w:pPr>
              <w:jc w:val="center"/>
              <w:ind w:right="763"/>
              <w:spacing w:after="0"/>
              <w:rPr>
                <w:sz w:val="20"/>
                <w:szCs w:val="20"/>
                <w:color w:val="auto"/>
              </w:rPr>
            </w:pPr>
            <w:r>
              <w:rPr>
                <w:rFonts w:ascii="Times New Roman" w:cs="Times New Roman" w:eastAsia="Times New Roman" w:hAnsi="Times New Roman"/>
                <w:sz w:val="16"/>
                <w:szCs w:val="16"/>
                <w:b w:val="1"/>
                <w:bCs w:val="1"/>
                <w:color w:val="auto"/>
                <w:w w:val="99"/>
              </w:rPr>
              <w:t>500 West Texas</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tcPr>
          <w:p>
            <w:pPr>
              <w:jc w:val="center"/>
              <w:ind w:right="763"/>
              <w:spacing w:after="0"/>
              <w:rPr>
                <w:sz w:val="20"/>
                <w:szCs w:val="20"/>
                <w:color w:val="auto"/>
              </w:rPr>
            </w:pPr>
            <w:r>
              <w:rPr>
                <w:rFonts w:ascii="Times New Roman" w:cs="Times New Roman" w:eastAsia="Times New Roman" w:hAnsi="Times New Roman"/>
                <w:sz w:val="16"/>
                <w:szCs w:val="16"/>
                <w:b w:val="1"/>
                <w:bCs w:val="1"/>
                <w:color w:val="auto"/>
                <w:w w:val="98"/>
              </w:rPr>
              <w:t>Suite 1200</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vMerge w:val="restart"/>
          </w:tcPr>
          <w:p>
            <w:pPr>
              <w:jc w:val="center"/>
              <w:ind w:right="763"/>
              <w:spacing w:after="0"/>
              <w:rPr>
                <w:sz w:val="20"/>
                <w:szCs w:val="20"/>
                <w:color w:val="auto"/>
              </w:rPr>
            </w:pPr>
            <w:r>
              <w:rPr>
                <w:rFonts w:ascii="Times New Roman" w:cs="Times New Roman" w:eastAsia="Times New Roman" w:hAnsi="Times New Roman"/>
                <w:sz w:val="16"/>
                <w:szCs w:val="16"/>
                <w:b w:val="1"/>
                <w:bCs w:val="1"/>
                <w:color w:val="auto"/>
              </w:rPr>
              <w:t>Midland, TX</w:t>
            </w:r>
          </w:p>
        </w:tc>
        <w:tc>
          <w:tcPr>
            <w:tcW w:w="3340" w:type="dxa"/>
            <w:vAlign w:val="bottom"/>
          </w:tcPr>
          <w:p>
            <w:pPr>
              <w:jc w:val="right"/>
              <w:ind w:right="984"/>
              <w:spacing w:after="0"/>
              <w:rPr>
                <w:sz w:val="20"/>
                <w:szCs w:val="20"/>
                <w:color w:val="auto"/>
              </w:rPr>
            </w:pPr>
            <w:r>
              <w:rPr>
                <w:rFonts w:ascii="Times New Roman" w:cs="Times New Roman" w:eastAsia="Times New Roman" w:hAnsi="Times New Roman"/>
                <w:sz w:val="16"/>
                <w:szCs w:val="16"/>
                <w:b w:val="1"/>
                <w:bCs w:val="1"/>
                <w:color w:val="auto"/>
              </w:rPr>
              <w:t>79701</w:t>
            </w:r>
          </w:p>
        </w:tc>
        <w:tc>
          <w:tcPr>
            <w:tcW w:w="0" w:type="dxa"/>
            <w:vAlign w:val="bottom"/>
          </w:tcPr>
          <w:p>
            <w:pPr>
              <w:spacing w:after="0"/>
              <w:rPr>
                <w:sz w:val="1"/>
                <w:szCs w:val="1"/>
                <w:color w:val="auto"/>
              </w:rPr>
            </w:pPr>
          </w:p>
        </w:tc>
      </w:tr>
      <w:tr>
        <w:trPr>
          <w:trHeight w:val="108"/>
        </w:trPr>
        <w:tc>
          <w:tcPr>
            <w:tcW w:w="3780" w:type="dxa"/>
            <w:vAlign w:val="bottom"/>
            <w:vMerge w:val="continue"/>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3780" w:type="dxa"/>
            <w:vAlign w:val="bottom"/>
          </w:tcPr>
          <w:p>
            <w:pPr>
              <w:jc w:val="center"/>
              <w:ind w:right="76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40" w:type="dxa"/>
            <w:vAlign w:val="bottom"/>
          </w:tcPr>
          <w:p>
            <w:pPr>
              <w:jc w:val="center"/>
              <w:ind w:left="764"/>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(432) 221-7400</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Exchange Act of 1934:</w:t>
      </w:r>
    </w:p>
    <w:p>
      <w:pPr>
        <w:spacing w:after="0" w:line="137" w:lineRule="exact"/>
        <w:rPr>
          <w:sz w:val="24"/>
          <w:szCs w:val="24"/>
          <w:color w:val="auto"/>
        </w:rPr>
      </w:pPr>
    </w:p>
    <w:tbl>
      <w:tblPr>
        <w:tblLayout w:type="fixed"/>
        <w:tblInd w:w="2820" w:type="dxa"/>
        <w:tblCellMar>
          <w:top w:w="0" w:type="dxa"/>
          <w:left w:w="0" w:type="dxa"/>
          <w:bottom w:w="0" w:type="dxa"/>
          <w:right w:w="0" w:type="dxa"/>
        </w:tblCellMar>
      </w:tblPr>
      <w:tr>
        <w:trPr>
          <w:trHeight w:val="184"/>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520" w:type="dxa"/>
            <w:vAlign w:val="bottom"/>
          </w:tcPr>
          <w:p>
            <w:pPr>
              <w:spacing w:after="0"/>
              <w:rPr>
                <w:sz w:val="16"/>
                <w:szCs w:val="16"/>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Common Units</w:t>
            </w:r>
          </w:p>
        </w:tc>
        <w:tc>
          <w:tcPr>
            <w:tcW w:w="420" w:type="dxa"/>
            <w:vAlign w:val="bottom"/>
          </w:tcPr>
          <w:p>
            <w:pPr>
              <w:spacing w:after="0"/>
              <w:rPr>
                <w:sz w:val="20"/>
                <w:szCs w:val="20"/>
                <w:color w:val="auto"/>
              </w:rPr>
            </w:pPr>
          </w:p>
        </w:tc>
        <w:tc>
          <w:tcPr>
            <w:tcW w:w="182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VNOM</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6"/>
        </w:trPr>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1" w:lineRule="exact"/>
        <w:rPr>
          <w:sz w:val="24"/>
          <w:szCs w:val="24"/>
          <w:color w:val="auto"/>
        </w:rPr>
      </w:pPr>
    </w:p>
    <w:p>
      <w:pPr>
        <w:ind w:right="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6"/>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6"/>
        </w:trPr>
        <w:tc>
          <w:tcPr>
            <w:tcW w:w="22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10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161" w:lineRule="exact"/>
        <w:tabs>
          <w:tab w:leader="none" w:pos="6660" w:val="left"/>
          <w:tab w:leader="none" w:pos="72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29, 2022, the registrant had outstanding 76,966,203 common units representing limited partner interests and 90,709,946 Class B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MARCH 31, 2022</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0000FF"/>
            </w:tcBorders>
            <w:gridSpan w:val="8"/>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Glossary of Oil and Natural Gas Terms</w:t>
            </w:r>
          </w:p>
        </w:tc>
        <w:tc>
          <w:tcPr>
            <w:tcW w:w="7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0000FF"/>
                <w:w w:val="99"/>
              </w:rPr>
              <w:t>ii</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40" w:type="dxa"/>
            <w:vAlign w:val="bottom"/>
            <w:gridSpan w:val="23"/>
          </w:tcPr>
          <w:p>
            <w:pPr>
              <w:spacing w:after="0" w:line="183" w:lineRule="exact"/>
              <w:rPr>
                <w:sz w:val="20"/>
                <w:szCs w:val="20"/>
                <w:color w:val="auto"/>
              </w:rPr>
            </w:pPr>
            <w:r>
              <w:rPr>
                <w:rFonts w:ascii="Times New Roman" w:cs="Times New Roman" w:eastAsia="Times New Roman" w:hAnsi="Times New Roman"/>
                <w:sz w:val="18"/>
                <w:szCs w:val="18"/>
                <w:color w:val="0000FF"/>
              </w:rPr>
              <w:t>Glossary of Certain Other Terms</w:t>
            </w:r>
          </w:p>
        </w:tc>
        <w:tc>
          <w:tcPr>
            <w:tcW w:w="280" w:type="dxa"/>
            <w:vAlign w:val="bottom"/>
          </w:tcPr>
          <w:p>
            <w:pPr>
              <w:spacing w:after="0"/>
              <w:rPr>
                <w:sz w:val="15"/>
                <w:szCs w:val="15"/>
                <w:color w:val="auto"/>
              </w:rPr>
            </w:pPr>
          </w:p>
        </w:tc>
        <w:tc>
          <w:tcPr>
            <w:tcW w:w="380" w:type="dxa"/>
            <w:vAlign w:val="bottom"/>
            <w:gridSpan w:val="2"/>
          </w:tcPr>
          <w:p>
            <w:pPr>
              <w:jc w:val="center"/>
              <w:ind w:right="260"/>
              <w:spacing w:after="0" w:line="183" w:lineRule="exact"/>
              <w:rPr>
                <w:sz w:val="20"/>
                <w:szCs w:val="20"/>
                <w:color w:val="auto"/>
              </w:rPr>
            </w:pPr>
            <w:r>
              <w:rPr>
                <w:rFonts w:ascii="Times New Roman" w:cs="Times New Roman" w:eastAsia="Times New Roman" w:hAnsi="Times New Roman"/>
                <w:sz w:val="18"/>
                <w:szCs w:val="18"/>
                <w:color w:val="0000FF"/>
                <w:w w:val="79"/>
              </w:rPr>
              <w:t>iii</w:t>
            </w: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0000FF"/>
                <w:w w:val="85"/>
              </w:rPr>
              <w:t>iv</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960" w:type="dxa"/>
            <w:vAlign w:val="bottom"/>
            <w:gridSpan w:val="14"/>
            <w:shd w:val="clear" w:color="auto" w:fill="CCEEFF"/>
          </w:tcPr>
          <w:p>
            <w:pPr>
              <w:jc w:val="center"/>
              <w:ind w:right="294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Item 1. Condensed Consolidated Financial Statements (Unaudited)</w:t>
            </w:r>
          </w:p>
        </w:tc>
        <w:tc>
          <w:tcPr>
            <w:tcW w:w="420" w:type="dxa"/>
            <w:vAlign w:val="bottom"/>
            <w:gridSpan w:val="2"/>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0000FF"/>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8"/>
              </w:rPr>
              <w:t>Condensed Consolidated Balance Sheets</w:t>
            </w:r>
          </w:p>
        </w:tc>
        <w:tc>
          <w:tcPr>
            <w:tcW w:w="6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gridSpan w:val="2"/>
            <w:shd w:val="clear" w:color="auto" w:fill="CCEEFF"/>
          </w:tcPr>
          <w:p>
            <w:pPr>
              <w:spacing w:after="0"/>
              <w:rPr>
                <w:sz w:val="19"/>
                <w:szCs w:val="19"/>
                <w:color w:val="auto"/>
              </w:rPr>
            </w:pPr>
          </w:p>
        </w:tc>
        <w:tc>
          <w:tcPr>
            <w:tcW w:w="420" w:type="dxa"/>
            <w:vAlign w:val="bottom"/>
            <w:tcBorders>
              <w:bottom w:val="single" w:sz="8" w:color="CCEEFF"/>
              <w:right w:val="single" w:sz="8" w:color="CCEEFF"/>
            </w:tcBorders>
            <w:gridSpan w:val="2"/>
            <w:shd w:val="clear" w:color="auto" w:fill="CCEEFF"/>
          </w:tcPr>
          <w:p>
            <w:pPr>
              <w:jc w:val="center"/>
              <w:ind w:left="130"/>
              <w:spacing w:after="0" w:line="196" w:lineRule="exact"/>
              <w:rPr>
                <w:sz w:val="20"/>
                <w:szCs w:val="20"/>
                <w:color w:val="auto"/>
              </w:rPr>
            </w:pPr>
            <w:r>
              <w:rPr>
                <w:rFonts w:ascii="Times New Roman" w:cs="Times New Roman" w:eastAsia="Times New Roman" w:hAnsi="Times New Roman"/>
                <w:sz w:val="18"/>
                <w:szCs w:val="18"/>
                <w:color w:val="0000FF"/>
                <w:w w:val="88"/>
              </w:rPr>
              <w:t>1</w:t>
            </w:r>
          </w:p>
        </w:tc>
        <w:tc>
          <w:tcPr>
            <w:tcW w:w="240" w:type="dxa"/>
            <w:vAlign w:val="bottom"/>
            <w:tcBorders>
              <w:bottom w:val="single" w:sz="8" w:color="CCEEFF"/>
            </w:tcBorders>
            <w:shd w:val="clear" w:color="auto" w:fill="CCEEFF"/>
          </w:tcPr>
          <w:p>
            <w:pPr>
              <w:spacing w:after="0"/>
              <w:rPr>
                <w:sz w:val="19"/>
                <w:szCs w:val="19"/>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0000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20" w:type="dxa"/>
            <w:vAlign w:val="bottom"/>
            <w:gridSpan w:val="2"/>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to Unitholders’ Equity</w:t>
            </w:r>
          </w:p>
        </w:tc>
        <w:tc>
          <w:tcPr>
            <w:tcW w:w="420" w:type="dxa"/>
            <w:vAlign w:val="bottom"/>
            <w:tcBorders>
              <w:right w:val="single" w:sz="8" w:color="CCEEFF"/>
            </w:tcBorders>
            <w:gridSpan w:val="2"/>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14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740" w:type="dxa"/>
            <w:vAlign w:val="bottom"/>
            <w:gridSpan w:val="4"/>
          </w:tcPr>
          <w:p>
            <w:pPr>
              <w:spacing w:after="0"/>
              <w:rPr>
                <w:sz w:val="16"/>
                <w:szCs w:val="16"/>
                <w:color w:val="auto"/>
              </w:rPr>
            </w:pPr>
          </w:p>
        </w:tc>
        <w:tc>
          <w:tcPr>
            <w:tcW w:w="420" w:type="dxa"/>
            <w:vAlign w:val="bottom"/>
            <w:gridSpan w:val="2"/>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Notes to Consolidated Financial Statements</w:t>
            </w:r>
          </w:p>
        </w:tc>
        <w:tc>
          <w:tcPr>
            <w:tcW w:w="420" w:type="dxa"/>
            <w:vAlign w:val="bottom"/>
            <w:tcBorders>
              <w:right w:val="single" w:sz="8" w:color="CCEEFF"/>
            </w:tcBorders>
            <w:gridSpan w:val="2"/>
            <w:shd w:val="clear" w:color="auto" w:fill="CCEEFF"/>
          </w:tcPr>
          <w:p>
            <w:pPr>
              <w:jc w:val="center"/>
              <w:ind w:left="13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6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16</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900" w:type="dxa"/>
            <w:vAlign w:val="bottom"/>
            <w:tcBorders>
              <w:top w:val="single" w:sz="8" w:color="0000FF"/>
            </w:tcBorders>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66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26</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66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27</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0000FF"/>
            </w:tcBorders>
            <w:gridSpan w:val="9"/>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356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66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28</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66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28</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66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29</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66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30</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31</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87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GLOSSARY OF OIL AND NATURAL GAS TERMS</w:t>
            </w:r>
          </w:p>
        </w:tc>
      </w:tr>
      <w:tr>
        <w:trPr>
          <w:trHeight w:val="378"/>
        </w:trPr>
        <w:tc>
          <w:tcPr>
            <w:tcW w:w="1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is a glossary of certain oil and natural gas terms that are used in this Quarterly Report on Form 10-Q (this “report”):</w:t>
            </w:r>
          </w:p>
        </w:tc>
      </w:tr>
      <w:tr>
        <w:trPr>
          <w:trHeight w:val="122"/>
        </w:trPr>
        <w:tc>
          <w:tcPr>
            <w:tcW w:w="244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tcPr>
          <w:p>
            <w:pPr>
              <w:spacing w:after="0"/>
              <w:rPr>
                <w:sz w:val="10"/>
                <w:szCs w:val="10"/>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Basin</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 large depression on the earth’s surface in which sediments accumulate.</w:t>
            </w:r>
          </w:p>
        </w:tc>
      </w:tr>
      <w:tr>
        <w:trPr>
          <w:trHeight w:val="176"/>
        </w:trPr>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Bbl or barrel</w:t>
            </w:r>
          </w:p>
        </w:tc>
        <w:tc>
          <w:tcPr>
            <w:tcW w:w="87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One stock tank barrel, or 42 U.S. gallons liquid volume, used in this report in reference to crude oil or other liquid</w:t>
            </w:r>
          </w:p>
        </w:tc>
      </w:tr>
      <w:tr>
        <w:trPr>
          <w:trHeight w:val="239"/>
        </w:trPr>
        <w:tc>
          <w:tcPr>
            <w:tcW w:w="2440" w:type="dxa"/>
            <w:vAlign w:val="bottom"/>
          </w:tcPr>
          <w:p>
            <w:pPr>
              <w:spacing w:after="0"/>
              <w:rPr>
                <w:sz w:val="20"/>
                <w:szCs w:val="20"/>
                <w:color w:val="auto"/>
              </w:rPr>
            </w:pPr>
          </w:p>
        </w:tc>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hydrocarbons.</w:t>
            </w:r>
          </w:p>
        </w:tc>
      </w:tr>
      <w:tr>
        <w:trPr>
          <w:trHeight w:val="23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One barrel of oil.</w:t>
            </w: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BO/d</w:t>
            </w:r>
          </w:p>
        </w:tc>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 per day.</w:t>
            </w: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One barrel of oil equivalent, with six thousand cubic feet of natural gas being equivalent to one barrel of oil.</w:t>
            </w: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BOE/d</w:t>
            </w:r>
          </w:p>
        </w:tc>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BOE per day.</w:t>
            </w: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Thermal Unit or Btu</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quantity of heat required to raise the temperature of one pound of water by one degree Fahrenheit.</w:t>
            </w:r>
          </w:p>
        </w:tc>
      </w:tr>
      <w:tr>
        <w:trPr>
          <w:trHeight w:val="23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Condensate</w:t>
            </w:r>
          </w:p>
        </w:tc>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Liquid hydrocarbons associated with the production of a primarily natural gas reserve.</w:t>
            </w: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Horizontal wells</w:t>
            </w:r>
          </w:p>
        </w:tc>
        <w:tc>
          <w:tcPr>
            <w:tcW w:w="878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Wells drilled directionally horizontal to allow for development of structures not reachable through traditional vertical</w:t>
            </w:r>
          </w:p>
        </w:tc>
      </w:tr>
      <w:tr>
        <w:trPr>
          <w:trHeight w:val="243"/>
        </w:trPr>
        <w:tc>
          <w:tcPr>
            <w:tcW w:w="2440" w:type="dxa"/>
            <w:vAlign w:val="bottom"/>
            <w:shd w:val="clear" w:color="auto" w:fill="CCEEFF"/>
          </w:tcPr>
          <w:p>
            <w:pPr>
              <w:spacing w:after="0"/>
              <w:rPr>
                <w:sz w:val="21"/>
                <w:szCs w:val="21"/>
                <w:color w:val="auto"/>
              </w:rPr>
            </w:pP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drilling mechanisms.</w:t>
            </w: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MBbls</w:t>
            </w:r>
          </w:p>
        </w:tc>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Thousand barrels of crude oil or other liquid hydrocarbons.</w:t>
            </w: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MBOE</w:t>
            </w:r>
          </w:p>
        </w:tc>
        <w:tc>
          <w:tcPr>
            <w:tcW w:w="878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One thousand barrels of crude oil equivalent, determined using a ratio of six Mcf of natural gas to one Bbl of crude</w:t>
            </w:r>
          </w:p>
        </w:tc>
      </w:tr>
      <w:tr>
        <w:trPr>
          <w:trHeight w:val="243"/>
        </w:trPr>
        <w:tc>
          <w:tcPr>
            <w:tcW w:w="2440" w:type="dxa"/>
            <w:vAlign w:val="bottom"/>
            <w:shd w:val="clear" w:color="auto" w:fill="CCEEFF"/>
          </w:tcPr>
          <w:p>
            <w:pPr>
              <w:spacing w:after="0"/>
              <w:rPr>
                <w:sz w:val="21"/>
                <w:szCs w:val="21"/>
                <w:color w:val="auto"/>
              </w:rPr>
            </w:pP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oil, condensate or natural gas liquids.</w:t>
            </w:r>
          </w:p>
        </w:tc>
      </w:tr>
      <w:tr>
        <w:trPr>
          <w:trHeight w:val="23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Mcf</w:t>
            </w:r>
          </w:p>
        </w:tc>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One thousand cubic feet of natural gas.</w:t>
            </w: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Mineral interests</w:t>
            </w:r>
          </w:p>
        </w:tc>
        <w:tc>
          <w:tcPr>
            <w:tcW w:w="878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The interests in ownership of the resource and mineral rights, giving an owner the right to profit from the extracted</w:t>
            </w:r>
          </w:p>
        </w:tc>
      </w:tr>
      <w:tr>
        <w:trPr>
          <w:trHeight w:val="243"/>
        </w:trPr>
        <w:tc>
          <w:tcPr>
            <w:tcW w:w="2440" w:type="dxa"/>
            <w:vAlign w:val="bottom"/>
            <w:shd w:val="clear" w:color="auto" w:fill="CCEEFF"/>
          </w:tcPr>
          <w:p>
            <w:pPr>
              <w:spacing w:after="0"/>
              <w:rPr>
                <w:sz w:val="21"/>
                <w:szCs w:val="21"/>
                <w:color w:val="auto"/>
              </w:rPr>
            </w:pP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resources.</w:t>
            </w: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MMBtu</w:t>
            </w:r>
          </w:p>
        </w:tc>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One million British Thermal Units.</w:t>
            </w: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royalty acres</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mineral acres multiplied by the average lease royalty interest and other burdens.</w:t>
            </w: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Tracts of land consisting of properties to be developed for oil and natural gas resource extraction.</w:t>
            </w: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Operator</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individual or company responsible for the exploration and/or production of an oil or natural gas well or lease.</w:t>
            </w:r>
          </w:p>
        </w:tc>
      </w:tr>
      <w:tr>
        <w:trPr>
          <w:trHeight w:val="176"/>
        </w:trPr>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Prospect</w:t>
            </w:r>
          </w:p>
        </w:tc>
        <w:tc>
          <w:tcPr>
            <w:tcW w:w="87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A specific geographic area which, based on supporting geological, geophysical or other data and also preliminary</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economic analysis using reasonably anticipated prices and costs, is deemed to have potential for the discovery of</w:t>
            </w:r>
          </w:p>
        </w:tc>
      </w:tr>
      <w:tr>
        <w:trPr>
          <w:trHeight w:val="239"/>
        </w:trPr>
        <w:tc>
          <w:tcPr>
            <w:tcW w:w="2440" w:type="dxa"/>
            <w:vAlign w:val="bottom"/>
          </w:tcPr>
          <w:p>
            <w:pPr>
              <w:spacing w:after="0"/>
              <w:rPr>
                <w:sz w:val="20"/>
                <w:szCs w:val="20"/>
                <w:color w:val="auto"/>
              </w:rPr>
            </w:pPr>
          </w:p>
        </w:tc>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 hydrocarbons.</w:t>
            </w:r>
          </w:p>
        </w:tc>
      </w:tr>
      <w:tr>
        <w:trPr>
          <w:trHeight w:val="180"/>
        </w:trPr>
        <w:tc>
          <w:tcPr>
            <w:tcW w:w="24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Proved reserves</w:t>
            </w:r>
          </w:p>
        </w:tc>
        <w:tc>
          <w:tcPr>
            <w:tcW w:w="878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8"/>
                <w:szCs w:val="18"/>
                <w:color w:val="auto"/>
                <w:w w:val="99"/>
              </w:rPr>
              <w:t>The estimated quantities of oil, natural gas and natural gas liquids which geological and engineering data demonstrate</w:t>
            </w:r>
          </w:p>
        </w:tc>
      </w:tr>
      <w:tr>
        <w:trPr>
          <w:trHeight w:val="175"/>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with reasonable certainty to be commercially recoverable in future years from known reservoirs under existing</w:t>
            </w:r>
          </w:p>
        </w:tc>
      </w:tr>
      <w:tr>
        <w:trPr>
          <w:trHeight w:val="243"/>
        </w:trPr>
        <w:tc>
          <w:tcPr>
            <w:tcW w:w="2440" w:type="dxa"/>
            <w:vAlign w:val="bottom"/>
            <w:shd w:val="clear" w:color="auto" w:fill="CCEEFF"/>
          </w:tcPr>
          <w:p>
            <w:pPr>
              <w:spacing w:after="0"/>
              <w:rPr>
                <w:sz w:val="21"/>
                <w:szCs w:val="21"/>
                <w:color w:val="auto"/>
              </w:rPr>
            </w:pP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economic and operating conditions.</w:t>
            </w:r>
          </w:p>
        </w:tc>
      </w:tr>
      <w:tr>
        <w:trPr>
          <w:trHeight w:val="175"/>
        </w:trPr>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Reserves</w:t>
            </w:r>
          </w:p>
        </w:tc>
        <w:tc>
          <w:tcPr>
            <w:tcW w:w="87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The estimated remaining quantities of oil and natural gas and related substances anticipated to be economically</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producible, as of a given date, by application of development projects to known accumulations. In addition, there</w:t>
            </w:r>
          </w:p>
        </w:tc>
      </w:tr>
      <w:tr>
        <w:trPr>
          <w:trHeight w:val="184"/>
        </w:trPr>
        <w:tc>
          <w:tcPr>
            <w:tcW w:w="2440" w:type="dxa"/>
            <w:vAlign w:val="bottom"/>
          </w:tcPr>
          <w:p>
            <w:pPr>
              <w:spacing w:after="0"/>
              <w:rPr>
                <w:sz w:val="16"/>
                <w:szCs w:val="16"/>
                <w:color w:val="auto"/>
              </w:rPr>
            </w:pPr>
          </w:p>
        </w:tc>
        <w:tc>
          <w:tcPr>
            <w:tcW w:w="878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must exist, or there must be a reasonable expectation that there will exist, the legal right to produce or a revenue</w:t>
            </w:r>
          </w:p>
        </w:tc>
      </w:tr>
      <w:tr>
        <w:trPr>
          <w:trHeight w:val="180"/>
        </w:trPr>
        <w:tc>
          <w:tcPr>
            <w:tcW w:w="2440" w:type="dxa"/>
            <w:vAlign w:val="bottom"/>
          </w:tcPr>
          <w:p>
            <w:pPr>
              <w:spacing w:after="0"/>
              <w:rPr>
                <w:sz w:val="15"/>
                <w:szCs w:val="15"/>
                <w:color w:val="auto"/>
              </w:rPr>
            </w:pPr>
          </w:p>
        </w:tc>
        <w:tc>
          <w:tcPr>
            <w:tcW w:w="878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interest in the production, installed means of delivering oil and natural gas or related substances to the market and all</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permits and financing required to implement the project. Reserves are not assigned to adjacent reservoirs isolated by</w:t>
            </w:r>
          </w:p>
        </w:tc>
      </w:tr>
      <w:tr>
        <w:trPr>
          <w:trHeight w:val="184"/>
        </w:trPr>
        <w:tc>
          <w:tcPr>
            <w:tcW w:w="2440" w:type="dxa"/>
            <w:vAlign w:val="bottom"/>
          </w:tcPr>
          <w:p>
            <w:pPr>
              <w:spacing w:after="0"/>
              <w:rPr>
                <w:sz w:val="16"/>
                <w:szCs w:val="16"/>
                <w:color w:val="auto"/>
              </w:rPr>
            </w:pPr>
          </w:p>
        </w:tc>
        <w:tc>
          <w:tcPr>
            <w:tcW w:w="878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major, potentially sealing, faults until those reservoirs are penetrated and evaluated as economically producible.</w:t>
            </w:r>
          </w:p>
        </w:tc>
      </w:tr>
      <w:tr>
        <w:trPr>
          <w:trHeight w:val="180"/>
        </w:trPr>
        <w:tc>
          <w:tcPr>
            <w:tcW w:w="2440" w:type="dxa"/>
            <w:vAlign w:val="bottom"/>
          </w:tcPr>
          <w:p>
            <w:pPr>
              <w:spacing w:after="0"/>
              <w:rPr>
                <w:sz w:val="15"/>
                <w:szCs w:val="15"/>
                <w:color w:val="auto"/>
              </w:rPr>
            </w:pPr>
          </w:p>
        </w:tc>
        <w:tc>
          <w:tcPr>
            <w:tcW w:w="878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Reserves should not be assigned to areas that are clearly separated from a known accumulation by a non-productive</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reservoir (i.e., absence of reservoir, structurally low reservoir or negative test results). Such areas may contain</w:t>
            </w:r>
          </w:p>
        </w:tc>
      </w:tr>
      <w:tr>
        <w:trPr>
          <w:trHeight w:val="239"/>
        </w:trPr>
        <w:tc>
          <w:tcPr>
            <w:tcW w:w="2440" w:type="dxa"/>
            <w:vAlign w:val="bottom"/>
          </w:tcPr>
          <w:p>
            <w:pPr>
              <w:spacing w:after="0"/>
              <w:rPr>
                <w:sz w:val="20"/>
                <w:szCs w:val="20"/>
                <w:color w:val="auto"/>
              </w:rPr>
            </w:pPr>
          </w:p>
        </w:tc>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prospective resources (i.e., potentially recoverable resources from undiscovered accumulations).</w:t>
            </w:r>
          </w:p>
        </w:tc>
      </w:tr>
      <w:tr>
        <w:trPr>
          <w:trHeight w:val="180"/>
        </w:trPr>
        <w:tc>
          <w:tcPr>
            <w:tcW w:w="24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Reservoir</w:t>
            </w:r>
          </w:p>
        </w:tc>
        <w:tc>
          <w:tcPr>
            <w:tcW w:w="878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8"/>
                <w:szCs w:val="18"/>
                <w:color w:val="auto"/>
              </w:rPr>
              <w:t>A porous and permeable underground formation containing a natural accumulation of producible natural gas and/or</w:t>
            </w:r>
          </w:p>
        </w:tc>
      </w:tr>
      <w:tr>
        <w:trPr>
          <w:trHeight w:val="243"/>
        </w:trPr>
        <w:tc>
          <w:tcPr>
            <w:tcW w:w="2440" w:type="dxa"/>
            <w:vAlign w:val="bottom"/>
            <w:shd w:val="clear" w:color="auto" w:fill="CCEEFF"/>
          </w:tcPr>
          <w:p>
            <w:pPr>
              <w:spacing w:after="0"/>
              <w:rPr>
                <w:sz w:val="21"/>
                <w:szCs w:val="21"/>
                <w:color w:val="auto"/>
              </w:rPr>
            </w:pP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crude oil that is confined by impermeable rock or water barriers and is separate from other reservoirs.</w:t>
            </w:r>
          </w:p>
        </w:tc>
      </w:tr>
      <w:tr>
        <w:trPr>
          <w:trHeight w:val="176"/>
        </w:trPr>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Royalty interest</w:t>
            </w:r>
          </w:p>
        </w:tc>
        <w:tc>
          <w:tcPr>
            <w:tcW w:w="87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An interest that gives an owner the right to receive a portion of the resources or revenues without having to carry any</w:t>
            </w:r>
          </w:p>
        </w:tc>
      </w:tr>
      <w:tr>
        <w:trPr>
          <w:trHeight w:val="239"/>
        </w:trPr>
        <w:tc>
          <w:tcPr>
            <w:tcW w:w="2440" w:type="dxa"/>
            <w:vAlign w:val="bottom"/>
          </w:tcPr>
          <w:p>
            <w:pPr>
              <w:spacing w:after="0"/>
              <w:rPr>
                <w:sz w:val="20"/>
                <w:szCs w:val="20"/>
                <w:color w:val="auto"/>
              </w:rPr>
            </w:pPr>
          </w:p>
        </w:tc>
        <w:tc>
          <w:tcPr>
            <w:tcW w:w="8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costs of development, which may be subject to expiration.</w:t>
            </w:r>
          </w:p>
        </w:tc>
      </w:tr>
      <w:tr>
        <w:trPr>
          <w:trHeight w:val="23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Spud</w:t>
            </w:r>
          </w:p>
        </w:tc>
        <w:tc>
          <w:tcPr>
            <w:tcW w:w="8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Commencement of actual drilling operations.</w:t>
            </w:r>
          </w:p>
        </w:tc>
      </w:tr>
      <w:tr>
        <w:trPr>
          <w:trHeight w:val="229"/>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WTI</w:t>
            </w:r>
          </w:p>
        </w:tc>
        <w:tc>
          <w:tcPr>
            <w:tcW w:w="8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West Texas Intermediate.</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912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GLOSSARY OF CERTAIN OTHER TERMS</w:t>
            </w:r>
          </w:p>
        </w:tc>
      </w:tr>
      <w:tr>
        <w:trPr>
          <w:trHeight w:val="378"/>
        </w:trPr>
        <w:tc>
          <w:tcPr>
            <w:tcW w:w="1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is a glossary of certain other terms that are used in this report:</w:t>
            </w:r>
          </w:p>
        </w:tc>
      </w:tr>
      <w:tr>
        <w:trPr>
          <w:trHeight w:val="108"/>
        </w:trPr>
        <w:tc>
          <w:tcPr>
            <w:tcW w:w="2100" w:type="dxa"/>
            <w:vAlign w:val="bottom"/>
            <w:tcBorders>
              <w:bottom w:val="single" w:sz="8" w:color="auto"/>
            </w:tcBorders>
          </w:tcPr>
          <w:p>
            <w:pPr>
              <w:spacing w:after="0"/>
              <w:rPr>
                <w:sz w:val="9"/>
                <w:szCs w:val="9"/>
                <w:color w:val="auto"/>
              </w:rPr>
            </w:pPr>
          </w:p>
        </w:tc>
        <w:tc>
          <w:tcPr>
            <w:tcW w:w="9120" w:type="dxa"/>
            <w:vAlign w:val="bottom"/>
            <w:tcBorders>
              <w:bottom w:val="single" w:sz="8" w:color="auto"/>
            </w:tcBorders>
          </w:tcPr>
          <w:p>
            <w:pPr>
              <w:spacing w:after="0"/>
              <w:rPr>
                <w:sz w:val="9"/>
                <w:szCs w:val="9"/>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9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Diamondback</w:t>
            </w:r>
          </w:p>
        </w:tc>
        <w:tc>
          <w:tcPr>
            <w:tcW w:w="9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Diamondback Energy, Inc., a Delaware corporation.</w:t>
            </w: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9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9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c>
          <w:tcPr>
            <w:tcW w:w="9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Viper Energy Partners GP LLC, a Delaware limited liability company, and the General Partner of the Partnership.</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9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London interbank offered rate.</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LTIP</w:t>
            </w:r>
          </w:p>
        </w:tc>
        <w:tc>
          <w:tcPr>
            <w:tcW w:w="9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Viper Energy Partners LP Long Term Incentive Plan.</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NYMEX</w:t>
            </w:r>
          </w:p>
        </w:tc>
        <w:tc>
          <w:tcPr>
            <w:tcW w:w="9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OPEC</w:t>
            </w:r>
          </w:p>
        </w:tc>
        <w:tc>
          <w:tcPr>
            <w:tcW w:w="9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Organization of the Petroleum Exporting Countries.</w:t>
            </w:r>
          </w:p>
        </w:tc>
      </w:tr>
      <w:tr>
        <w:trPr>
          <w:trHeight w:val="184"/>
        </w:trPr>
        <w:tc>
          <w:tcPr>
            <w:tcW w:w="21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Operating Company</w:t>
            </w:r>
          </w:p>
        </w:tc>
        <w:tc>
          <w:tcPr>
            <w:tcW w:w="9120" w:type="dxa"/>
            <w:vAlign w:val="bottom"/>
          </w:tcPr>
          <w:p>
            <w:pPr>
              <w:ind w:left="620"/>
              <w:spacing w:after="0" w:line="184" w:lineRule="exact"/>
              <w:rPr>
                <w:sz w:val="20"/>
                <w:szCs w:val="20"/>
                <w:color w:val="auto"/>
              </w:rPr>
            </w:pPr>
            <w:r>
              <w:rPr>
                <w:rFonts w:ascii="Times New Roman" w:cs="Times New Roman" w:eastAsia="Times New Roman" w:hAnsi="Times New Roman"/>
                <w:sz w:val="18"/>
                <w:szCs w:val="18"/>
                <w:color w:val="auto"/>
              </w:rPr>
              <w:t>Viper Energy Partners LLC, a Delaware limited liability company and a consolidated subsidiary of Viper Energy</w:t>
            </w:r>
          </w:p>
        </w:tc>
      </w:tr>
      <w:tr>
        <w:trPr>
          <w:trHeight w:val="234"/>
        </w:trPr>
        <w:tc>
          <w:tcPr>
            <w:tcW w:w="2100" w:type="dxa"/>
            <w:vAlign w:val="bottom"/>
          </w:tcPr>
          <w:p>
            <w:pPr>
              <w:spacing w:after="0"/>
              <w:rPr>
                <w:sz w:val="20"/>
                <w:szCs w:val="20"/>
                <w:color w:val="auto"/>
              </w:rPr>
            </w:pPr>
          </w:p>
        </w:tc>
        <w:tc>
          <w:tcPr>
            <w:tcW w:w="9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Partners LP.</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w:t>
            </w:r>
          </w:p>
        </w:tc>
        <w:tc>
          <w:tcPr>
            <w:tcW w:w="9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Viper Energy Partners LP, a Delaware limited partnership.</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29"/>
        </w:trPr>
        <w:tc>
          <w:tcPr>
            <w:tcW w:w="2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Notes</w:t>
            </w:r>
          </w:p>
        </w:tc>
        <w:tc>
          <w:tcPr>
            <w:tcW w:w="91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The 5.375% Senior Notes due 2027 issued on October 16,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of strategic transactions (including acquisitions and divestitures); and plans and objectives of management (including Diamondback’s plans for developing our acreage and our cash distribution policy and repurchases of our common units and/or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In particular, the factors discussed in this report and detailed under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 xml:space="preserve"> and our </w:t>
      </w:r>
      <w:hyperlink r:id="rId16">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could affect our actual results and cause our actual results to differ materially from expectations, estimates or assumptions expressed, forecasted or implied in such forward-looking statements. Unless the context requires otherwise, references to “we,” “us,” “our” or “the Partnership” are intended to mean the business and operations of the Partnership and the Operating Company.</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could cause the outcomes to differ materially include (but are not limited to) the following:</w:t>
      </w:r>
    </w:p>
    <w:p>
      <w:pPr>
        <w:spacing w:after="0" w:line="239" w:lineRule="exact"/>
        <w:rPr>
          <w:sz w:val="20"/>
          <w:szCs w:val="20"/>
          <w:color w:val="auto"/>
        </w:rPr>
      </w:pPr>
    </w:p>
    <w:p>
      <w:pPr>
        <w:ind w:left="1220" w:hanging="321"/>
        <w:spacing w:after="0" w:line="250"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levels for oil, natural gas, and natural gas liquids, and the resulting impact on the price for those commodities;</w:t>
      </w:r>
    </w:p>
    <w:p>
      <w:pPr>
        <w:spacing w:after="0" w:line="68" w:lineRule="exact"/>
        <w:rPr>
          <w:rFonts w:ascii="Times New Roman" w:cs="Times New Roman" w:eastAsia="Times New Roman" w:hAnsi="Times New Roman"/>
          <w:sz w:val="18"/>
          <w:szCs w:val="18"/>
          <w:color w:val="auto"/>
        </w:rPr>
      </w:pPr>
    </w:p>
    <w:p>
      <w:pPr>
        <w:ind w:left="12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epidemic or pandemic diseases such as the COVID-19 pandemic, and any related company or government policies or actions;</w:t>
      </w:r>
    </w:p>
    <w:p>
      <w:pPr>
        <w:spacing w:after="0" w:line="40" w:lineRule="exact"/>
        <w:rPr>
          <w:rFonts w:ascii="Times New Roman" w:cs="Times New Roman" w:eastAsia="Times New Roman" w:hAnsi="Times New Roman"/>
          <w:sz w:val="18"/>
          <w:szCs w:val="18"/>
          <w:color w:val="auto"/>
        </w:rPr>
      </w:pPr>
    </w:p>
    <w:p>
      <w:pPr>
        <w:ind w:left="12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members of OPEC and Russia affecting the production and pricing of oil, as well as other domestic and global political, economic, or diplomatic developments;</w:t>
      </w:r>
    </w:p>
    <w:p>
      <w:pPr>
        <w:spacing w:after="0" w:line="54" w:lineRule="exact"/>
        <w:rPr>
          <w:rFonts w:ascii="Times New Roman" w:cs="Times New Roman" w:eastAsia="Times New Roman" w:hAnsi="Times New Roman"/>
          <w:sz w:val="18"/>
          <w:szCs w:val="18"/>
          <w:color w:val="auto"/>
        </w:rPr>
      </w:pPr>
    </w:p>
    <w:p>
      <w:pPr>
        <w:ind w:left="1220" w:hanging="321"/>
        <w:spacing w:after="0" w:line="250"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or industry conditions, including changes in foreign currency exchange rates, interest rates, and inflation rates;</w:t>
      </w:r>
    </w:p>
    <w:p>
      <w:pPr>
        <w:spacing w:after="0" w:line="68" w:lineRule="exact"/>
        <w:rPr>
          <w:rFonts w:ascii="Times New Roman" w:cs="Times New Roman" w:eastAsia="Times New Roman" w:hAnsi="Times New Roman"/>
          <w:sz w:val="18"/>
          <w:szCs w:val="18"/>
          <w:color w:val="auto"/>
        </w:rPr>
      </w:pPr>
    </w:p>
    <w:p>
      <w:pPr>
        <w:ind w:left="12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supply and demand factors, including delays, curtailment delays or interruptions of production on our mineral and royalty acreage, or governmental orders, rules or regulations that impose production limits on such acreage;</w:t>
      </w:r>
    </w:p>
    <w:p>
      <w:pPr>
        <w:spacing w:after="0" w:line="40" w:lineRule="exact"/>
        <w:rPr>
          <w:rFonts w:ascii="Times New Roman" w:cs="Times New Roman" w:eastAsia="Times New Roman" w:hAnsi="Times New Roman"/>
          <w:sz w:val="18"/>
          <w:szCs w:val="18"/>
          <w:color w:val="auto"/>
        </w:rPr>
      </w:pPr>
    </w:p>
    <w:p>
      <w:pPr>
        <w:ind w:left="1220" w:right="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and regulatory initiatives relating to hydraulic fracturing, including the effect of existing and future laws and governmental regulations;</w:t>
      </w:r>
    </w:p>
    <w:p>
      <w:pPr>
        <w:spacing w:after="0" w:line="54" w:lineRule="exact"/>
        <w:rPr>
          <w:rFonts w:ascii="Times New Roman" w:cs="Times New Roman" w:eastAsia="Times New Roman" w:hAnsi="Times New Roman"/>
          <w:sz w:val="18"/>
          <w:szCs w:val="18"/>
          <w:color w:val="auto"/>
        </w:rPr>
      </w:pPr>
    </w:p>
    <w:p>
      <w:pPr>
        <w:ind w:left="1220" w:hanging="321"/>
        <w:spacing w:after="0" w:line="250"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spacing w:after="0" w:line="68"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declines in prices for oil, natural gas, or natural gas liquids, which could require recognition of significant impairment charges;</w:t>
      </w:r>
    </w:p>
    <w:p>
      <w:pPr>
        <w:spacing w:after="0" w:line="10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energy, environmental, monetary and trade policies;</w:t>
      </w:r>
    </w:p>
    <w:p>
      <w:pPr>
        <w:spacing w:after="0" w:line="90" w:lineRule="exact"/>
        <w:rPr>
          <w:rFonts w:ascii="Times New Roman" w:cs="Times New Roman" w:eastAsia="Times New Roman" w:hAnsi="Times New Roman"/>
          <w:sz w:val="18"/>
          <w:szCs w:val="18"/>
          <w:color w:val="auto"/>
        </w:rPr>
      </w:pPr>
    </w:p>
    <w:p>
      <w:pPr>
        <w:ind w:left="1220" w:right="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capital, financial and credit markets, including the availability and pricing of capital for drilling and development by our operators and environmental and social responsibility projects undertaken by Diamondback and our other operators;</w:t>
      </w:r>
    </w:p>
    <w:p>
      <w:pPr>
        <w:spacing w:after="0" w:line="54"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or cost of rigs, equipment, raw materials, supplies and oilfield services impacting our operators;</w:t>
      </w:r>
    </w:p>
    <w:p>
      <w:pPr>
        <w:spacing w:after="0" w:line="90" w:lineRule="exact"/>
        <w:rPr>
          <w:rFonts w:ascii="Times New Roman" w:cs="Times New Roman" w:eastAsia="Times New Roman" w:hAnsi="Times New Roman"/>
          <w:sz w:val="18"/>
          <w:szCs w:val="18"/>
          <w:color w:val="auto"/>
        </w:rPr>
      </w:pPr>
    </w:p>
    <w:p>
      <w:pPr>
        <w:ind w:left="1220" w:hanging="321"/>
        <w:spacing w:after="0" w:line="266"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safety, health, environmental, tax, and other regulations or requirements impacting us or our operators (including those addressing air emissions, water management, or the impact of global climate change);</w:t>
      </w:r>
    </w:p>
    <w:p>
      <w:pPr>
        <w:spacing w:after="0" w:line="54" w:lineRule="exact"/>
        <w:rPr>
          <w:rFonts w:ascii="Times New Roman" w:cs="Times New Roman" w:eastAsia="Times New Roman" w:hAnsi="Times New Roman"/>
          <w:sz w:val="18"/>
          <w:szCs w:val="18"/>
          <w:color w:val="auto"/>
        </w:rPr>
      </w:pPr>
    </w:p>
    <w:p>
      <w:pPr>
        <w:ind w:left="1220" w:hanging="321"/>
        <w:spacing w:after="0" w:line="250" w:lineRule="auto"/>
        <w:tabs>
          <w:tab w:leader="none" w:pos="1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threats, including cybersecurity threats and disruptions to our business from breaches of our information technology systems, or from breaches of information technology systems of third parties with whom we transact business;</w:t>
      </w:r>
    </w:p>
    <w:p>
      <w:pPr>
        <w:spacing w:after="0" w:line="68"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disruption in, access to adequate and reliable transportation, processing, storage, and other facilities impacting our operators;</w:t>
      </w:r>
    </w:p>
    <w:p>
      <w:pPr>
        <w:spacing w:after="0" w:line="10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 acts and the governmental or military response thereto;</w:t>
      </w:r>
    </w:p>
    <w:p>
      <w:pPr>
        <w:spacing w:after="0" w:line="10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strength of counterparties to the credit agreement and hedging contracts of our operating subsidiary;</w:t>
      </w:r>
    </w:p>
    <w:p>
      <w:pPr>
        <w:spacing w:after="0" w:line="90"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 and</w:t>
      </w:r>
    </w:p>
    <w:p>
      <w:pPr>
        <w:spacing w:after="0" w:line="10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risks and factors disclosed in our </w:t>
      </w:r>
      <w:hyperlink r:id="rId18">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8"/>
                <w:szCs w:val="18"/>
                <w:color w:val="auto"/>
              </w:rPr>
            </w:pP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7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(In thousands, except unit amounts)</w:t>
            </w:r>
          </w:p>
        </w:tc>
        <w:tc>
          <w:tcPr>
            <w:tcW w:w="0" w:type="dxa"/>
            <w:vAlign w:val="bottom"/>
          </w:tcPr>
          <w:p>
            <w:pPr>
              <w:spacing w:after="0"/>
              <w:rPr>
                <w:sz w:val="1"/>
                <w:szCs w:val="1"/>
                <w:color w:val="auto"/>
              </w:rPr>
            </w:pPr>
          </w:p>
        </w:tc>
      </w:tr>
      <w:tr>
        <w:trPr>
          <w:trHeight w:val="218"/>
        </w:trPr>
        <w:tc>
          <w:tcPr>
            <w:tcW w:w="798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39,448</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income receivable (net of allowance for credit losses)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Royalty income receivable—related party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111,149</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9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Oil and natural gas interests, full cost method of accounting ($1,602,581 and $1,640,172 excluded from</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depletion at March 31, 2022 and December 31, 2021, respectively)</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3,481,633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3,513,590</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depletion and impairment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(599,163)</w:t>
            </w:r>
          </w:p>
        </w:tc>
        <w:tc>
          <w:tcPr>
            <w:tcW w:w="0" w:type="dxa"/>
            <w:vAlign w:val="bottom"/>
          </w:tcPr>
          <w:p>
            <w:pPr>
              <w:spacing w:after="0"/>
              <w:rPr>
                <w:sz w:val="1"/>
                <w:szCs w:val="1"/>
                <w:color w:val="auto"/>
              </w:rPr>
            </w:pPr>
          </w:p>
        </w:tc>
      </w:tr>
      <w:tr>
        <w:trPr>
          <w:trHeight w:val="223"/>
        </w:trPr>
        <w:tc>
          <w:tcPr>
            <w:tcW w:w="7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Property,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2,860,747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2,920,115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3,034,021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780"/>
              <w:spacing w:after="0"/>
              <w:rPr>
                <w:sz w:val="20"/>
                <w:szCs w:val="20"/>
                <w:color w:val="auto"/>
              </w:rPr>
            </w:pPr>
            <w:r>
              <w:rPr>
                <w:rFonts w:ascii="Times New Roman" w:cs="Times New Roman" w:eastAsia="Times New Roman" w:hAnsi="Times New Roman"/>
                <w:sz w:val="16"/>
                <w:szCs w:val="16"/>
                <w:b w:val="1"/>
                <w:bCs w:val="1"/>
                <w:color w:val="auto"/>
              </w:rPr>
              <w:t>Liabilities and Unitholders’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24,466</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721,005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776,727</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801,193</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Unitholders’ equity: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Partner</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units (76,966,203 units issued and outstanding as of March 31, 2022 and 78,546,403 units</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as of December 31, 2021)</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768,747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813,161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Class B units (90,709,946 units issued and outstanding as of March 31, 2022 and December 31, 2021)</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Viper Energy Partners LP unitholders’ equity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814,821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1,472,614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1,418,007</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2,242,976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2,232,828</w:t>
            </w:r>
          </w:p>
        </w:tc>
        <w:tc>
          <w:tcPr>
            <w:tcW w:w="0" w:type="dxa"/>
            <w:vAlign w:val="bottom"/>
          </w:tcPr>
          <w:p>
            <w:pPr>
              <w:spacing w:after="0"/>
              <w:rPr>
                <w:sz w:val="1"/>
                <w:szCs w:val="1"/>
                <w:color w:val="auto"/>
              </w:rPr>
            </w:pPr>
          </w:p>
        </w:tc>
      </w:tr>
      <w:tr>
        <w:trPr>
          <w:trHeight w:val="223"/>
        </w:trPr>
        <w:tc>
          <w:tcPr>
            <w:tcW w:w="7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unitholders’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3,001,085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3,034,021</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r>
      <w:tr>
        <w:trPr>
          <w:trHeight w:val="211"/>
        </w:trPr>
        <w:tc>
          <w:tcPr>
            <w:tcW w:w="77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3520" w:type="dxa"/>
            <w:vAlign w:val="bottom"/>
            <w:gridSpan w:val="5"/>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(In thousands, except per unit amounts)</w:t>
            </w:r>
          </w:p>
        </w:tc>
      </w:tr>
      <w:tr>
        <w:trPr>
          <w:trHeight w:val="21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9"/>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income</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193,089</w:t>
            </w:r>
          </w:p>
        </w:tc>
        <w:tc>
          <w:tcPr>
            <w:tcW w:w="100" w:type="dxa"/>
            <w:vAlign w:val="bottom"/>
          </w:tcPr>
          <w:p>
            <w:pPr>
              <w:spacing w:after="0"/>
              <w:rPr>
                <w:sz w:val="19"/>
                <w:szCs w:val="19"/>
                <w:color w:val="auto"/>
              </w:rPr>
            </w:pP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96,512</w:t>
            </w:r>
          </w:p>
        </w:tc>
      </w:tr>
      <w:tr>
        <w:trPr>
          <w:trHeight w:val="23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bonus income</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9"/>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201,903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96,976</w:t>
            </w:r>
          </w:p>
        </w:tc>
      </w:tr>
      <w:tr>
        <w:trPr>
          <w:trHeight w:val="194"/>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1"/>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24,886</w:t>
            </w: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r>
      <w:tr>
        <w:trPr>
          <w:trHeight w:val="223"/>
        </w:trPr>
        <w:tc>
          <w:tcPr>
            <w:tcW w:w="7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33,756</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158,669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63,220</w:t>
            </w:r>
          </w:p>
        </w:tc>
      </w:tr>
      <w:tr>
        <w:trPr>
          <w:trHeight w:val="214"/>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1"/>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r>
      <w:tr>
        <w:trPr>
          <w:trHeight w:val="229"/>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(31,504)</w:t>
            </w: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772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(39,326)</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130,671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23,894</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128,041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23,859</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111,436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26,879</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Viper Energy Partners LP</w:t>
            </w: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limited partner units: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9"/>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3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14"/>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common limited partner units outstanding:</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1"/>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77,106</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65,360</w:t>
            </w:r>
          </w:p>
        </w:tc>
      </w:tr>
      <w:tr>
        <w:trPr>
          <w:trHeight w:val="234"/>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77,214</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to Unitholders'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6"/>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Limited Partners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General</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Partner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6"/>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78,546</w:t>
            </w:r>
          </w:p>
        </w:tc>
        <w:tc>
          <w:tcPr>
            <w:tcW w:w="4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813,161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90,710</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1,418,007</w:t>
            </w:r>
          </w:p>
        </w:tc>
        <w:tc>
          <w:tcPr>
            <w:tcW w:w="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2,232,828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Unit-based compensation</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Distribution equivalent rights payments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Distributions to public</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Distributions to Diamondback</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Distributions to General Partner</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16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Change in ownership of consolidated</w:t>
            </w: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subsidiaries, net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16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Repurchased units as part of unit</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buyback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76,966</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768,747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1,472,614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2,242,976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6"/>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Limited Partners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General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Partner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65,817</w:t>
            </w:r>
          </w:p>
        </w:tc>
        <w:tc>
          <w:tcPr>
            <w:tcW w:w="4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633,415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90,710</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1,225,578</w:t>
            </w:r>
          </w:p>
        </w:tc>
        <w:tc>
          <w:tcPr>
            <w:tcW w:w="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1,860,833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Unit-based compensation</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common units, net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 equivalent rights payments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public</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Diamondback</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General Partner</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16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Change in ownership of consolidated</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subsidiaries, net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40" w:type="dxa"/>
            <w:vAlign w:val="bottom"/>
            <w:shd w:val="clear" w:color="auto" w:fill="CCEEFF"/>
          </w:tcPr>
          <w:p>
            <w:pPr>
              <w:spacing w:after="0"/>
              <w:rPr>
                <w:sz w:val="16"/>
                <w:szCs w:val="16"/>
                <w:color w:val="auto"/>
              </w:rPr>
            </w:pPr>
          </w:p>
        </w:tc>
        <w:tc>
          <w:tcPr>
            <w:tcW w:w="316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Cash paid for tax withholding on vested</w:t>
            </w: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units</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16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Repurchased units as part of unit</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buyback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611,172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1,237,071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7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00" w:type="dxa"/>
            <w:vAlign w:val="bottom"/>
          </w:tcPr>
          <w:p>
            <w:pPr>
              <w:spacing w:after="0"/>
              <w:rPr>
                <w:sz w:val="18"/>
                <w:szCs w:val="18"/>
                <w:color w:val="auto"/>
              </w:rPr>
            </w:pPr>
          </w:p>
        </w:tc>
      </w:tr>
      <w:tr>
        <w:trPr>
          <w:trHeight w:val="23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128,041</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23,859</w:t>
            </w:r>
          </w:p>
        </w:tc>
      </w:tr>
      <w:tr>
        <w:trPr>
          <w:trHeight w:val="22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Depletion</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24,886</w:t>
            </w:r>
          </w:p>
        </w:tc>
      </w:tr>
      <w:tr>
        <w:trPr>
          <w:trHeight w:val="230"/>
        </w:trPr>
        <w:tc>
          <w:tcPr>
            <w:tcW w:w="7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31,504</w:t>
            </w:r>
          </w:p>
        </w:tc>
      </w:tr>
      <w:tr>
        <w:trPr>
          <w:trHeight w:val="229"/>
        </w:trPr>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receipts (payments) on derivatives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r>
      <w:tr>
        <w:trPr>
          <w:trHeight w:val="229"/>
        </w:trPr>
        <w:tc>
          <w:tcPr>
            <w:tcW w:w="7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30"/>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Royalty income receivable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w:t>
            </w:r>
          </w:p>
        </w:tc>
      </w:tr>
      <w:tr>
        <w:trPr>
          <w:trHeight w:val="230"/>
        </w:trPr>
        <w:tc>
          <w:tcPr>
            <w:tcW w:w="7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Royalty income receivable—related party</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29"/>
        </w:trPr>
        <w:tc>
          <w:tcPr>
            <w:tcW w:w="7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29"/>
        </w:trPr>
        <w:tc>
          <w:tcPr>
            <w:tcW w:w="7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54,659</w:t>
            </w:r>
          </w:p>
        </w:tc>
      </w:tr>
      <w:tr>
        <w:trPr>
          <w:trHeight w:val="20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oil and natural gas interests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7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borrowings under credit facility</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on credit facility</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2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Repurchased units as part of unit buyback</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w:t>
            </w:r>
          </w:p>
        </w:tc>
      </w:tr>
      <w:tr>
        <w:trPr>
          <w:trHeight w:val="230"/>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public</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r>
      <w:tr>
        <w:trPr>
          <w:trHeight w:val="230"/>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to Diamondback</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w:t>
            </w:r>
          </w:p>
        </w:tc>
      </w:tr>
      <w:tr>
        <w:trPr>
          <w:trHeight w:val="22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(174,177)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(61,979)</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19,121</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Viper Energy Partners LP (the “Partnership”) is a publicly traded Delaware limited partnership focused on owning and acquiring mineral interests and royalty interests in oil and natural gas properties primarily in the Permian Basin.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2022, Viper Energy Partners GP LLC (the “General Partner”) held a 100% general partner interest in the Partnership and Diamondback Energy, Inc. (“Diamondback”) beneficially owned approximately 55% of the Partnership’s total limited partner units outstanding. Diamondback owns and controls the General Partner.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thereto were prepared in accordance with GAAP. All material intercompany balances and transactions have been eliminated upon consolidation. We report our operations in one reportable segment.</w:t>
      </w:r>
    </w:p>
    <w:p>
      <w:pPr>
        <w:spacing w:after="0" w:line="189" w:lineRule="exact"/>
        <w:rPr>
          <w:sz w:val="20"/>
          <w:szCs w:val="20"/>
          <w:color w:val="auto"/>
        </w:rPr>
      </w:pPr>
    </w:p>
    <w:p>
      <w:pPr>
        <w:jc w:val="both"/>
        <w:ind w:firstLine="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condensed consolidated financial statements have been prepared by the Partnership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Partnership believes the disclosures are adequate to make the information presented not misleading. This report should be read in conjunction with the Partnership’s most recent </w:t>
      </w:r>
      <w:hyperlink r:id="rId18">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which contains a summary of the Partnership’s significant accounting policies and other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financial statement presentation. These reclassifications had no effect on the previously reported total assets, total liabilities, unitholders’ equity, results of operations or cash flows.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as of the date of the financial statements.</w:t>
      </w:r>
    </w:p>
    <w:p>
      <w:pPr>
        <w:spacing w:after="0" w:line="20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Making accurate estimates and assumptions is particularly difficult in the oil and natural gas industry given the challenges resulting from volatility in oil and natural gas prices. For instance, the effects of COVID-19, the Russian-Ukrainian military conflict and actions by OPEC members and other exporting nations on the supply and demand in global oil and natural gas markets continued to contribute to economic and pricing volatility. The financial results of companies in the oil and natural gas industry have been impacted materially as a result of changing market conditions. Such circumstances generally increase uncertainty in the Partnership’s accounting estimates, particularly those involving financial forecasts.</w:t>
      </w:r>
    </w:p>
    <w:p>
      <w:pPr>
        <w:spacing w:after="0" w:line="2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Partnership evaluates these estimates on an ongoing basis, using historical experience, consultation with experts and other methods the Partnership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interests, the recoverability of costs of unevaluated properties, the fair value determination of assets and liabilities, including those acquired by the Partnership, fair value estimates of commodity derivatives and estimates of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Diamondback, either directly or through its consolidated subsidiaries, paid the Partnership $6.3 million of lease bonus income related to certain leases acquired in the Swallowtail Acquisition.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other significant related party transactions for the three months ended March 31, 2022 or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8"/>
                <w:szCs w:val="18"/>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8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4"/>
          </w:tcPr>
          <w:p>
            <w:pPr>
              <w:jc w:val="right"/>
              <w:ind w:right="1032"/>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3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 valorem taxes payable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instruments payable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3"/>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20,980</w:t>
            </w: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Partnership considers the applicability and impact of all ASUs. There are no recent accounting pronouncements not yet adopted that are expected to have a material effect on the Partnership upon adoption, as applicable.</w:t>
      </w:r>
    </w:p>
    <w:p>
      <w:pPr>
        <w:spacing w:after="0" w:line="2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at the wellhead or at the gas processing facility based on the Partnership’s percentage ownership share of the revenue, net of any deductions for gathering and transportation. Virtually all of the pricing provisions in the Partnership’s contracts are tied to a market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the Partnership’s total royalty income by product type: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00" w:type="dxa"/>
            <w:vAlign w:val="bottom"/>
          </w:tcPr>
          <w:p>
            <w:pPr>
              <w:spacing w:after="0"/>
              <w:rPr>
                <w:sz w:val="18"/>
                <w:szCs w:val="18"/>
                <w:color w:val="auto"/>
              </w:rPr>
            </w:pPr>
          </w:p>
        </w:tc>
      </w:tr>
      <w:tr>
        <w:trPr>
          <w:trHeight w:val="23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78,344</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income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w:t>
            </w:r>
          </w:p>
        </w:tc>
      </w:tr>
      <w:tr>
        <w:trPr>
          <w:trHeight w:val="223"/>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royalty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193,089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96,512</w:t>
            </w:r>
          </w:p>
        </w:tc>
      </w:tr>
      <w:tr>
        <w:trPr>
          <w:trHeight w:val="21"/>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 AND DIVESTITURES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Activity</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Divestiture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2022, the Partnership divested 325 net royalty acres of third party operated acreage located entirely in Upton and Reagan counties in the Midland Basin for an aggregate sales price of $29.3 million, subject to post-closing adjustments.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Activity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Swallowtail Acquisition</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 2021, the Partnership and the Operating Company acquired certain mineral and royalty interests from Swallowtail Royalties LLC and Swallowtail Royalties II LLC (the “Swallowtail entities”) pursuant to a definitive purchase and sale agreement for approximately 15.25 million common units and approximately $225.3 million in cash (the “Swallowtail Acquisition”). The mineral and royalty interests acquired in the Swallowtail Acquisition represent 2,313 net royalty acres primarily in the Northern Midland Basin, of which 62% are operated by Diamondback. The Swallowtail Acquisition has an effective date of August 1, 2021. In accordance with the terms of the purchase agreement, the Partnership deposited $30.0 million into an escrow account in August 2021, which was released upon the closing of the transaction. The cash portion of this transaction was funded through a combination of cash on hand and approximately of $190.0 million borrowings under the Operating Company’s revolving credit facility.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2021 Acquisitions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during the year ended December 31, 2021, the Partnership acquired, from unrelated third party sellers, mineral and royalty interests representing 1,277 gross (392 net royalty) acres in the Permian Basin for an aggregate purchase price of approximately $55.1 million, after post-closing adjustments. The Partnership funded these acquisitions with cash on hand and borrowings under the Operating Company’s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OIL AND NATURAL GAS INTERESTS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Oil and natural gas interests include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8"/>
                <w:szCs w:val="18"/>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8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4"/>
          </w:tcPr>
          <w:p>
            <w:pPr>
              <w:jc w:val="right"/>
              <w:ind w:right="1032"/>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3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natural gas interests:</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Subject to depletion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1,879,052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1,873,418</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 subject to depletion</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1,602,581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1,640,172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oil and natural gas interests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3,481,633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3,513,590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depletion and impairment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(599,163)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interests, net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2,914,427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 of accumulated depletion and impairment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2,860,747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2,920,115</w:t>
            </w:r>
          </w:p>
        </w:tc>
      </w:tr>
      <w:tr>
        <w:trPr>
          <w:trHeight w:val="21"/>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Partnership had mineral and royalty interests representing 26,708 and 27,027 net royalty acres, respectively.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impairment expense was recorded on the Partnership’s oil and natural gas interests for the three months ended March 31, 2022 and 2021 based on the results of the respective quarterly ceiling tests. In addition to commodity prices, the Partnership’s production rates, levels of proved reserves, transfers of unevaluated properties and other factors will determine its actual ceiling test limitations and impairment analysis in future periods. If the trailing 12-month commodity prices decline as compared to the commodity prices used in prior quarters, the Partnership may have material write-downs in subsequent quarters.</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DEBT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consisted of the following as of the dates indicated: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8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4"/>
          </w:tcPr>
          <w:p>
            <w:pPr>
              <w:jc w:val="right"/>
              <w:ind w:right="1033"/>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3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senior unsecured notes due 2027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479,938</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304,000</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w:t>
            </w: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776,727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Operating Company’s Revolving Credit Facility</w:t>
      </w:r>
    </w:p>
    <w:p>
      <w:pPr>
        <w:spacing w:after="0" w:line="24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Operating Company’s credit agreement, as amended to date, provides for a revolving credit facility in the maximum credit amount of $2.0 billion and a borrowing base of $580.0 million based on the Operating Company’s oil and natural gas reserves and other factors. The borrowing base is scheduled to be redetermined semi-annually in May and November. As of March 31, 2022, the Operating Company had elected a commitment amount of $500.0 million, with $248.0 million of outstanding borrowings and $252.0 million available for future borrowings under the Operating Company’s revolving credit facility. During the three months ended March 31, 2022 and 2021, the weighted average interest rate on the Operating Company’s revolving credit facility was 2.58% and 1.88%, respectively. The revolving credit facility will mature on June 2, 2025.</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2022, the Operating Company was in compliance with the financial maintenance covenants under its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UNITHOLDERS’ EQUITY AND DISTRIBUTIONS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Partnership has General Partner and limited partner units. At March 31, 2022, the Partnership had a total of 76,966,203 common units issued and outstanding and 90,709,946 Class B units issued and outstanding, of which 731,500 common units and 90,709,946 Class B units were beneficially owned by Diamondback, representing approximately 55% of the Partnership’s total units outstanding. At March 31, 2022, Diamondback also beneficially owns 90,709,946 Operating Company units, representing a 54% non-controlling ownership interest in the Operating Company.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Unit Repurchase Program</w:t>
      </w:r>
    </w:p>
    <w:p>
      <w:pPr>
        <w:spacing w:after="0" w:line="22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board of directors of the Partnership’s General Partner has approved a common unit repurchase program to acquire up to $150.0 million of the Partnership’s outstanding common units over an indefinite period of time. The Partnership intends to purchase common units under the repurchase program opportunistically with funds from cash on hand, free cash flow from operations and potential liquidity events such as the sale of assets. This repurchase program may be suspended from time to time, modified, extended or discontinued by the board of directors of the Partnership’s General Partner at any time. During the three months ended March 31, 2022 and 2021, the Partnership repurchased approximately $39.3 million and $13.0 million of common units under the repurchase program, respectively. Repurchases in the first quarter of 2022 include approximately $37.3 million for the repurchase of 1.5 million units from an affiliate in a privately negotiated transaction. As of March 31, 2022, $40.7 million remains available for use to repurchase units under the repurchase program. See also Note 13—</w:t>
      </w:r>
      <w:r>
        <w:rPr>
          <w:rFonts w:ascii="Times New Roman" w:cs="Times New Roman" w:eastAsia="Times New Roman" w:hAnsi="Times New Roman"/>
          <w:sz w:val="18"/>
          <w:szCs w:val="18"/>
          <w:u w:val="single" w:color="auto"/>
          <w:color w:val="0000FF"/>
        </w:rPr>
        <w:t>Subsequent Events</w:t>
      </w:r>
      <w:r>
        <w:rPr>
          <w:rFonts w:ascii="Times New Roman" w:cs="Times New Roman" w:eastAsia="Times New Roman" w:hAnsi="Times New Roman"/>
          <w:sz w:val="18"/>
          <w:szCs w:val="18"/>
          <w:color w:val="auto"/>
        </w:rPr>
        <w:t xml:space="preserve"> discussing the increase in the repurchase program authorization approved on April 27, 2022.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 on Common Units</w:t>
      </w:r>
    </w:p>
    <w:p>
      <w:pPr>
        <w:spacing w:after="0" w:line="2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board of directors of the General Partner has established a distribution policy whereby the Operating Company distributes all or a portion of its available cash on a quarterly basis to its unitholders (including Diamondback and the Partnership). The Partnership in turn distributes all of the available cash it receives from the Operating Company to its common unitholders. The Partnership’s available cash and the available cash of the Operating Company for each quarter is determined by the board of directors of the General Partner following the end of such quarter. The Operating Company’s available cash generally equals its Adjusted EBITDA for the quarter, less cash needed for debt service and other contractual obligations, fixed charges and reserves for future operating or capital needs that the board of directors of the General Partner deems necessary or appropriate, if any. The Partnership’s available cash for each quarter generally equals the Partnership’s proportional share of the Operating Company’s available cash for the quarter, less cash needed for the payment of income taxes, if any, and the preferred distribution. The percentage of available cash distributed pursuant to the distribution policy discussed above may change quarterly to enable the Operating Company to retain cash flow to help strengthen the Partnership’s balance sheet while also expanding the return of capital program through the Partnership’s common unit repurchase program. The Partnership is not required to pay distributions to its common unitholders on a quarterly or other basis.</w:t>
      </w:r>
    </w:p>
    <w:p>
      <w:pPr>
        <w:spacing w:after="0" w:line="21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cash distributions approved by the board of directors of the General Partner for the periods presented:</w:t>
      </w:r>
    </w:p>
    <w:p>
      <w:pPr>
        <w:spacing w:after="0" w:line="8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21590</wp:posOffset>
            </wp:positionV>
            <wp:extent cx="18084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Operating Company</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54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7"/>
              </w:rPr>
              <w:t>Operating Company</w:t>
            </w:r>
          </w:p>
        </w:tc>
        <w:tc>
          <w:tcPr>
            <w:tcW w:w="15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Unitholder Record</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6"/>
              </w:rPr>
              <w:t>Available Cash</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Distributions to</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560" w:type="dxa"/>
            <w:vAlign w:val="bottom"/>
            <w:gridSpan w:val="2"/>
            <w:vMerge w:val="continue"/>
          </w:tcPr>
          <w:p>
            <w:pPr>
              <w:spacing w:after="0"/>
              <w:rPr>
                <w:sz w:val="14"/>
                <w:szCs w:val="14"/>
                <w:color w:val="auto"/>
              </w:rPr>
            </w:pPr>
          </w:p>
        </w:tc>
        <w:tc>
          <w:tcPr>
            <w:tcW w:w="14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0" w:type="dxa"/>
            <w:vAlign w:val="bottom"/>
          </w:tcPr>
          <w:p>
            <w:pPr>
              <w:spacing w:after="0"/>
              <w:rPr>
                <w:sz w:val="1"/>
                <w:szCs w:val="1"/>
                <w:color w:val="auto"/>
              </w:rPr>
            </w:pPr>
          </w:p>
        </w:tc>
      </w:tr>
      <w:tr>
        <w:trPr>
          <w:trHeight w:val="216"/>
        </w:trPr>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 Unit</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Distributed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Diamondback</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95"/>
              </w:rPr>
              <w:t>Unitholders</w:t>
            </w:r>
            <w:r>
              <w:rPr>
                <w:rFonts w:ascii="Times New Roman" w:cs="Times New Roman" w:eastAsia="Times New Roman" w:hAnsi="Times New Roman"/>
                <w:sz w:val="20"/>
                <w:szCs w:val="20"/>
                <w:b w:val="1"/>
                <w:bCs w:val="1"/>
                <w:color w:val="auto"/>
                <w:w w:val="95"/>
                <w:vertAlign w:val="superscript"/>
              </w:rPr>
              <w:t>(1)</w:t>
            </w:r>
          </w:p>
        </w:tc>
        <w:tc>
          <w:tcPr>
            <w:tcW w:w="1800" w:type="dxa"/>
            <w:vAlign w:val="bottom"/>
            <w:gridSpan w:val="2"/>
            <w:vMerge w:val="continue"/>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Q4 2021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36,238</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February 16, 2022</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March 4, 2022</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March 11, 2022</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82"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paid to Diamondback for the 731,500 common units beneficially owned by Diamondback and distribution equivalent rights payments.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distributions will be made to the common unitholders of record on the applicable record date, generally within 60 days after the end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Ownership of Consolidated Subsidiaries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Non-controlling interest in the accompanying condensed consolidated financial statements represents Diamondback’s ownership in the net assets of the Operating Company. Diamondback’s relative ownership interest in the Operating Company can change due to the Partnership’s public offerings, issuance of units for acquisitions, issuance of unit-based compensation, repurchases of common units and distribution equivalent rights paid on the Partnership’s units. These changes in ownership percentage and the disproportionate allocation of net income (loss) to Diamondback discussed below result in adjustments to non-controlling interest and common unitholder equity, tax effected, but do not impact earnings. The following table summarizes the changes in common unitholder equity due to changes in ownership interest during the period: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3120" w:type="dxa"/>
            <w:vAlign w:val="bottom"/>
            <w:gridSpan w:val="5"/>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8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Partnership</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16,605</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ownership of consolidated subsidiaries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14,195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0" w:type="dxa"/>
            <w:vAlign w:val="bottom"/>
          </w:tcPr>
          <w:p>
            <w:pPr>
              <w:spacing w:after="0"/>
              <w:rPr>
                <w:sz w:val="1"/>
                <w:szCs w:val="1"/>
                <w:color w:val="auto"/>
              </w:rPr>
            </w:pPr>
          </w:p>
        </w:tc>
      </w:tr>
      <w:tr>
        <w:trPr>
          <w:trHeight w:val="155"/>
        </w:trPr>
        <w:tc>
          <w:tcPr>
            <w:tcW w:w="81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income (loss) attributable to the Partnership's unitholders and transfers to non-controlling</w:t>
            </w:r>
          </w:p>
        </w:tc>
        <w:tc>
          <w:tcPr>
            <w:tcW w:w="940" w:type="dxa"/>
            <w:vAlign w:val="bottom"/>
            <w:vMerge w:val="restart"/>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30,800</w:t>
            </w:r>
          </w:p>
        </w:tc>
        <w:tc>
          <w:tcPr>
            <w:tcW w:w="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6"/>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Net Income</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Partnership, as managing member of the Operating Company, has entered into an agreement, as amended on December 28, 2021, whereby special allocations of the Operating Company’s income and gains over losses and deductions (but before depletion) are to be made to Diamondback through 2022. These special income allocations will reduce the taxable income allocated to the Partnership’s common unitholders.</w:t>
      </w:r>
    </w:p>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EARNINGS PER COMMON UNIT</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net income (loss) per common unit on the condensed consolidated statements of operations is based on the net income (loss) of the Partnership for the three months ended March 31, 2022 and 2021, which is the amount of net income (loss) attributable to the Partnership’s common units.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Partnership’s net income (loss) is allocated wholly to the common units, as the General Partner does not have an economic interest. Payments made to the Partnership’s unitholders are determined in relation to the cash distribution policy described in Note 7—</w:t>
      </w:r>
      <w:r>
        <w:rPr>
          <w:rFonts w:ascii="Times New Roman" w:cs="Times New Roman" w:eastAsia="Times New Roman" w:hAnsi="Times New Roman"/>
          <w:sz w:val="18"/>
          <w:szCs w:val="18"/>
          <w:u w:val="single" w:color="auto"/>
          <w:color w:val="0000FF"/>
        </w:rPr>
        <w:t>Unitholders' Equity and Distributions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Basic and diluted earnings per common unit is calculated using the two-class method. The two class method is an earnings allocation proportional to the respective ownership among holders of common units and participating securities. Basic net income (loss) per common unit is calculated by dividing net income (loss) by the weighted-average number of common units outstanding during the period. Diluted net income (loss) per common unit gives effect, when applicable, to unvested common units granted under the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components of basic and diluted earnings per common unit is presented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18"/>
                <w:szCs w:val="18"/>
                <w:color w:val="auto"/>
              </w:rPr>
            </w:pPr>
          </w:p>
        </w:tc>
        <w:tc>
          <w:tcPr>
            <w:tcW w:w="3520" w:type="dxa"/>
            <w:vAlign w:val="bottom"/>
            <w:gridSpan w:val="5"/>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(In thousands, except per unit amounts)</w:t>
            </w:r>
          </w:p>
        </w:tc>
        <w:tc>
          <w:tcPr>
            <w:tcW w:w="0" w:type="dxa"/>
            <w:vAlign w:val="bottom"/>
          </w:tcPr>
          <w:p>
            <w:pPr>
              <w:spacing w:after="0"/>
              <w:rPr>
                <w:sz w:val="1"/>
                <w:szCs w:val="1"/>
                <w:color w:val="auto"/>
              </w:rPr>
            </w:pPr>
          </w:p>
        </w:tc>
      </w:tr>
      <w:tr>
        <w:trPr>
          <w:trHeight w:val="23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period</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net income (loss) allocated to participating securities</w:t>
            </w:r>
            <w:r>
              <w:rPr>
                <w:rFonts w:ascii="Times New Roman" w:cs="Times New Roman" w:eastAsia="Times New Roman" w:hAnsi="Times New Roman"/>
                <w:sz w:val="23"/>
                <w:szCs w:val="23"/>
                <w:color w:val="auto"/>
                <w:vertAlign w:val="superscript"/>
              </w:rPr>
              <w:t>(1)</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1"/>
        </w:trPr>
        <w:tc>
          <w:tcPr>
            <w:tcW w:w="77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common unitholders</w:t>
            </w:r>
          </w:p>
        </w:tc>
        <w:tc>
          <w:tcPr>
            <w:tcW w:w="1080" w:type="dxa"/>
            <w:vAlign w:val="bottom"/>
            <w:tcBorders>
              <w:bottom w:val="single" w:sz="8" w:color="auto"/>
            </w:tcBorders>
            <w:shd w:val="clear" w:color="auto" w:fill="CCEEFF"/>
          </w:tcPr>
          <w:p>
            <w:pPr>
              <w:jc w:val="right"/>
              <w:ind w:right="874"/>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16,541</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2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65,360</w:t>
            </w:r>
          </w:p>
        </w:tc>
        <w:tc>
          <w:tcPr>
            <w:tcW w:w="0" w:type="dxa"/>
            <w:vAlign w:val="bottom"/>
          </w:tcPr>
          <w:p>
            <w:pPr>
              <w:spacing w:after="0"/>
              <w:rPr>
                <w:sz w:val="1"/>
                <w:szCs w:val="1"/>
                <w:color w:val="auto"/>
              </w:rPr>
            </w:pPr>
          </w:p>
        </w:tc>
      </w:tr>
      <w:tr>
        <w:trPr>
          <w:trHeight w:val="229"/>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Potential common units issuable</w:t>
            </w:r>
            <w:r>
              <w:rPr>
                <w:rFonts w:ascii="Times New Roman" w:cs="Times New Roman" w:eastAsia="Times New Roman" w:hAnsi="Times New Roman"/>
                <w:sz w:val="23"/>
                <w:szCs w:val="23"/>
                <w:color w:val="auto"/>
                <w:vertAlign w:val="superscript"/>
              </w:rPr>
              <w:t>(2)</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77,214</w:t>
            </w: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65,360</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unit, basic</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unit, diluted</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0"/>
                <w:szCs w:val="20"/>
                <w:color w:val="auto"/>
              </w:rPr>
            </w:pPr>
          </w:p>
        </w:tc>
        <w:tc>
          <w:tcPr>
            <w:tcW w:w="110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equivalent rights granted to employees are considered participating securities.</w:t>
      </w:r>
    </w:p>
    <w:p>
      <w:pPr>
        <w:spacing w:after="0" w:line="27"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2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2021, 112,436 potential common units were excluded in the computation of diluted earnings per common unit because their inclusion would have been anti-dilutive as a result of recording a net loss attributable to the common unitholders for the period.</w:t>
      </w:r>
    </w:p>
    <w:p>
      <w:pPr>
        <w:spacing w:after="0" w:line="2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Partnership’s provision for (benefit from) income taxes and the effective income tax rate for the dates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60" w:type="dxa"/>
            <w:vAlign w:val="bottom"/>
          </w:tcPr>
          <w:p>
            <w:pPr>
              <w:spacing w:after="0"/>
              <w:rPr>
                <w:sz w:val="18"/>
                <w:szCs w:val="18"/>
                <w:color w:val="auto"/>
              </w:rPr>
            </w:pPr>
          </w:p>
        </w:tc>
        <w:tc>
          <w:tcPr>
            <w:tcW w:w="2820" w:type="dxa"/>
            <w:vAlign w:val="bottom"/>
            <w:tcBorders>
              <w:bottom w:val="single" w:sz="8" w:color="auto"/>
            </w:tcBorders>
            <w:gridSpan w:val="3"/>
          </w:tcPr>
          <w:p>
            <w:pPr>
              <w:jc w:val="center"/>
              <w:ind w:left="377"/>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Borders>
              <w:bottom w:val="single" w:sz="8" w:color="auto"/>
            </w:tcBorders>
          </w:tcPr>
          <w:p>
            <w:pPr>
              <w:spacing w:after="0"/>
              <w:rPr>
                <w:sz w:val="18"/>
                <w:szCs w:val="18"/>
                <w:color w:val="auto"/>
              </w:rPr>
            </w:pPr>
          </w:p>
        </w:tc>
      </w:tr>
      <w:tr>
        <w:trPr>
          <w:trHeight w:val="211"/>
        </w:trPr>
        <w:tc>
          <w:tcPr>
            <w:tcW w:w="79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r>
      <w:tr>
        <w:trPr>
          <w:trHeight w:val="210"/>
        </w:trPr>
        <w:tc>
          <w:tcPr>
            <w:tcW w:w="7960" w:type="dxa"/>
            <w:vAlign w:val="bottom"/>
          </w:tcPr>
          <w:p>
            <w:pPr>
              <w:spacing w:after="0"/>
              <w:rPr>
                <w:sz w:val="18"/>
                <w:szCs w:val="18"/>
                <w:color w:val="auto"/>
              </w:rPr>
            </w:pPr>
          </w:p>
        </w:tc>
        <w:tc>
          <w:tcPr>
            <w:tcW w:w="2820" w:type="dxa"/>
            <w:vAlign w:val="bottom"/>
            <w:gridSpan w:val="3"/>
          </w:tcPr>
          <w:p>
            <w:pPr>
              <w:jc w:val="center"/>
              <w:ind w:left="377"/>
              <w:spacing w:after="0"/>
              <w:rPr>
                <w:sz w:val="20"/>
                <w:szCs w:val="20"/>
                <w:color w:val="auto"/>
              </w:rPr>
            </w:pPr>
            <w:r>
              <w:rPr>
                <w:rFonts w:ascii="Times New Roman" w:cs="Times New Roman" w:eastAsia="Times New Roman" w:hAnsi="Times New Roman"/>
                <w:sz w:val="16"/>
                <w:szCs w:val="16"/>
                <w:b w:val="1"/>
                <w:bCs w:val="1"/>
                <w:color w:val="auto"/>
              </w:rPr>
              <w:t>(In thousands, except for tax rate)</w:t>
            </w:r>
          </w:p>
        </w:tc>
        <w:tc>
          <w:tcPr>
            <w:tcW w:w="460" w:type="dxa"/>
            <w:vAlign w:val="bottom"/>
          </w:tcPr>
          <w:p>
            <w:pPr>
              <w:spacing w:after="0"/>
              <w:rPr>
                <w:sz w:val="18"/>
                <w:szCs w:val="18"/>
                <w:color w:val="auto"/>
              </w:rPr>
            </w:pPr>
          </w:p>
        </w:tc>
      </w:tr>
      <w:tr>
        <w:trPr>
          <w:trHeight w:val="23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8"/>
              </w:rPr>
              <w:t>2,630</w:t>
            </w:r>
          </w:p>
        </w:tc>
        <w:tc>
          <w:tcPr>
            <w:tcW w:w="118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0.1 %</w:t>
            </w:r>
          </w:p>
        </w:tc>
      </w:tr>
    </w:tbl>
    <w:p>
      <w:pPr>
        <w:spacing w:after="0" w:line="3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Partnership’s effective income tax rates for the three months ended March 31, 2022 and 2021 differed from amounts computed by applying the United States federal statutory tax rate to pre-tax income for the period primarily due to net income attributable to the non-controlling interest and the impact of maintaining a valuation allowance on the Partnership’s deferred tax assets.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2022 and 2021, the Partnership maintained a full valuation allowance against its deferred tax assets, based on its assessment of all available evidence, both positive and negative, supporting realizability of the Partnership’s deferred tax assets.</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derivative financial instruments are recorded at fair value. The Partnership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Contracts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Partnership historically has used fixed price swap contracts, fixed price basis swap contracts and costless collars with corresponding put and call options to reduce price volatility associated with certain of its royalty income. At March 31, 2022, the Partnership has costless collars, put options and basis swaps outstanding.</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Partnership’s costless collar contracts, each collar has an established floor price and ceiling price. When the settlement price is below the floor price, the counterparty is required to make a payment to the Partnership and when the settlement price is above the ceiling price, the Partnership is required to make a payment to the counterparty. When the settlement price is between the floor and the ceiling, there is no payment required.</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Put options have a defined strike price, or floor price. The Partnership pays its counterparty a premium to enter into these derivative contracts, which are deferred until settlement. When the settlement price is below the floor price, the counterparty pays the Partnership an amount equal to the difference between the settlement price and the strike price multiplied by the derivative contract volume. When the settlement price is above the floor price, the put option expires worthless.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Partnership’s derivative contracts are based upon reported settlement prices on commodity exchanges, with crude oil derivative settlements based on New York Mercantile Exchange West Texas Intermediate pricing (Cushing) and with natural gas derivative settlements based on the New York Mercantile Exchange Henry Hub pricing.</w:t>
      </w:r>
    </w:p>
    <w:p>
      <w:pPr>
        <w:spacing w:after="0" w:line="2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By using derivative instruments to economically hedge exposure to changes in commodity prices, the Partnership exposes itself to credit risk and market risk. Credit risk is the failure of the counterparty to perform under the terms of the derivative contract. When the fair value of a derivative contract is positive, the counterparty owes the Partnership, which creates credit risk. The Partnership’s counterparties are all participants in the amended and restated credit agreement, which is secured by substantially all of the assets of the guarantor subsidiaries; therefore, the Partnership is not required to post any collateral. The Partnership’s counterparties have been determined to have an acceptable credit risk; therefore, the Partnership does not require collateral from its counterparties.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the Partnership had the following outstanding derivative contracts. When aggregating multiple contracts, the weighted average contract price is disclosed.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Swaps</w:t>
            </w:r>
          </w:p>
        </w:tc>
        <w:tc>
          <w:tcPr>
            <w:tcW w:w="1520" w:type="dxa"/>
            <w:vAlign w:val="bottom"/>
          </w:tcPr>
          <w:p>
            <w:pPr>
              <w:ind w:left="1000"/>
              <w:spacing w:after="0"/>
              <w:rPr>
                <w:sz w:val="20"/>
                <w:szCs w:val="20"/>
                <w:color w:val="auto"/>
              </w:rPr>
            </w:pPr>
            <w:r>
              <w:rPr>
                <w:rFonts w:ascii="Times New Roman" w:cs="Times New Roman" w:eastAsia="Times New Roman" w:hAnsi="Times New Roman"/>
                <w:sz w:val="16"/>
                <w:szCs w:val="16"/>
                <w:b w:val="1"/>
                <w:bCs w:val="1"/>
                <w:color w:val="auto"/>
              </w:rPr>
              <w:t>Collars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Puts</w:t>
            </w:r>
          </w:p>
        </w:tc>
        <w:tc>
          <w:tcPr>
            <w:tcW w:w="0" w:type="dxa"/>
            <w:vAlign w:val="bottom"/>
          </w:tcPr>
          <w:p>
            <w:pPr>
              <w:spacing w:after="0"/>
              <w:rPr>
                <w:sz w:val="1"/>
                <w:szCs w:val="1"/>
                <w:color w:val="auto"/>
              </w:rPr>
            </w:pPr>
          </w:p>
        </w:tc>
      </w:tr>
      <w:tr>
        <w:trPr>
          <w:trHeight w:val="158"/>
        </w:trPr>
        <w:tc>
          <w:tcPr>
            <w:tcW w:w="156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Settlement</w:t>
            </w:r>
          </w:p>
        </w:tc>
        <w:tc>
          <w:tcPr>
            <w:tcW w:w="146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Bbls/Mcf</w:t>
            </w:r>
          </w:p>
        </w:tc>
        <w:tc>
          <w:tcPr>
            <w:tcW w:w="1440" w:type="dxa"/>
            <w:vAlign w:val="bottom"/>
          </w:tcPr>
          <w:p>
            <w:pPr>
              <w:spacing w:after="0"/>
              <w:rPr>
                <w:sz w:val="13"/>
                <w:szCs w:val="13"/>
                <w:color w:val="auto"/>
              </w:rPr>
            </w:pPr>
          </w:p>
        </w:tc>
        <w:tc>
          <w:tcPr>
            <w:tcW w:w="12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1520" w:type="dxa"/>
            <w:vAlign w:val="bottom"/>
            <w:tcBorders>
              <w:top w:val="single" w:sz="8" w:color="auto"/>
            </w:tcBorders>
          </w:tcPr>
          <w:p>
            <w:pPr>
              <w:jc w:val="center"/>
              <w:ind w:right="174"/>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980" w:type="dxa"/>
            <w:vAlign w:val="bottom"/>
            <w:tcBorders>
              <w:top w:val="single" w:sz="8" w:color="auto"/>
            </w:tcBorders>
          </w:tcPr>
          <w:p>
            <w:pPr>
              <w:jc w:val="center"/>
              <w:ind w:right="192"/>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Settlement Month</w:t>
            </w:r>
          </w:p>
        </w:tc>
        <w:tc>
          <w:tcPr>
            <w:tcW w:w="1040" w:type="dxa"/>
            <w:vAlign w:val="bottom"/>
            <w:vMerge w:val="continue"/>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Type of Contract</w:t>
            </w:r>
          </w:p>
        </w:tc>
        <w:tc>
          <w:tcPr>
            <w:tcW w:w="940" w:type="dxa"/>
            <w:vAlign w:val="bottom"/>
            <w:vMerge w:val="continue"/>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Index</w:t>
            </w:r>
          </w:p>
        </w:tc>
        <w:tc>
          <w:tcPr>
            <w:tcW w:w="13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600" w:type="dxa"/>
            <w:vAlign w:val="bottom"/>
            <w:gridSpan w:val="3"/>
          </w:tcPr>
          <w:p>
            <w:pPr>
              <w:ind w:left="140"/>
              <w:spacing w:after="0" w:line="162" w:lineRule="exact"/>
              <w:rPr>
                <w:sz w:val="20"/>
                <w:szCs w:val="20"/>
                <w:color w:val="auto"/>
              </w:rPr>
            </w:pPr>
            <w:r>
              <w:rPr>
                <w:rFonts w:ascii="Times New Roman" w:cs="Times New Roman" w:eastAsia="Times New Roman" w:hAnsi="Times New Roman"/>
                <w:sz w:val="16"/>
                <w:szCs w:val="16"/>
                <w:b w:val="1"/>
                <w:bCs w:val="1"/>
                <w:color w:val="auto"/>
              </w:rPr>
              <w:t>Average Floor   Average Ceiling</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Strike Price</w:t>
            </w:r>
          </w:p>
        </w:tc>
        <w:tc>
          <w:tcPr>
            <w:tcW w:w="0" w:type="dxa"/>
            <w:vAlign w:val="bottom"/>
          </w:tcPr>
          <w:p>
            <w:pPr>
              <w:spacing w:after="0"/>
              <w:rPr>
                <w:sz w:val="1"/>
                <w:szCs w:val="1"/>
                <w:color w:val="auto"/>
              </w:rPr>
            </w:pPr>
          </w:p>
        </w:tc>
      </w:tr>
      <w:tr>
        <w:trPr>
          <w:trHeight w:val="214"/>
        </w:trPr>
        <w:tc>
          <w:tcPr>
            <w:tcW w:w="1560" w:type="dxa"/>
            <w:vAlign w:val="bottom"/>
            <w:vMerge w:val="continue"/>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460" w:type="dxa"/>
            <w:vAlign w:val="bottom"/>
            <w:vMerge w:val="continue"/>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 Day</w:t>
            </w:r>
          </w:p>
        </w:tc>
        <w:tc>
          <w:tcPr>
            <w:tcW w:w="1440" w:type="dxa"/>
            <w:vAlign w:val="bottom"/>
            <w:vMerge w:val="continue"/>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Differential</w:t>
            </w:r>
          </w:p>
        </w:tc>
        <w:tc>
          <w:tcPr>
            <w:tcW w:w="1520" w:type="dxa"/>
            <w:vAlign w:val="bottom"/>
          </w:tcPr>
          <w:p>
            <w:pPr>
              <w:jc w:val="center"/>
              <w:ind w:right="194"/>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OIL</w:t>
            </w:r>
          </w:p>
        </w:tc>
        <w:tc>
          <w:tcPr>
            <w:tcW w:w="10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 - Sep.</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Collars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center"/>
              <w:ind w:right="174"/>
              <w:spacing w:after="0"/>
              <w:rPr>
                <w:sz w:val="20"/>
                <w:szCs w:val="20"/>
                <w:color w:val="auto"/>
              </w:rPr>
            </w:pPr>
            <w:r>
              <w:rPr>
                <w:rFonts w:ascii="Times New Roman" w:cs="Times New Roman" w:eastAsia="Times New Roman" w:hAnsi="Times New Roman"/>
                <w:sz w:val="18"/>
                <w:szCs w:val="18"/>
                <w:color w:val="auto"/>
              </w:rPr>
              <w:t>$45.00</w:t>
            </w:r>
          </w:p>
        </w:tc>
        <w:tc>
          <w:tcPr>
            <w:tcW w:w="980" w:type="dxa"/>
            <w:vAlign w:val="bottom"/>
            <w:shd w:val="clear" w:color="auto" w:fill="CCEEFF"/>
          </w:tcPr>
          <w:p>
            <w:pPr>
              <w:jc w:val="center"/>
              <w:ind w:right="192"/>
              <w:spacing w:after="0"/>
              <w:rPr>
                <w:sz w:val="20"/>
                <w:szCs w:val="20"/>
                <w:color w:val="auto"/>
              </w:rPr>
            </w:pPr>
            <w:r>
              <w:rPr>
                <w:rFonts w:ascii="Times New Roman" w:cs="Times New Roman" w:eastAsia="Times New Roman" w:hAnsi="Times New Roman"/>
                <w:sz w:val="18"/>
                <w:szCs w:val="18"/>
                <w:color w:val="auto"/>
              </w:rPr>
              <w:t>$92.65</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Collars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rPr>
              <w:t>$50.00</w:t>
            </w:r>
          </w:p>
        </w:tc>
        <w:tc>
          <w:tcPr>
            <w:tcW w:w="98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9"/>
              </w:rPr>
              <w:t>$128.01</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 - Jun.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89"/>
              </w:rPr>
              <w:t>Puts</w:t>
            </w:r>
            <w:r>
              <w:rPr>
                <w:rFonts w:ascii="Times New Roman" w:cs="Times New Roman" w:eastAsia="Times New Roman" w:hAnsi="Times New Roman"/>
                <w:sz w:val="23"/>
                <w:szCs w:val="23"/>
                <w:color w:val="auto"/>
                <w:w w:val="89"/>
                <w:vertAlign w:val="superscript"/>
              </w:rPr>
              <w:t>(1)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center"/>
              <w:ind w:right="174"/>
              <w:spacing w:after="0"/>
              <w:rPr>
                <w:sz w:val="20"/>
                <w:szCs w:val="20"/>
                <w:color w:val="auto"/>
              </w:rPr>
            </w:pPr>
            <w:r>
              <w:rPr>
                <w:rFonts w:ascii="Times New Roman" w:cs="Times New Roman" w:eastAsia="Times New Roman" w:hAnsi="Times New Roman"/>
                <w:sz w:val="18"/>
                <w:szCs w:val="18"/>
                <w:color w:val="auto"/>
                <w:w w:val="96"/>
              </w:rPr>
              <w:t>$—</w:t>
            </w:r>
          </w:p>
        </w:tc>
        <w:tc>
          <w:tcPr>
            <w:tcW w:w="10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6"/>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 - Dec.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89"/>
              </w:rPr>
              <w:t>Puts</w:t>
            </w:r>
            <w:r>
              <w:rPr>
                <w:rFonts w:ascii="Times New Roman" w:cs="Times New Roman" w:eastAsia="Times New Roman" w:hAnsi="Times New Roman"/>
                <w:sz w:val="23"/>
                <w:szCs w:val="23"/>
                <w:color w:val="auto"/>
                <w:w w:val="89"/>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6"/>
              </w:rPr>
              <w:t>$—</w:t>
            </w: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6"/>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NATURAL GAS</w:t>
            </w:r>
          </w:p>
        </w:tc>
        <w:tc>
          <w:tcPr>
            <w:tcW w:w="10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 - Dec.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Collars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Henry Hub</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8"/>
              </w:rPr>
              <w:t>$2.50</w:t>
            </w:r>
          </w:p>
        </w:tc>
        <w:tc>
          <w:tcPr>
            <w:tcW w:w="98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$4.62</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 - Dec.</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Basis Swap</w:t>
            </w:r>
            <w:r>
              <w:rPr>
                <w:rFonts w:ascii="Times New Roman" w:cs="Times New Roman" w:eastAsia="Times New Roman" w:hAnsi="Times New Roman"/>
                <w:sz w:val="23"/>
                <w:szCs w:val="23"/>
                <w:color w:val="auto"/>
                <w:w w:val="94"/>
                <w:vertAlign w:val="superscript"/>
              </w:rPr>
              <w:t>(3)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Waha Hub</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74"/>
              <w:spacing w:after="0"/>
              <w:rPr>
                <w:sz w:val="20"/>
                <w:szCs w:val="20"/>
                <w:color w:val="auto"/>
              </w:rPr>
            </w:pPr>
            <w:r>
              <w:rPr>
                <w:rFonts w:ascii="Times New Roman" w:cs="Times New Roman" w:eastAsia="Times New Roman" w:hAnsi="Times New Roman"/>
                <w:sz w:val="18"/>
                <w:szCs w:val="18"/>
                <w:color w:val="auto"/>
                <w:w w:val="96"/>
              </w:rPr>
              <w:t>$—</w:t>
            </w:r>
          </w:p>
        </w:tc>
        <w:tc>
          <w:tcPr>
            <w:tcW w:w="10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6"/>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deferred premium at a weighted average price of $1.49/Bbl.</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deferred premium at a weighted average price of $1.52/Bbl.</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has fixed price basis swaps for the spread between the Henry Hub natural gas price and the Waha Hub natural gas price. The weighted average differential represents the amount of reduction to the Waha Hub natural gas price for the notional volumes covered by the basis swap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Offsetting of Derivative Assets and Liabilities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r>
        <w:rPr>
          <w:rFonts w:ascii="Times New Roman" w:cs="Times New Roman" w:eastAsia="Times New Roman" w:hAnsi="Times New Roman"/>
          <w:sz w:val="18"/>
          <w:szCs w:val="18"/>
          <w:u w:val="single" w:color="auto"/>
          <w:color w:val="0000FF"/>
        </w:rPr>
        <w:t>Fair Value Measurements</w:t>
      </w:r>
      <w:r>
        <w:rPr>
          <w:rFonts w:ascii="Times New Roman" w:cs="Times New Roman" w:eastAsia="Times New Roman" w:hAnsi="Times New Roman"/>
          <w:sz w:val="18"/>
          <w:szCs w:val="18"/>
          <w:color w:val="auto"/>
        </w:rPr>
        <w:t xml:space="preserve"> for further details.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Derivative Instruments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gains and losses on derivative instruments included in the condensed consolidated statements of operations and the net cash receipts (payments) on derivatives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8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40" w:type="dxa"/>
            <w:vAlign w:val="bottom"/>
          </w:tcPr>
          <w:p>
            <w:pPr>
              <w:spacing w:after="0"/>
              <w:rPr>
                <w:sz w:val="18"/>
                <w:szCs w:val="18"/>
                <w:color w:val="auto"/>
              </w:rPr>
            </w:pPr>
          </w:p>
        </w:tc>
      </w:tr>
      <w:tr>
        <w:trPr>
          <w:trHeight w:val="23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(31,504)</w:t>
            </w:r>
          </w:p>
        </w:tc>
      </w:tr>
      <w:tr>
        <w:trPr>
          <w:trHeight w:val="30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receipts (payments) on derivatives</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r>
    </w:tbl>
    <w:p>
      <w:pPr>
        <w:spacing w:after="0"/>
        <w:rPr>
          <w:sz w:val="20"/>
          <w:szCs w:val="20"/>
          <w:color w:val="auto"/>
        </w:rPr>
      </w:pPr>
      <w:r>
        <w:rPr>
          <w:rFonts w:ascii="Times New Roman" w:cs="Times New Roman" w:eastAsia="Times New Roman" w:hAnsi="Times New Roman"/>
          <w:sz w:val="18"/>
          <w:szCs w:val="18"/>
          <w:color w:val="auto"/>
        </w:rPr>
        <w:t>(1) The three months ended March 31, 2022 includes cash paid on commodity contracts terminated prior to their contractual maturity of $4.2 million.</w:t>
      </w:r>
    </w:p>
    <w:p>
      <w:pPr>
        <w:spacing w:after="0" w:line="247"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 as of the reporting date.</w:t>
      </w:r>
    </w:p>
    <w:p>
      <w:pPr>
        <w:spacing w:after="0" w:line="25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8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not corroborated by market data and may be used with internally developed methodologies that result in management’s best estimate of fair value.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reported at fair value on a recurring basis, including the Partnership’s derivative instruments. The fair values of the Partnership’s derivative contracts are measured internally using established commodity futures price strips for the underlying commodity provided by a reputable third party, the contracted notional volumes, and time to maturity. These valuations are Level 2 inputs.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 fair value measurement information for financial assets and liabilities measured at fair value on a recurring basis,</w:t>
      </w:r>
    </w:p>
    <w:p>
      <w:pPr>
        <w:spacing w:after="0" w:line="27" w:lineRule="exact"/>
        <w:rPr>
          <w:sz w:val="20"/>
          <w:szCs w:val="20"/>
          <w:color w:val="auto"/>
        </w:rPr>
      </w:pPr>
    </w:p>
    <w:p>
      <w:pPr>
        <w:jc w:val="both"/>
        <w:ind w:firstLine="8"/>
        <w:spacing w:after="0" w:line="255"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amounts of recognized derivative assets and liabilities, (iii) the amounts offset under master netting arrangements with counterparties and (iv) the resulting net amounts presented in the Partnership’s condensed consolidated balance sheets as of March 31, 2022 and December 31, 2021. The net amounts are classified as current or noncurrent based on their anticipated settlement dates.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left="595"/>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1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2"/>
            <w:vMerge w:val="restart"/>
          </w:tcPr>
          <w:p>
            <w:pPr>
              <w:jc w:val="center"/>
              <w:ind w:left="755"/>
              <w:spacing w:after="0"/>
              <w:rPr>
                <w:sz w:val="20"/>
                <w:szCs w:val="20"/>
                <w:color w:val="auto"/>
              </w:rPr>
            </w:pPr>
            <w:r>
              <w:rPr>
                <w:rFonts w:ascii="Times New Roman" w:cs="Times New Roman" w:eastAsia="Times New Roman" w:hAnsi="Times New Roman"/>
                <w:sz w:val="16"/>
                <w:szCs w:val="16"/>
                <w:b w:val="1"/>
                <w:bCs w:val="1"/>
                <w:color w:val="auto"/>
              </w:rPr>
              <w:t>Total Gross Fair</w:t>
            </w:r>
          </w:p>
        </w:tc>
        <w:tc>
          <w:tcPr>
            <w:tcW w:w="160" w:type="dxa"/>
            <w:vAlign w:val="bottom"/>
          </w:tcPr>
          <w:p>
            <w:pPr>
              <w:spacing w:after="0"/>
              <w:rPr>
                <w:sz w:val="13"/>
                <w:szCs w:val="13"/>
                <w:color w:val="auto"/>
              </w:rPr>
            </w:pPr>
          </w:p>
        </w:tc>
        <w:tc>
          <w:tcPr>
            <w:tcW w:w="1380" w:type="dxa"/>
            <w:vAlign w:val="bottom"/>
          </w:tcPr>
          <w:p>
            <w:pPr>
              <w:jc w:val="center"/>
              <w:ind w:right="75"/>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 Amounts</w:t>
            </w:r>
          </w:p>
        </w:tc>
        <w:tc>
          <w:tcPr>
            <w:tcW w:w="180" w:type="dxa"/>
            <w:vAlign w:val="bottom"/>
          </w:tcPr>
          <w:p>
            <w:pPr>
              <w:spacing w:after="0"/>
              <w:rPr>
                <w:sz w:val="13"/>
                <w:szCs w:val="13"/>
                <w:color w:val="auto"/>
              </w:rPr>
            </w:pPr>
          </w:p>
        </w:tc>
        <w:tc>
          <w:tcPr>
            <w:tcW w:w="1340" w:type="dxa"/>
            <w:vAlign w:val="bottom"/>
          </w:tcPr>
          <w:p>
            <w:pPr>
              <w:jc w:val="center"/>
              <w:ind w:right="94"/>
              <w:spacing w:after="0" w:line="158" w:lineRule="exact"/>
              <w:rPr>
                <w:sz w:val="20"/>
                <w:szCs w:val="20"/>
                <w:color w:val="auto"/>
              </w:rPr>
            </w:pPr>
            <w:r>
              <w:rPr>
                <w:rFonts w:ascii="Times New Roman" w:cs="Times New Roman" w:eastAsia="Times New Roman" w:hAnsi="Times New Roman"/>
                <w:sz w:val="16"/>
                <w:szCs w:val="16"/>
                <w:b w:val="1"/>
                <w:bCs w:val="1"/>
                <w:color w:val="auto"/>
                <w:w w:val="98"/>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Offset in Balance</w:t>
            </w:r>
          </w:p>
        </w:tc>
        <w:tc>
          <w:tcPr>
            <w:tcW w:w="15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Balance</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9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Sheet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left="77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Derivative instruments</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Derivative instruments</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Derivative instruments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Derivative instruments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73"/>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center"/>
              <w:ind w:right="595"/>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2"/>
            <w:vMerge w:val="restart"/>
          </w:tcPr>
          <w:p>
            <w:pPr>
              <w:jc w:val="center"/>
              <w:ind w:left="775"/>
              <w:spacing w:after="0"/>
              <w:rPr>
                <w:sz w:val="20"/>
                <w:szCs w:val="20"/>
                <w:color w:val="auto"/>
              </w:rPr>
            </w:pPr>
            <w:r>
              <w:rPr>
                <w:rFonts w:ascii="Times New Roman" w:cs="Times New Roman" w:eastAsia="Times New Roman" w:hAnsi="Times New Roman"/>
                <w:sz w:val="16"/>
                <w:szCs w:val="16"/>
                <w:b w:val="1"/>
                <w:bCs w:val="1"/>
                <w:color w:val="auto"/>
                <w:w w:val="98"/>
              </w:rPr>
              <w:t>Total Gross Fair</w:t>
            </w:r>
          </w:p>
        </w:tc>
        <w:tc>
          <w:tcPr>
            <w:tcW w:w="160" w:type="dxa"/>
            <w:vAlign w:val="bottom"/>
          </w:tcPr>
          <w:p>
            <w:pPr>
              <w:spacing w:after="0"/>
              <w:rPr>
                <w:sz w:val="13"/>
                <w:szCs w:val="13"/>
                <w:color w:val="auto"/>
              </w:rPr>
            </w:pPr>
          </w:p>
        </w:tc>
        <w:tc>
          <w:tcPr>
            <w:tcW w:w="1380" w:type="dxa"/>
            <w:vAlign w:val="bottom"/>
          </w:tcPr>
          <w:p>
            <w:pPr>
              <w:jc w:val="center"/>
              <w:ind w:right="55"/>
              <w:spacing w:after="0" w:line="158" w:lineRule="exact"/>
              <w:rPr>
                <w:sz w:val="20"/>
                <w:szCs w:val="20"/>
                <w:color w:val="auto"/>
              </w:rPr>
            </w:pPr>
            <w:r>
              <w:rPr>
                <w:rFonts w:ascii="Times New Roman" w:cs="Times New Roman" w:eastAsia="Times New Roman" w:hAnsi="Times New Roman"/>
                <w:sz w:val="16"/>
                <w:szCs w:val="16"/>
                <w:b w:val="1"/>
                <w:bCs w:val="1"/>
                <w:color w:val="auto"/>
              </w:rPr>
              <w:t>Gross Amounts</w:t>
            </w:r>
          </w:p>
        </w:tc>
        <w:tc>
          <w:tcPr>
            <w:tcW w:w="180" w:type="dxa"/>
            <w:vAlign w:val="bottom"/>
          </w:tcPr>
          <w:p>
            <w:pPr>
              <w:spacing w:after="0"/>
              <w:rPr>
                <w:sz w:val="13"/>
                <w:szCs w:val="13"/>
                <w:color w:val="auto"/>
              </w:rPr>
            </w:pPr>
          </w:p>
        </w:tc>
        <w:tc>
          <w:tcPr>
            <w:tcW w:w="1340" w:type="dxa"/>
            <w:vAlign w:val="bottom"/>
          </w:tcPr>
          <w:p>
            <w:pPr>
              <w:jc w:val="center"/>
              <w:ind w:right="94"/>
              <w:spacing w:after="0" w:line="158" w:lineRule="exact"/>
              <w:rPr>
                <w:sz w:val="20"/>
                <w:szCs w:val="20"/>
                <w:color w:val="auto"/>
              </w:rPr>
            </w:pPr>
            <w:r>
              <w:rPr>
                <w:rFonts w:ascii="Times New Roman" w:cs="Times New Roman" w:eastAsia="Times New Roman" w:hAnsi="Times New Roman"/>
                <w:sz w:val="16"/>
                <w:szCs w:val="16"/>
                <w:b w:val="1"/>
                <w:bCs w:val="1"/>
                <w:color w:val="auto"/>
                <w:w w:val="98"/>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rPr>
              <w:t>Offset in Balance</w:t>
            </w:r>
          </w:p>
        </w:tc>
        <w:tc>
          <w:tcPr>
            <w:tcW w:w="15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Balance</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9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Sheet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left="77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Derivative instruments</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Derivative instruments</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Not Recorded at Fair Value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fair value of financial instruments that are not recorded at fair value in the condensed consolidated balance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4"/>
          </w:tcPr>
          <w:p>
            <w:pPr>
              <w:ind w:left="9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00" w:type="dxa"/>
            <w:vAlign w:val="bottom"/>
          </w:tcPr>
          <w:p>
            <w:pPr>
              <w:spacing w:after="0"/>
              <w:rPr>
                <w:sz w:val="18"/>
                <w:szCs w:val="18"/>
                <w:color w:val="auto"/>
              </w:rPr>
            </w:pPr>
          </w:p>
        </w:tc>
        <w:tc>
          <w:tcPr>
            <w:tcW w:w="3160" w:type="dxa"/>
            <w:vAlign w:val="bottom"/>
            <w:gridSpan w:val="3"/>
          </w:tcPr>
          <w:p>
            <w:pPr>
              <w:jc w:val="right"/>
              <w:ind w:right="933"/>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1"/>
        </w:trPr>
        <w:tc>
          <w:tcPr>
            <w:tcW w:w="44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3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3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0"/>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4"/>
          </w:tcPr>
          <w:p>
            <w:pPr>
              <w:jc w:val="right"/>
              <w:ind w:right="109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248,000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304,000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304,000</w:t>
            </w:r>
          </w:p>
        </w:tc>
      </w:tr>
      <w:tr>
        <w:trPr>
          <w:trHeight w:val="230"/>
        </w:trPr>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5.375% senior notes due 2027</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473,005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472,727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498,992</w:t>
            </w:r>
          </w:p>
        </w:tc>
      </w:tr>
    </w:tbl>
    <w:p>
      <w:pPr>
        <w:spacing w:after="0" w:line="76"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includes associated deferred loan costs and any discount.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Operating Company’s revolving credit facility approximates the carrying value based on borrowing rates available to the Partnership for bank loans with similar terms and maturities and is classified as Level 2 in the fair value hierarchy. The fair value of the Notes was determined using the March 31, 2022 quoted market price, a Level 1 classification in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certain circumstances. These assets and liabilities can include those acquired in a business combination, inventory, proved and unproved oil and gas properties and other long-lived assets that are written down to fair value when they are impaired or held for sale.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Assets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Partnership has other financial instruments consisting of cash and cash equivalents, royalty income receivable, other current assets, accounts payable and accrued liabilities. The carrying value of these instruments approximate their fair value because of the short-term nature of the instruments.</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6" w:lineRule="exact"/>
        <w:rPr>
          <w:sz w:val="20"/>
          <w:szCs w:val="20"/>
          <w:color w:val="auto"/>
        </w:rPr>
      </w:pPr>
    </w:p>
    <w:p>
      <w:pPr>
        <w:jc w:val="both"/>
        <w:ind w:right="80" w:firstLine="648"/>
        <w:spacing w:after="0" w:line="253" w:lineRule="auto"/>
        <w:rPr>
          <w:sz w:val="20"/>
          <w:szCs w:val="20"/>
          <w:color w:val="auto"/>
        </w:rPr>
      </w:pPr>
      <w:r>
        <w:rPr>
          <w:rFonts w:ascii="Times New Roman" w:cs="Times New Roman" w:eastAsia="Times New Roman" w:hAnsi="Times New Roman"/>
          <w:sz w:val="18"/>
          <w:szCs w:val="18"/>
          <w:color w:val="auto"/>
        </w:rPr>
        <w:t>The Partnership is a party to various routine legal proceedings, disputes and claims from time to time arising in the ordinary course of its business, including those that arise from interpretation of federal and state laws and regulations affecting the crude oil and natural gas industry. These proceedings, disputes and claims may include differing interpretations as to the prices at which crude oil and natural gas sales may be made, the prices at which royalty owners may be paid for production from their leases, title claims, environmental issues and other matters. While the ultimate outcome of the pending proceedings, disputes or claims, and any resulting impact on the Partnership, cannot be predicted with certainty, the Partnership’s management believes that none of these matters, if ultimately decided adversely, will have a material adverse effect on the Partnership’s financial condition, results of operations or cash flows. The Partnership’s assessment is based on information known about the pending matters and its experience in contesting, litigating and settling similar matters. Actual outcomes could differ materially from the Partnership’s assessment. The Partnership records reserves for contingencies related to outstanding legal proceedings, disputes or claims when information available indicates that a loss is probable and the amount of the loss can be reasonably estimated.</w:t>
      </w: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April 27, 2022, the board of directors of the General Partner approved a cash distribution for the first quarter of 2022 of $0.67 per common unit, payable on May 19, 2022, to eligible unitholders of record at the close of business on May 12,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Unit Repurchase Program</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April 27, 2022, the board of directors of the General Partner increased the authorization of its common unit repurchase program from $150.0 million to $250.0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648"/>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18">
        <w:r>
          <w:rPr>
            <w:rFonts w:ascii="Times New Roman" w:cs="Times New Roman" w:eastAsia="Times New Roman" w:hAnsi="Times New Roman"/>
            <w:sz w:val="18"/>
            <w:szCs w:val="18"/>
            <w:i w:val="1"/>
            <w:iCs w:val="1"/>
            <w:u w:val="single" w:color="auto"/>
            <w:color w:val="0000FF"/>
          </w:rPr>
          <w:t>Annual Report on Form 10-K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for the year ended December 31, 2021.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r>
        <w:rPr>
          <w:rFonts w:ascii="Times New Roman" w:cs="Times New Roman" w:eastAsia="Times New Roman" w:hAnsi="Times New Roman"/>
          <w:sz w:val="18"/>
          <w:szCs w:val="18"/>
          <w:i w:val="1"/>
          <w:iCs w:val="1"/>
          <w:u w:val="single" w:color="auto"/>
          <w:color w:val="0000FF"/>
        </w:rPr>
        <w:t>Part II. Item 1A. Risk Factors</w:t>
      </w:r>
      <w:r>
        <w:rPr>
          <w:rFonts w:ascii="Times New Roman" w:cs="Times New Roman" w:eastAsia="Times New Roman" w:hAnsi="Times New Roman"/>
          <w:sz w:val="18"/>
          <w:szCs w:val="18"/>
          <w:i w:val="1"/>
          <w:iCs w:val="1"/>
          <w:color w:val="auto"/>
        </w:rPr>
        <w:t>” and “</w:t>
      </w:r>
      <w:r>
        <w:rPr>
          <w:rFonts w:ascii="Times New Roman" w:cs="Times New Roman" w:eastAsia="Times New Roman" w:hAnsi="Times New Roman"/>
          <w:sz w:val="18"/>
          <w:szCs w:val="18"/>
          <w:i w:val="1"/>
          <w:iCs w:val="1"/>
          <w:u w:val="single" w:color="auto"/>
          <w:color w:val="0000FF"/>
        </w:rPr>
        <w:t>Cautionary Statement Regarding Forward-Looking Statements</w:t>
      </w:r>
      <w:r>
        <w:rPr>
          <w:rFonts w:ascii="Times New Roman" w:cs="Times New Roman" w:eastAsia="Times New Roman" w:hAnsi="Times New Roman"/>
          <w:sz w:val="18"/>
          <w:szCs w:val="18"/>
          <w:i w:val="1"/>
          <w:iCs w:val="1"/>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publicly traded Delaware limited partnership formed by Diamondback to own and acquire mineral and royalty interests in oil and natural gas properties primarily in the Permian Basin. We operate in one reportable segment. Since May 10, 2018, we have been treated as a corporation for U.S. federal income tax purposes.</w:t>
      </w:r>
    </w:p>
    <w:p>
      <w:pPr>
        <w:spacing w:after="0" w:line="20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2022, our General Partner held a 100% General Partner interest in us, and Diamondback owned 731,500 of our common units and beneficially owned all of our 90,709,946 outstanding Class B units, representing approximately 55% of our total units outstanding. Diamondback also owns and controls our General Partner.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Prices</w:t>
      </w:r>
    </w:p>
    <w:p>
      <w:pPr>
        <w:spacing w:after="0" w:line="2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During 2021 and the first quarter of 2022, NYMEX WTI, has ranged from $47.62 to $123.70 per Bbl, and the NYMEX Henry Hub price of natural gas has ranged from $2.45 to $6.31 per MMBtu. On April 13, 2022, the closing NYMEX WTI price for crude oil was $104.25 per Bbl and the closing NYMEX Henry Hub price of natural gas was $7.00 per MMBtu. The Russian-Ukrainian military conflict and the COVID-19 pandemic have contributed to economic and pricing volatility in the first quarter of 2022 as industry and market participants evaluate global demand and production outlooks. On March 31, 2022, OPEC and its non-OPEC allies, known collectively as OPEC+, agreed to continue their program (commenced in August 2021) of gradual monthly output increases, raising its output target by 432,000 Bbl per day for May 2022, which is expected to further boost oil supply in response to rising demand. In its report issued on April 12, 2022, OPEC noted its expectation that world oil demand will rise by 3.7 million Bbls per day in 2022, down 480,000 Bbls per day from its previous forecast due to the impact of the Russian-Ukrainian military conflict, rising inflation and the resurgence of the Omicron coronavirus variant in China. Although this demand outlook is expected to underpin oil prices, already seen at a seven-year high in the first quarter of 2022, we cannot predict any future volatility in commodity prices or demand for crude oil.</w:t>
      </w:r>
    </w:p>
    <w:p>
      <w:pPr>
        <w:spacing w:after="0" w:line="21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Although demand for oil and natural gas and commodity prices have recently increased, Diamondback and certain of our other operators have kept production on our acreage relatively flat during 2022, using excess cash flow for debt repayment and/or return to their stockholders rather than expanding their drilling programs. Diamondback also indicated that it intends to continue exercising capital discipline and will maintain its fourth quarter 2021 oil production levels flat in 2022. We cannot reasonably predict whether production levels will remain at current levels or the impact the full extent of the events above and subsequent recovery may have on our industry and our business.</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Due to the improved commodity prices and industry conditions, we were not required to record an impairment on our proved oil and natural gas interests for the quarter ended March 31, 2022, based on the results of the quarterly ceiling test. If commodity prices fall below current levels, we may be required to record impairments in future periods and such impairments could be material. Further, if commodity prices decrease, our production, proved reserves and cash flows may be adversely impacted. Our business may also be adversely impacted by any pipeline capacity and storage constraints.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Divestitures Update</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first quarter of 2022, we had insignificant acquisitions and divested 325 net royalty acres of third party operated acreage located entirely in Upton and Reagan counties in the Midland Basin for an aggregate sales price of $29.3 million, subject to post-closing adjustments. This brought our footprint of mineral and royalty interests to a total of 26,708 net royalty acres at March 31, 2022.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 on Common Units</w:t>
      </w:r>
    </w:p>
    <w:p>
      <w:pPr>
        <w:spacing w:after="0" w:line="243" w:lineRule="exact"/>
        <w:rPr>
          <w:sz w:val="20"/>
          <w:szCs w:val="20"/>
          <w:color w:val="auto"/>
        </w:rPr>
      </w:pPr>
    </w:p>
    <w:p>
      <w:pPr>
        <w:jc w:val="both"/>
        <w:ind w:left="40" w:right="20" w:firstLine="608"/>
        <w:spacing w:after="0" w:line="245" w:lineRule="auto"/>
        <w:rPr>
          <w:sz w:val="20"/>
          <w:szCs w:val="20"/>
          <w:color w:val="auto"/>
        </w:rPr>
      </w:pPr>
      <w:r>
        <w:rPr>
          <w:rFonts w:ascii="Times New Roman" w:cs="Times New Roman" w:eastAsia="Times New Roman" w:hAnsi="Times New Roman"/>
          <w:sz w:val="18"/>
          <w:szCs w:val="18"/>
          <w:color w:val="auto"/>
        </w:rPr>
        <w:t>On April 27, 2022, the board of directors of our General Partner declared a cash distribution for the three months ended March 31, 2022 of $0.67 per common unit, maintaining our distribution from the fourth quarter of 2021 of 70% of cash available for distribution. The distribution is payable on May 19, 2022 to eligible common unitholders of record at the close of business on May 12, 2022. We expect to continue to generate robust amounts of free cash flow and subsequently use that cash to both reduce debt and increase our return on capital to unitholders.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and Operational Update</w:t>
      </w:r>
    </w:p>
    <w:p>
      <w:pPr>
        <w:spacing w:after="0" w:line="22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Third party operated net wells turned to production on our acreage during the first quarter of 2022 are at their highest level since the second quarter of 2019, and third party operated gross wells turned to production during the quarter were the highest in the Partnership’s history. There are currently 44 rigs operating on our mineral and royalty acreage, eight of which are operated by Diamondback. Our production and free cash flow outlook is expected to be driven by Diamondback’s continued focus on developing our acreage, as well as our exposure to other well-capitalized operators in the Permian Basin. We have increased our production outlook for 2022 and have a high level of visibility into Diamondback’s anticipated forward development plan that is expected to bolster oil production for Viper not only for the next several quarters, but in the coming years.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gross well information as of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Diamondback</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Third Party</w:t>
            </w:r>
          </w:p>
        </w:tc>
        <w:tc>
          <w:tcPr>
            <w:tcW w:w="110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94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Operated</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Operated</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4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Horizontal wells turned to production (first quarter 2022)</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Horizontal producing well count (as of April 13, 2022):</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Horizontal active development well count (as of April 13, 2022)</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Line of sight wells (as of April 13, 2022)</w:t>
            </w: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6"/>
                <w:szCs w:val="16"/>
                <w:b w:val="1"/>
                <w:bCs w:val="1"/>
                <w:color w:val="auto"/>
              </w:rPr>
              <w: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lateral length of 10,519.</w:t>
      </w:r>
    </w:p>
    <w:p>
      <w:pPr>
        <w:spacing w:after="0" w:line="27" w:lineRule="exact"/>
        <w:rPr>
          <w:rFonts w:ascii="Times New Roman" w:cs="Times New Roman" w:eastAsia="Times New Roman" w:hAnsi="Times New Roman"/>
          <w:sz w:val="18"/>
          <w:szCs w:val="18"/>
          <w:color w:val="auto"/>
        </w:rPr>
      </w:pPr>
    </w:p>
    <w:p>
      <w:pPr>
        <w:ind w:left="260" w:hanging="252"/>
        <w:spacing w:after="0" w:line="235" w:lineRule="auto"/>
        <w:tabs>
          <w:tab w:leader="none" w:pos="2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473 gross wells currently in the process of active development are those wells that have been spud and are expected to be turned to production within approximately the next six to eight months.</w:t>
      </w:r>
    </w:p>
    <w:p>
      <w:pPr>
        <w:spacing w:after="0" w:line="1" w:lineRule="exact"/>
        <w:rPr>
          <w:rFonts w:ascii="Times New Roman" w:cs="Times New Roman" w:eastAsia="Times New Roman" w:hAnsi="Times New Roman"/>
          <w:sz w:val="18"/>
          <w:szCs w:val="18"/>
          <w:color w:val="auto"/>
        </w:rPr>
      </w:pPr>
    </w:p>
    <w:p>
      <w:pPr>
        <w:jc w:val="both"/>
        <w:ind w:left="260" w:hanging="252"/>
        <w:spacing w:after="0" w:line="242" w:lineRule="auto"/>
        <w:tabs>
          <w:tab w:leader="none" w:pos="2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678 gross line-of-sight wells are those that are not currently in the process of active development, but for which we have reason to believe that they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royalty acreage does not ensure that those wells will be turned to production given the volatility in oil prices.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income and expenses for the periods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48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income</w:t>
            </w:r>
          </w:p>
        </w:tc>
        <w:tc>
          <w:tcPr>
            <w:tcW w:w="3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155,051</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income</w:t>
            </w:r>
          </w:p>
        </w:tc>
        <w:tc>
          <w:tcPr>
            <w:tcW w:w="3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3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Royalty income</w:t>
            </w:r>
          </w:p>
        </w:tc>
        <w:tc>
          <w:tcPr>
            <w:tcW w:w="3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96,512</w:t>
            </w:r>
          </w:p>
        </w:tc>
        <w:tc>
          <w:tcPr>
            <w:tcW w:w="0" w:type="dxa"/>
            <w:vAlign w:val="bottom"/>
          </w:tcPr>
          <w:p>
            <w:pPr>
              <w:spacing w:after="0"/>
              <w:rPr>
                <w:sz w:val="1"/>
                <w:szCs w:val="1"/>
                <w:color w:val="auto"/>
              </w:rPr>
            </w:pPr>
          </w:p>
        </w:tc>
      </w:tr>
      <w:tr>
        <w:trPr>
          <w:trHeight w:val="229"/>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bonus income</w:t>
            </w:r>
          </w:p>
        </w:tc>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3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3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201,903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96,976</w:t>
            </w: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3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24,886</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33,756</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158,669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(31,504)</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3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(39,326)</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130,671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Viper Energy Partners LP</w:t>
            </w:r>
          </w:p>
        </w:tc>
        <w:tc>
          <w:tcPr>
            <w:tcW w:w="34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2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0"/>
        </w:trPr>
        <w:tc>
          <w:tcPr>
            <w:tcW w:w="48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production data, average sales prices and average costs for the periods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(MBbls)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(MMcf)</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8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70"/>
        </w:trPr>
        <w:tc>
          <w:tcPr>
            <w:tcW w:w="8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daily oil volumes (BO/d)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daily combined volumes (BOE/d)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26,066</w:t>
            </w:r>
          </w:p>
        </w:tc>
      </w:tr>
      <w:tr>
        <w:trPr>
          <w:trHeight w:val="270"/>
        </w:trPr>
        <w:tc>
          <w:tcPr>
            <w:tcW w:w="8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sales prices: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($/Bbl)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($/Mcf)</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liquids ($/Bbl)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29"/>
        </w:trPr>
        <w:tc>
          <w:tcPr>
            <w:tcW w:w="82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Combined ($/BOE)</w:t>
            </w:r>
            <w:r>
              <w:rPr>
                <w:rFonts w:ascii="Times New Roman" w:cs="Times New Roman" w:eastAsia="Times New Roman" w:hAnsi="Times New Roman"/>
                <w:sz w:val="23"/>
                <w:szCs w:val="23"/>
                <w:color w:val="auto"/>
                <w:vertAlign w:val="superscript"/>
              </w:rPr>
              <w:t>(2)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r>
      <w:tr>
        <w:trPr>
          <w:trHeight w:val="270"/>
        </w:trPr>
        <w:tc>
          <w:tcPr>
            <w:tcW w:w="8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9"/>
        </w:trPr>
        <w:tc>
          <w:tcPr>
            <w:tcW w:w="82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Oil, hedged ($/Bbl)</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r>
      <w:tr>
        <w:trPr>
          <w:trHeight w:val="230"/>
        </w:trPr>
        <w:tc>
          <w:tcPr>
            <w:tcW w:w="8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Natural gas, hedged ($/Mcf)</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82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Natural gas liquids ($/Bbl)</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r>
      <w:tr>
        <w:trPr>
          <w:trHeight w:val="229"/>
        </w:trPr>
        <w:tc>
          <w:tcPr>
            <w:tcW w:w="8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Combined price, hedged ($/BOE)</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r>
      <w:tr>
        <w:trPr>
          <w:trHeight w:val="270"/>
        </w:trPr>
        <w:tc>
          <w:tcPr>
            <w:tcW w:w="8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costs ($/BOE):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8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General and administrative - cash component</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2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 - cash</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 non-cash unit compensation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Depletion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r>
    </w:tbl>
    <w:p>
      <w:pPr>
        <w:spacing w:after="0" w:line="71"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equivalents are calculated using a conversion rate of six Mcf per one Bbl.</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price net of all deducts for gathering, transportation and processing.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impact of cash settlements of our matured commodity derivative transactions on our average sales prices.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non-cash unit-based compensation expense for the respective periods presented.</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Royalty Income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royalty income is a function of oil, natural gas liquids and natural gas production volumes sold and average prices received for those volumes.</w:t>
      </w:r>
    </w:p>
    <w:p>
      <w:pPr>
        <w:spacing w:after="0" w:line="25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Royalty income increased $96.6 million during the first quarter of 2022 compared to the same period in 2021. As discussed in “—</w:t>
      </w:r>
      <w:r>
        <w:rPr>
          <w:rFonts w:ascii="Times New Roman" w:cs="Times New Roman" w:eastAsia="Times New Roman" w:hAnsi="Times New Roman"/>
          <w:sz w:val="18"/>
          <w:szCs w:val="18"/>
          <w:i w:val="1"/>
          <w:iCs w:val="1"/>
          <w:u w:val="single" w:color="auto"/>
          <w:color w:val="0000FF"/>
        </w:rPr>
        <w:t>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Developments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the record high oil prices and to a lesser extent, the continuing recovery in natural gas and natural gas liquids prices, contributed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approximately $77.9 million of the total increase.</w:t>
      </w:r>
    </w:p>
    <w:p>
      <w:pPr>
        <w:spacing w:after="0" w:line="18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21% increase in production volumes during the first quarter of 2022 compared to the same period in 2021 contributed the remaining $18.7 million of the total increase in royalty income. This production growth is primarily attributable to new well additions between periods.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 Bonus Income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Lease bonus income increased during the first quarter of 2022 compared to the same period in 2021 due primarily to leasing certain assets we acquired in the Swallowtail Acquisition to Diamondback.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Production and Ad Valorem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production and ad valorem taxes for the three months ended March 31, 2022 and 2021:</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0" w:type="dxa"/>
            <w:vAlign w:val="bottom"/>
          </w:tcPr>
          <w:p>
            <w:pPr>
              <w:spacing w:after="0"/>
              <w:rPr>
                <w:sz w:val="1"/>
                <w:szCs w:val="1"/>
                <w:color w:val="auto"/>
              </w:rPr>
            </w:pPr>
          </w:p>
        </w:tc>
      </w:tr>
      <w:tr>
        <w:trPr>
          <w:trHeight w:val="214"/>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Royalty Income</w:t>
            </w: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Royalty Income</w:t>
            </w:r>
          </w:p>
        </w:tc>
        <w:tc>
          <w:tcPr>
            <w:tcW w:w="0" w:type="dxa"/>
            <w:vAlign w:val="bottom"/>
          </w:tcPr>
          <w:p>
            <w:pPr>
              <w:spacing w:after="0"/>
              <w:rPr>
                <w:sz w:val="1"/>
                <w:szCs w:val="1"/>
                <w:color w:val="auto"/>
              </w:rPr>
            </w:pPr>
          </w:p>
        </w:tc>
      </w:tr>
      <w:tr>
        <w:trPr>
          <w:trHeight w:val="225"/>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5.1 %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5.0 %</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production and ad valorem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6.9 %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In general, production taxes are directly related to production revenues and are based upon current year commodity prices. Production taxes as a percentage of royalty income for the first quarter of 2022 remained consistent with the same period in 2021. Ad valorem taxes are based, among other factors, on property values driven by prior year commodity prices. Ad valorem taxes as a percentage of royalty income for first quarter of 2022 compared to the same period in 2021 increased due to higher valuations assigned to our oil and natural gas interests period over period driven by higher commodity prices.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Depletion</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$2.5 million, or 10%, increase in depletion expense for the first quarter of 2022 compared to the same period in 2021 was due primarily to higher production volumes, which was partially offset by a decrease in the depletion rate to $9.65 from $10.61, respectively. The rate decrease largely resulted from higher SEC oil prices utilized in the reserve calculations in the 2022 period, lengthening the economic life of the reserve base and resulting in higher projected remaining reserve volumes on our wells.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net gain (loss) on derivative instruments and the net cash receipts (payments) on derivatives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00" w:type="dxa"/>
            <w:vAlign w:val="bottom"/>
          </w:tcPr>
          <w:p>
            <w:pPr>
              <w:spacing w:after="0"/>
              <w:rPr>
                <w:sz w:val="18"/>
                <w:szCs w:val="18"/>
                <w:color w:val="auto"/>
              </w:rPr>
            </w:pPr>
          </w:p>
        </w:tc>
      </w:tr>
      <w:tr>
        <w:trPr>
          <w:trHeight w:val="23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(31,504)</w:t>
            </w:r>
          </w:p>
        </w:tc>
      </w:tr>
      <w:tr>
        <w:trPr>
          <w:trHeight w:val="306"/>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receipts (payments) on derivatives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r>
    </w:tbl>
    <w:p>
      <w:pPr>
        <w:spacing w:after="0"/>
        <w:rPr>
          <w:sz w:val="20"/>
          <w:szCs w:val="20"/>
          <w:color w:val="auto"/>
        </w:rPr>
      </w:pPr>
      <w:r>
        <w:rPr>
          <w:rFonts w:ascii="Times New Roman" w:cs="Times New Roman" w:eastAsia="Times New Roman" w:hAnsi="Times New Roman"/>
          <w:sz w:val="18"/>
          <w:szCs w:val="18"/>
          <w:color w:val="auto"/>
        </w:rPr>
        <w:t>(1) The three months ended March 31, 2022 includes cash paid on commodity contracts terminated prior to their contractual maturity of $4.2 million.</w:t>
      </w:r>
    </w:p>
    <w:p>
      <w:pPr>
        <w:spacing w:after="0" w:line="2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recorded losses on our derivative instruments for the three months ended March 31, 2022 and 2021 primarily due to market prices being higher than the strike prices on our derivative contracts.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December 31, 2021</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noted 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Recent Developments</w:t>
      </w:r>
      <w:r>
        <w:rPr>
          <w:rFonts w:ascii="Times New Roman" w:cs="Times New Roman" w:eastAsia="Times New Roman" w:hAnsi="Times New Roman"/>
          <w:sz w:val="18"/>
          <w:szCs w:val="18"/>
          <w:color w:val="auto"/>
        </w:rPr>
        <w:t>”, the markets for oil and natural gas are highly volatile and are influenced by a number of factors which can lead to significant changes in our results of operations and management’s operational strategy on a quarterly basis. As a result, beginning with the first quarter of 2022, we have elected to change our results of operations discussion to focus on a comparison of the current quarter’s results of operations with those of the immediately preceding quarter. We believe the change in our discussion will provide investors with a more meaningful analysis of material operational and financial changes which occurred during the quarter based on current market and operational trends.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income and expenses for the periods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9"/>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4"/>
          </w:tcPr>
          <w:p>
            <w:pPr>
              <w:jc w:val="right"/>
              <w:ind w:right="121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155,051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125,063</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income</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18,546</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20,306</w:t>
            </w:r>
          </w:p>
        </w:tc>
      </w:tr>
      <w:tr>
        <w:trPr>
          <w:trHeight w:val="223"/>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Royalty income</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163,915</w:t>
            </w:r>
          </w:p>
        </w:tc>
      </w:tr>
      <w:tr>
        <w:trPr>
          <w:trHeight w:val="230"/>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bonus income</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r>
      <w:tr>
        <w:trPr>
          <w:trHeight w:val="22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7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165,787</w:t>
            </w:r>
          </w:p>
        </w:tc>
      </w:tr>
      <w:tr>
        <w:trPr>
          <w:trHeight w:val="19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29"/>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w:t>
            </w: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28,757</w:t>
            </w:r>
          </w:p>
        </w:tc>
      </w:tr>
      <w:tr>
        <w:trPr>
          <w:trHeight w:val="230"/>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23"/>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39,571</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126,216</w:t>
            </w: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(9,883)</w:t>
            </w: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30"/>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117,575</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116,995</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77,530</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Viper Energy Partners LP</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39,465</w:t>
            </w: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production data, average sales prices and average costs for the periods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60" w:type="dxa"/>
            <w:vAlign w:val="bottom"/>
          </w:tcPr>
          <w:p>
            <w:pPr>
              <w:spacing w:after="0"/>
              <w:rPr>
                <w:sz w:val="18"/>
                <w:szCs w:val="18"/>
                <w:color w:val="auto"/>
              </w:rPr>
            </w:pP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8"/>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2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30"/>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(MBbls)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29"/>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(MMcf)</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r>
      <w:tr>
        <w:trPr>
          <w:trHeight w:val="229"/>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0"/>
        </w:trPr>
        <w:tc>
          <w:tcPr>
            <w:tcW w:w="77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r>
      <w:tr>
        <w:trPr>
          <w:trHeight w:val="270"/>
        </w:trPr>
        <w:tc>
          <w:tcPr>
            <w:tcW w:w="7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daily oil volumes (BO/d)</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18,370</w:t>
            </w:r>
          </w:p>
        </w:tc>
      </w:tr>
      <w:tr>
        <w:trPr>
          <w:trHeight w:val="229"/>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daily combined volumes (BOE/d)</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31,359</w:t>
            </w:r>
          </w:p>
        </w:tc>
      </w:tr>
      <w:tr>
        <w:trPr>
          <w:trHeight w:val="270"/>
        </w:trPr>
        <w:tc>
          <w:tcPr>
            <w:tcW w:w="7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14"/>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sales prices: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1"/>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($/Bbl)</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r>
      <w:tr>
        <w:trPr>
          <w:trHeight w:val="229"/>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($/Mcf)</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30"/>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liquids ($/Bbl)</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r>
      <w:tr>
        <w:trPr>
          <w:trHeight w:val="229"/>
        </w:trPr>
        <w:tc>
          <w:tcPr>
            <w:tcW w:w="77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Combined ($/BOE)</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r>
      <w:tr>
        <w:trPr>
          <w:trHeight w:val="270"/>
        </w:trPr>
        <w:tc>
          <w:tcPr>
            <w:tcW w:w="7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9"/>
        </w:trPr>
        <w:tc>
          <w:tcPr>
            <w:tcW w:w="77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Oil, hedged ($/Bbl)</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w:t>
            </w:r>
          </w:p>
        </w:tc>
      </w:tr>
      <w:tr>
        <w:trPr>
          <w:trHeight w:val="230"/>
        </w:trPr>
        <w:tc>
          <w:tcPr>
            <w:tcW w:w="77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Natural gas, hedged ($/Mcf)</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9"/>
        </w:trPr>
        <w:tc>
          <w:tcPr>
            <w:tcW w:w="77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Natural gas liquids ($/Bbl)</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r>
      <w:tr>
        <w:trPr>
          <w:trHeight w:val="230"/>
        </w:trPr>
        <w:tc>
          <w:tcPr>
            <w:tcW w:w="77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Combined price, hedged ($/BOE)</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r>
      <w:tr>
        <w:trPr>
          <w:trHeight w:val="270"/>
        </w:trPr>
        <w:tc>
          <w:tcPr>
            <w:tcW w:w="7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costs ($/BOE):</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77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General and administrative - cash component</w:t>
            </w:r>
            <w:r>
              <w:rPr>
                <w:rFonts w:ascii="Times New Roman" w:cs="Times New Roman" w:eastAsia="Times New Roman" w:hAnsi="Times New Roman"/>
                <w:sz w:val="23"/>
                <w:szCs w:val="23"/>
                <w:color w:val="auto"/>
                <w:vertAlign w:val="superscript"/>
              </w:rPr>
              <w:t>(4)</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23"/>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 - cash</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7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 non-cash unit compensation expense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2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Depletion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r>
    </w:tbl>
    <w:p>
      <w:pPr>
        <w:spacing w:after="0" w:line="71"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equivalents are calculated using a conversion rate of six Mcf per one Bbl.</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price net of all deducts for gathering, transportation and processing.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impact of cash settlements of our matured commodity derivative transactions on our average sales prices.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non-cash unit-based compensation expense for the respective periods presented.</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Royalty Income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royalty income is a function of oil, natural gas liquids and natural gas production volumes sold and average prices received for those volumes.</w:t>
      </w:r>
    </w:p>
    <w:p>
      <w:pPr>
        <w:spacing w:after="0" w:line="25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Royalty income increased $29.2 million during the first quarter of 2022, compared to the fourth quarter of 2021. As discussed in “—</w:t>
      </w:r>
      <w:r>
        <w:rPr>
          <w:rFonts w:ascii="Times New Roman" w:cs="Times New Roman" w:eastAsia="Times New Roman" w:hAnsi="Times New Roman"/>
          <w:sz w:val="18"/>
          <w:szCs w:val="18"/>
          <w:i w:val="1"/>
          <w:iCs w:val="1"/>
          <w:u w:val="single" w:color="auto"/>
          <w:color w:val="0000FF"/>
        </w:rPr>
        <w:t>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Developments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the record high oil prices and to a lesser extent, the continuing recovery in natural gas and natural gas liquids prices, partially offset by a</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decrease in average natural gas prices, contributed approximately $32.8 million of the total increase.</w:t>
      </w:r>
    </w:p>
    <w:p>
      <w:pPr>
        <w:spacing w:after="0" w:line="18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2% decrease in production volumes during the first quarter of 2022 compared to the fourth quarter of 2021 offset approximately $3.6 million of the total increase in royalty income. The decrease in production is primarily due to having two fewer days of production in the first quarter of 2022 compared to the fourth quarter of 2021.</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 Bonus Income</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Lease bonus income increased during the first quarter of 2022 compared to the fourth quarter of 2021 due primarily to leasing certain assets we acquired in the Swallowtail Acquisition to Diamondback.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Production and Ad Valorem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production and ad valorem taxes for the three months ended March 31, 2022 and December 31, 2021:</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11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374"/>
              <w:spacing w:after="0" w:line="158"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3"/>
                <w:szCs w:val="13"/>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280" w:type="dxa"/>
            <w:vAlign w:val="bottom"/>
          </w:tcPr>
          <w:p>
            <w:pPr>
              <w:jc w:val="center"/>
              <w:ind w:right="14"/>
              <w:spacing w:after="0" w:line="158"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0" w:type="dxa"/>
            <w:vAlign w:val="bottom"/>
          </w:tcPr>
          <w:p>
            <w:pPr>
              <w:spacing w:after="0"/>
              <w:rPr>
                <w:sz w:val="1"/>
                <w:szCs w:val="1"/>
                <w:color w:val="auto"/>
              </w:rPr>
            </w:pPr>
          </w:p>
        </w:tc>
      </w:tr>
      <w:tr>
        <w:trPr>
          <w:trHeight w:val="214"/>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Royalty Income</w:t>
            </w: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28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Royalty Income</w:t>
            </w:r>
          </w:p>
        </w:tc>
        <w:tc>
          <w:tcPr>
            <w:tcW w:w="0" w:type="dxa"/>
            <w:vAlign w:val="bottom"/>
          </w:tcPr>
          <w:p>
            <w:pPr>
              <w:spacing w:after="0"/>
              <w:rPr>
                <w:sz w:val="1"/>
                <w:szCs w:val="1"/>
                <w:color w:val="auto"/>
              </w:rPr>
            </w:pPr>
          </w:p>
        </w:tc>
      </w:tr>
      <w:tr>
        <w:trPr>
          <w:trHeight w:val="225"/>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5.1 %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9"/>
              </w:rPr>
              <w:t>5.3 %</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production and ad valorem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9"/>
              </w:rPr>
              <w:t>5.6 %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general, production taxes are directly related to production revenues and are based upon current year commodity prices. Production taxes as a percentage of royalty income for the three months ended March 31, 2022 remained consistent with the three months ended December 31, 2021. Ad valorem taxes are based, among other factors, on property values driven by prior year commodity prices. Ad valorem taxes as a percentage of royalty income for the first quarter of 2022 compared to the fourth quarter of 2021. The increase is primarily due to the fourth quarter of 2021 including a downward revision to ad valorem taxes accrued for the full year of 2021 based on actual assessments received from our tax jurisdictions. Additionally, ad valorem tax accrued in the first quarter of 2022 increased due to higher expected valuations of our oil and natural gas interests in 2022 driven by higher commodity prices.</w:t>
      </w: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Depletion</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$1.3 million, or 5%, decrease in depletion expense for the first quarter of 2022 compared to the fourth quarter of 2021 was due primarily to a decrease in production, coupled with a decline in the depletion rate to $9.65 from $9.97, respectively. The rate decrease largely resulted from higher SEC oil prices utilized in the reserve calculations in the 2022 period, lengthening the economic life of the reserve base and resulting in higher projected remaining reserve volumes on our wells.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net gain (loss) on derivative instruments and the net cash receipts (payments) on derivatives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3"/>
          </w:tcPr>
          <w:p>
            <w:pPr>
              <w:jc w:val="right"/>
              <w:ind w:right="95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9"/>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3"/>
          </w:tcPr>
          <w:p>
            <w:pPr>
              <w:jc w:val="right"/>
              <w:ind w:right="1173"/>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3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30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receipts (payments) on derivatives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(31,397)</w:t>
            </w:r>
          </w:p>
        </w:tc>
      </w:tr>
    </w:tbl>
    <w:p>
      <w:pPr>
        <w:spacing w:after="0"/>
        <w:rPr>
          <w:sz w:val="20"/>
          <w:szCs w:val="20"/>
          <w:color w:val="auto"/>
        </w:rPr>
      </w:pPr>
      <w:r>
        <w:rPr>
          <w:rFonts w:ascii="Times New Roman" w:cs="Times New Roman" w:eastAsia="Times New Roman" w:hAnsi="Times New Roman"/>
          <w:sz w:val="18"/>
          <w:szCs w:val="18"/>
          <w:color w:val="auto"/>
        </w:rPr>
        <w:t>(1) The first quarter of 2022 includes cash paid on commodity contracts terminated prior to their contractual maturity of $4.2 million.</w:t>
      </w:r>
    </w:p>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recorded losses on our derivative instruments for the three months ended March 31, 2022 and December 31, 2021 primarily due to market prices being higher than the strike prices on our derivative contracts.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 of Sources and Uses of Cash</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we pursue our business and financial strategy, we regularly consider which capital resources, including cash flow and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proceeds from sales of non-core assets and investments, equity and debt offerings and borrowings under the Operating Company’s credit agreement. Our primary uses of cash have been distributions to our unitholders, repayment of debt, capital expenditures for the acquisition of our mineral interests and royalty interests in oil and natural gas properties and repurchases of our common units and senior notes. At March 31, 2022, we had approximately $285.1 million of liquidity consisting of $33.1 million in cash and cash equivalents and $252.0 million available under the Operating Company’s credit agreement.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working capital requirements are supported by our cash and cash equivalents and the Operating Company’s credit agreement. We may draw on the Operating Company’s credit agreement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our acquisitions of mineral and royalty interests, distributions, debt service obligations and repayment of debt maturities, common unit and senior note repurchases and any amounts that may ultimately be paid in connection with contingencies.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order to mitigate volatility in oil and natural gas prices, we have entered into commodity derivative contracts as discussed further in </w:t>
      </w:r>
      <w:r>
        <w:rPr>
          <w:rFonts w:ascii="Times New Roman" w:cs="Times New Roman" w:eastAsia="Times New Roman" w:hAnsi="Times New Roman"/>
          <w:sz w:val="18"/>
          <w:szCs w:val="18"/>
          <w:u w:val="single" w:color="auto"/>
          <w:color w:val="0000FF"/>
        </w:rPr>
        <w:t>Item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Quantitative and Qualitative Disclosures About Market Risk—Commodity Price Risk</w:t>
      </w:r>
      <w:r>
        <w:rPr>
          <w:rFonts w:ascii="Times New Roman" w:cs="Times New Roman" w:eastAsia="Times New Roman" w:hAnsi="Times New Roman"/>
          <w:sz w:val="18"/>
          <w:szCs w:val="18"/>
          <w:color w:val="000000"/>
        </w:rPr>
        <w:t>.</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Continued prolonged volatility in the capital, financial and/or credit markets due to the COVID-19 pandemic, the Russian-Ukrainian military conflict, the depressed commodity markets and, or adverse macroeconomic conditions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cash flows for the periods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00" w:type="dxa"/>
            <w:vAlign w:val="bottom"/>
          </w:tcPr>
          <w:p>
            <w:pPr>
              <w:spacing w:after="0"/>
              <w:rPr>
                <w:sz w:val="18"/>
                <w:szCs w:val="18"/>
                <w:color w:val="auto"/>
              </w:rPr>
            </w:pPr>
          </w:p>
        </w:tc>
      </w:tr>
      <w:tr>
        <w:trPr>
          <w:trHeight w:val="218"/>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Data:</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135,838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54,659</w:t>
            </w:r>
          </w:p>
        </w:tc>
      </w:tr>
      <w:tr>
        <w:trPr>
          <w:trHeight w:val="230"/>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(174,177)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(61,979)</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operating cash flow is sensitive to many variables, the most significant of which are the volatility of prices for oil and natural gas and the volumes of oil and natural gas sold by our producers as discussed in “—</w:t>
      </w:r>
      <w:r>
        <w:rPr>
          <w:rFonts w:ascii="Times New Roman" w:cs="Times New Roman" w:eastAsia="Times New Roman" w:hAnsi="Times New Roman"/>
          <w:sz w:val="18"/>
          <w:szCs w:val="18"/>
          <w:u w:val="single" w:color="auto"/>
          <w:color w:val="0000FF"/>
        </w:rPr>
        <w:t>Results of Operations</w:t>
      </w:r>
      <w:r>
        <w:rPr>
          <w:rFonts w:ascii="Times New Roman" w:cs="Times New Roman" w:eastAsia="Times New Roman" w:hAnsi="Times New Roman"/>
          <w:sz w:val="18"/>
          <w:szCs w:val="18"/>
          <w:color w:val="auto"/>
        </w:rPr>
        <w:t>” above. Prices for these commodities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The increase in net cash provided by operating activities during the three months ended March 31, 2022 compared to the same period in 2021 was primarily driven by (i) higher royalty income,</w:t>
      </w:r>
    </w:p>
    <w:p>
      <w:pPr>
        <w:spacing w:after="0" w:line="3" w:lineRule="exact"/>
        <w:rPr>
          <w:sz w:val="20"/>
          <w:szCs w:val="20"/>
          <w:color w:val="auto"/>
        </w:rPr>
      </w:pPr>
    </w:p>
    <w:p>
      <w:pPr>
        <w:jc w:val="both"/>
        <w:ind w:firstLine="8"/>
        <w:spacing w:after="0" w:line="255" w:lineRule="auto"/>
        <w:tabs>
          <w:tab w:leader="none" w:pos="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lease bonus income and (iii) a decrease in cash paid for derivative settlements. These increases in cash flow were partially offset by (i) changes in our working capital accounts, most notably through an increase in our accounts receivable in 2022 compared to 2021 due primarily to higher market prices for our oil sales and the timing of our receipt of</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royalty income payments from our operators and (ii) an increase in production and ad valorem expenses due to the corresponding increase in royalty income.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2022, was primarily related to proceeds from the divestitures of oil and natural gas interests. There were no significant acquisitions or divestitures of oil and natural gas interests during the three months ended March 31, 2021.</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Consistent with our previously announced strategy to return cash flow to unitholders, net cash used in financing activities during the three months ended March 31, 2022, was primarily related to distributions of $78.9 million to our unitholders and $39.3 million of common unit repurchases during the first quarter of 2022 as discussed below. Additionally, we made net repayments of $56.0 million on the Operating Company’s revolving credit facility.</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2021, was primarily related to the repayment of $27.0 million of borrowings under the Operating Company’s revolving credit facility, distributions of $21.9 million to our unitholders and $13.0 million of repurchases of our common units during the first quarter of 2021 as discussed below.</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Operating Company’s Revolving Credit Facility</w:t>
      </w:r>
    </w:p>
    <w:p>
      <w:pPr>
        <w:spacing w:after="0" w:line="241" w:lineRule="exact"/>
        <w:rPr>
          <w:sz w:val="20"/>
          <w:szCs w:val="20"/>
          <w:color w:val="auto"/>
        </w:rPr>
      </w:pPr>
    </w:p>
    <w:p>
      <w:pPr>
        <w:jc w:val="both"/>
        <w:ind w:left="40" w:firstLine="648"/>
        <w:spacing w:after="0" w:line="241" w:lineRule="auto"/>
        <w:rPr>
          <w:sz w:val="20"/>
          <w:szCs w:val="20"/>
          <w:color w:val="auto"/>
        </w:rPr>
      </w:pPr>
      <w:r>
        <w:rPr>
          <w:rFonts w:ascii="Times New Roman" w:cs="Times New Roman" w:eastAsia="Times New Roman" w:hAnsi="Times New Roman"/>
          <w:sz w:val="18"/>
          <w:szCs w:val="18"/>
          <w:color w:val="auto"/>
        </w:rPr>
        <w:t>The Operating Company’s credit agreement, as amended to date, provides for a revolving credit facility in the maximum credit amount of $2.0 billion, with a borrowing base of $580.0 million as of March 31, 2022, based on the Operating Company’s oil and natural gas reserves and other factors. At March 31, 2022, the Operating Company had elected a commitment amount of $500.0 million on its credit agreement with $248.0 million of outstanding borrowings. The borrowing base of $580.0 million is expected to be reaffirmed by the lenders during the regularly scheduled (semi-annual) spring 2022 redetermination in May 2022. During the three months ended March 31, 2022, the weighted average interest rate on borrowings under the Operating Company’s revolving credit facility was 2.58%.</w:t>
      </w:r>
    </w:p>
    <w:p>
      <w:pPr>
        <w:spacing w:after="0" w:line="22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the Operating Company was in compliance, and expects to be in compliance, with all financial maintenance covenants under its credit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6—</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auto"/>
        </w:rPr>
        <w:t xml:space="preserve"> of the notes to the condensed consolidated financial statements included elsewhere in this report for additional discussion of our outstanding debt at March 31, 2022.</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Repurchases of Securities</w:t>
      </w:r>
    </w:p>
    <w:p>
      <w:pPr>
        <w:spacing w:after="0" w:line="25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On November 15, 2021, the board of directors of our General Partner approved an increase of the authorization of its common unit repurchase program to $150.0 million of our outstanding common units and extended the authorization indefinitely. During the three months ended March 31, 2022, we repurchased approximately $39.3 million of common units under the repurchase program, which includes approximately $37.3 million for the repurchase of 1.5 million common units from an affiliate in a privately negotiated transaction. As of March 31, 2022, $40.7 million remains available for use to repurchase units under the repurchase program. See Note 7—</w:t>
      </w:r>
      <w:r>
        <w:rPr>
          <w:rFonts w:ascii="Times New Roman" w:cs="Times New Roman" w:eastAsia="Times New Roman" w:hAnsi="Times New Roman"/>
          <w:sz w:val="18"/>
          <w:szCs w:val="18"/>
          <w:u w:val="single" w:color="auto"/>
          <w:color w:val="0000FF"/>
        </w:rPr>
        <w:t>Unitholders' Equity and Distributions</w:t>
      </w:r>
      <w:r>
        <w:rPr>
          <w:rFonts w:ascii="Times New Roman" w:cs="Times New Roman" w:eastAsia="Times New Roman" w:hAnsi="Times New Roman"/>
          <w:sz w:val="18"/>
          <w:szCs w:val="18"/>
          <w:color w:val="auto"/>
        </w:rPr>
        <w:t xml:space="preserve"> of the notes to our condensed consolidated financial statements included elsewhere in this report for further discussion of the unit repurchase program.</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also from time to time opportunistically repurchase some of the outstanding Notes in open market purchases or in privately negotiated transactions.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Distributions</w:t>
      </w:r>
    </w:p>
    <w:p>
      <w:pPr>
        <w:spacing w:after="0" w:line="2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distribution for the first quarter of 2022 of $0.67 per common unit is payable on May 19, 2022 to common unitholders of record at the close of business on May 12, 2022. See Note 7—</w:t>
      </w:r>
      <w:r>
        <w:rPr>
          <w:rFonts w:ascii="Times New Roman" w:cs="Times New Roman" w:eastAsia="Times New Roman" w:hAnsi="Times New Roman"/>
          <w:sz w:val="18"/>
          <w:szCs w:val="18"/>
          <w:u w:val="single" w:color="auto"/>
          <w:color w:val="0000FF"/>
        </w:rPr>
        <w:t>Unitholders' Equity and Distributions</w:t>
      </w:r>
      <w:r>
        <w:rPr>
          <w:rFonts w:ascii="Times New Roman" w:cs="Times New Roman" w:eastAsia="Times New Roman" w:hAnsi="Times New Roman"/>
          <w:sz w:val="18"/>
          <w:szCs w:val="18"/>
          <w:color w:val="auto"/>
        </w:rPr>
        <w:t xml:space="preserve"> of the notes to the condensed consolidated financial statements included elsewhere in this report for further discussion of our distributions.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changes to our critical accounting estimates from those disclosed in our </w:t>
      </w:r>
      <w:hyperlink r:id="rId18">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See Note 2—</w:t>
      </w:r>
      <w:r>
        <w:rPr>
          <w:rFonts w:ascii="Times New Roman" w:cs="Times New Roman" w:eastAsia="Times New Roman" w:hAnsi="Times New Roman"/>
          <w:sz w:val="18"/>
          <w:szCs w:val="18"/>
          <w:u w:val="single" w:color="auto"/>
          <w:color w:val="0000FF"/>
        </w:rPr>
        <w:t>Summary of Significant Accounting Policies</w:t>
      </w:r>
      <w:r>
        <w:rPr>
          <w:rFonts w:ascii="Times New Roman" w:cs="Times New Roman" w:eastAsia="Times New Roman" w:hAnsi="Times New Roman"/>
          <w:sz w:val="18"/>
          <w:szCs w:val="18"/>
          <w:color w:val="auto"/>
        </w:rPr>
        <w:t xml:space="preserve"> to the notes of our condensed consolidated financial statements included elsewhere in this report for a listing of our significant accounting policies.</w:t>
      </w:r>
    </w:p>
    <w:p>
      <w:pPr>
        <w:spacing w:after="0" w:line="1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such as the Russian-Ukrainian military conflict, the COVID-19 pandemic and actions taken by OPEC members and other exporting nations. We cannot predict events that may lead to future price volatility and the near term energy outlook remains subject to heightened levels of uncertainty.</w:t>
      </w: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historically have used fixed price swap contracts, fixed price basis swap contracts and costless collars with corresponding put and call options to reduce price volatility associated with certain of our royalty income. Under our costless collar contracts, each collar has an established floor price and ceiling price. When the settlement price is below the floor price, the counterparty is required to make a payment to us and when the settlement price is above the ceiling price, we are required to make a payment to the counterparty. When the settlement price is between the floor and the ceiling, there is no payment required.</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March 31, 2022, we had a net liability derivative position related to our commodity price derivatives of $11.5 million. Utilizing actual derivative contractual volumes under our contracts as of March 31, 2022, a 10% increase in forward curves associated with the underlying commodity would have increased the net liability position by $4.8 million to $16.3 million, while a 10% decrease in forward curves associated with the underlying commodity would have decreased the net liability derivative position by $4.2 million to $7.3 million. However, any cash derivative gain or loss would be substantially offset by a decrease or increase, respectively, in the actual sales value of production covered by the derivative instrument.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Volatility in commodity pricing environment and macroeconomic conditions may enhance our purchaser credit risk.</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market risk exposure related to changes in interest rates on our indebtedness under the Operating Company’s credit agreement. The terms of the credit agreement provide for interest on borrowings at a floating rate equal to an alternative base rate (which is equal to the greatest of the prime rate, the Federal Funds effective rate plus 0.50% and 3-month LIBOR plus 1.0%) or LIBOR, in each case plus the applicable margin. The applicable margin ranges from 1.00% to 2.00% in the case of the alternative base rate and from 2.00% to 3.00% in the case of LIBOR, in each case depending on the amount of</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loan outstanding in relation to the borrowing base. We are obligated to pay a quarterly commitment fee ranging from 0.375% to 0.500% per year on the unused portion of the borrowing base, which is the least of the maximum credit amount, the aggregate elected commitment amount and the borrowing base. As of March 31, 2022, we had $248.0 million in outstanding borrowings. During the three months ended March 31, 2022, the weighted average interest rate on the Operating Company’s revolving credit facility was 2.58%.</w:t>
      </w:r>
    </w:p>
    <w:p>
      <w:pPr>
        <w:spacing w:after="0" w:line="20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Evaluation of Disclosure Control and Procedures</w:t>
      </w:r>
      <w:r>
        <w:rPr>
          <w:rFonts w:ascii="Times New Roman" w:cs="Times New Roman" w:eastAsia="Times New Roman" w:hAnsi="Times New Roman"/>
          <w:sz w:val="18"/>
          <w:szCs w:val="18"/>
          <w:color w:val="auto"/>
        </w:rPr>
        <w:t>. Under the direction of the Chief Executive Officer and Chief Financial Officer of our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2022,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March 31, 2022, our disclosure controls and procedures are effective.</w:t>
      </w:r>
    </w:p>
    <w:p>
      <w:pPr>
        <w:spacing w:after="0" w:line="20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have not been any changes in our internal control over financial reporting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during the quarter ended March 31, 2022 that have materially affected, or are reasonably likely to materially affect,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r>
        <w:rPr>
          <w:rFonts w:ascii="Times New Roman" w:cs="Times New Roman" w:eastAsia="Times New Roman" w:hAnsi="Times New Roman"/>
          <w:sz w:val="18"/>
          <w:szCs w:val="18"/>
          <w:u w:val="single" w:color="auto"/>
          <w:color w:val="0000FF"/>
        </w:rPr>
        <w:t>Commitments and Contingencies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03" w:lineRule="exact"/>
        <w:rPr>
          <w:sz w:val="20"/>
          <w:szCs w:val="20"/>
          <w:color w:val="auto"/>
        </w:rPr>
      </w:pPr>
    </w:p>
    <w:p>
      <w:pPr>
        <w:jc w:val="both"/>
        <w:ind w:firstLine="648"/>
        <w:spacing w:after="0" w:line="258" w:lineRule="auto"/>
        <w:rPr>
          <w:rFonts w:ascii="Times New Roman" w:cs="Times New Roman" w:eastAsia="Times New Roman" w:hAnsi="Times New Roman"/>
          <w:sz w:val="18"/>
          <w:szCs w:val="18"/>
          <w:color w:val="000000"/>
        </w:rPr>
      </w:pPr>
      <w:hyperlink r:id="rId16">
        <w:r>
          <w:rPr>
            <w:rFonts w:ascii="Times New Roman" w:cs="Times New Roman" w:eastAsia="Times New Roman" w:hAnsi="Times New Roman"/>
            <w:sz w:val="18"/>
            <w:szCs w:val="18"/>
            <w:color w:val="auto"/>
          </w:rPr>
          <w:t xml:space="preserve">In addition to the information set forth in this report, you should carefully consider the risk factors disclosed in </w:t>
        </w:r>
        <w:r>
          <w:rPr>
            <w:rFonts w:ascii="Times New Roman" w:cs="Times New Roman" w:eastAsia="Times New Roman" w:hAnsi="Times New Roman"/>
            <w:sz w:val="18"/>
            <w:szCs w:val="18"/>
            <w:u w:val="single" w:color="auto"/>
            <w:color w:val="0000FF"/>
          </w:rPr>
          <w:t>Part I, Item 1A. Risk Factors in our</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year ended December 31, 2021, and in subsequent filings we make with the SEC. Except as provided below, there</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have been no material changes in our risk factors from those described in our </w:t>
      </w:r>
      <w:hyperlink r:id="rId16">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for the year ended December 31, 2021.</w:t>
      </w:r>
    </w:p>
    <w:p>
      <w:pPr>
        <w:spacing w:after="0" w:line="179" w:lineRule="exact"/>
        <w:rPr>
          <w:rFonts w:ascii="Times New Roman" w:cs="Times New Roman" w:eastAsia="Times New Roman" w:hAnsi="Times New Roman"/>
          <w:sz w:val="18"/>
          <w:szCs w:val="18"/>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cannot predict the impact of the ongoing military conflict between Russia and Ukraine and the related humanitarian crisis on the global economy, energy markets, geopolitical stability and our business.</w:t>
      </w:r>
    </w:p>
    <w:p>
      <w:pPr>
        <w:spacing w:after="0" w:line="198" w:lineRule="exact"/>
        <w:rPr>
          <w:rFonts w:ascii="Times New Roman" w:cs="Times New Roman" w:eastAsia="Times New Roman" w:hAnsi="Times New Roman"/>
          <w:sz w:val="18"/>
          <w:szCs w:val="18"/>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Our mineral and royalty acreage is located primarily in the Permian Basin in West Texas. However, the broader consequences of the Russian-Ukrainian military conflict, which may include further sanctions, embargoes, supply chain disruptions, regional instability and geopolitical shifts, may have adverse effects on global macroeconomic conditions, increase volatility in the price and demand of oil and natural gas, increase exposure to cyberattacks, cause disruptions in global supply chains, increase foreign currency fluctuations, cause constraints or disruption in the capital markets and limit sources of liquidity. We cannot predict the extent of the conflict’s effect on our business and results of operations as well as on the global economy and energy markets.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Repurchases of Equity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unit repurchase activity for the three months ended March 31, 2022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Units</w:t>
            </w:r>
          </w:p>
        </w:tc>
        <w:tc>
          <w:tcPr>
            <w:tcW w:w="260" w:type="dxa"/>
            <w:vAlign w:val="bottom"/>
          </w:tcPr>
          <w:p>
            <w:pPr>
              <w:spacing w:after="0"/>
              <w:rPr>
                <w:sz w:val="16"/>
                <w:szCs w:val="16"/>
                <w:color w:val="auto"/>
              </w:rPr>
            </w:pPr>
          </w:p>
        </w:tc>
        <w:tc>
          <w:tcPr>
            <w:tcW w:w="164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Total Number of Units</w:t>
            </w:r>
          </w:p>
        </w:tc>
        <w:tc>
          <w:tcPr>
            <w:tcW w:w="172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860" w:type="dxa"/>
            <w:vAlign w:val="bottom"/>
            <w:vMerge w:val="continue"/>
          </w:tcPr>
          <w:p>
            <w:pPr>
              <w:spacing w:after="0"/>
              <w:rPr>
                <w:sz w:val="14"/>
                <w:szCs w:val="14"/>
                <w:color w:val="auto"/>
              </w:rPr>
            </w:pPr>
          </w:p>
        </w:tc>
        <w:tc>
          <w:tcPr>
            <w:tcW w:w="19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Value of Units that May</w:t>
            </w:r>
          </w:p>
        </w:tc>
        <w:tc>
          <w:tcPr>
            <w:tcW w:w="0" w:type="dxa"/>
            <w:vAlign w:val="bottom"/>
          </w:tcPr>
          <w:p>
            <w:pPr>
              <w:spacing w:after="0"/>
              <w:rPr>
                <w:sz w:val="1"/>
                <w:szCs w:val="1"/>
                <w:color w:val="auto"/>
              </w:rPr>
            </w:pPr>
          </w:p>
        </w:tc>
      </w:tr>
      <w:tr>
        <w:trPr>
          <w:trHeight w:val="162"/>
        </w:trPr>
        <w:tc>
          <w:tcPr>
            <w:tcW w:w="390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60" w:type="dxa"/>
            <w:vAlign w:val="bottom"/>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9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216"/>
        </w:trPr>
        <w:tc>
          <w:tcPr>
            <w:tcW w:w="3900" w:type="dxa"/>
            <w:vAlign w:val="bottom"/>
            <w:gridSpan w:val="2"/>
            <w:vMerge w:val="continue"/>
          </w:tcPr>
          <w:p>
            <w:pPr>
              <w:spacing w:after="0"/>
              <w:rPr>
                <w:sz w:val="18"/>
                <w:szCs w:val="18"/>
                <w:color w:val="auto"/>
              </w:rPr>
            </w:pPr>
          </w:p>
        </w:tc>
        <w:tc>
          <w:tcPr>
            <w:tcW w:w="1860" w:type="dxa"/>
            <w:vAlign w:val="bottom"/>
          </w:tcPr>
          <w:p>
            <w:pPr>
              <w:jc w:val="right"/>
              <w:ind w:right="413"/>
              <w:spacing w:after="0" w:line="216" w:lineRule="exact"/>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1"/>
                <w:szCs w:val="21"/>
                <w:b w:val="1"/>
                <w:bCs w:val="1"/>
                <w:color w:val="auto"/>
                <w:vertAlign w:val="superscript"/>
              </w:rPr>
              <w:t>(1)</w:t>
            </w:r>
          </w:p>
        </w:tc>
        <w:tc>
          <w:tcPr>
            <w:tcW w:w="360" w:type="dxa"/>
            <w:vAlign w:val="bottom"/>
          </w:tcPr>
          <w:p>
            <w:pPr>
              <w:spacing w:after="0"/>
              <w:rPr>
                <w:sz w:val="18"/>
                <w:szCs w:val="18"/>
                <w:color w:val="auto"/>
              </w:rPr>
            </w:pPr>
          </w:p>
        </w:tc>
        <w:tc>
          <w:tcPr>
            <w:tcW w:w="1360" w:type="dxa"/>
            <w:vAlign w:val="bottom"/>
          </w:tcPr>
          <w:p>
            <w:pPr>
              <w:jc w:val="right"/>
              <w:ind w:right="413"/>
              <w:spacing w:after="0" w:line="216" w:lineRule="exact"/>
              <w:rPr>
                <w:sz w:val="20"/>
                <w:szCs w:val="20"/>
                <w:color w:val="auto"/>
              </w:rPr>
            </w:pPr>
            <w:r>
              <w:rPr>
                <w:rFonts w:ascii="Times New Roman" w:cs="Times New Roman" w:eastAsia="Times New Roman" w:hAnsi="Times New Roman"/>
                <w:sz w:val="16"/>
                <w:szCs w:val="16"/>
                <w:b w:val="1"/>
                <w:bCs w:val="1"/>
                <w:color w:val="auto"/>
              </w:rPr>
              <w:t>Per Unit</w:t>
            </w:r>
            <w:r>
              <w:rPr>
                <w:rFonts w:ascii="Times New Roman" w:cs="Times New Roman" w:eastAsia="Times New Roman" w:hAnsi="Times New Roman"/>
                <w:sz w:val="21"/>
                <w:szCs w:val="21"/>
                <w:b w:val="1"/>
                <w:bCs w:val="1"/>
                <w:color w:val="auto"/>
                <w:vertAlign w:val="superscript"/>
              </w:rPr>
              <w:t>(2)</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w:t>
            </w:r>
          </w:p>
        </w:tc>
        <w:tc>
          <w:tcPr>
            <w:tcW w:w="260" w:type="dxa"/>
            <w:vAlign w:val="bottom"/>
          </w:tcPr>
          <w:p>
            <w:pPr>
              <w:spacing w:after="0"/>
              <w:rPr>
                <w:sz w:val="18"/>
                <w:szCs w:val="18"/>
                <w:color w:val="auto"/>
              </w:rPr>
            </w:pPr>
          </w:p>
        </w:tc>
        <w:tc>
          <w:tcPr>
            <w:tcW w:w="1640" w:type="dxa"/>
            <w:vAlign w:val="bottom"/>
          </w:tcPr>
          <w:p>
            <w:pPr>
              <w:jc w:val="right"/>
              <w:ind w:right="454"/>
              <w:spacing w:after="0" w:line="216" w:lineRule="exact"/>
              <w:rPr>
                <w:sz w:val="20"/>
                <w:szCs w:val="20"/>
                <w:color w:val="auto"/>
              </w:rPr>
            </w:pPr>
            <w:r>
              <w:rPr>
                <w:rFonts w:ascii="Times New Roman" w:cs="Times New Roman" w:eastAsia="Times New Roman" w:hAnsi="Times New Roman"/>
                <w:sz w:val="16"/>
                <w:szCs w:val="16"/>
                <w:b w:val="1"/>
                <w:bCs w:val="1"/>
                <w:color w:val="auto"/>
              </w:rPr>
              <w:t>the Plan</w:t>
            </w:r>
            <w:r>
              <w:rPr>
                <w:rFonts w:ascii="Times New Roman" w:cs="Times New Roman" w:eastAsia="Times New Roman" w:hAnsi="Times New Roman"/>
                <w:sz w:val="21"/>
                <w:szCs w:val="21"/>
                <w:b w:val="1"/>
                <w:bCs w:val="1"/>
                <w:color w:val="auto"/>
                <w:vertAlign w:val="superscript"/>
              </w:rPr>
              <w:t>(3)</w:t>
            </w:r>
          </w:p>
        </w:tc>
        <w:tc>
          <w:tcPr>
            <w:tcW w:w="0" w:type="dxa"/>
            <w:vAlign w:val="bottom"/>
          </w:tcPr>
          <w:p>
            <w:pPr>
              <w:spacing w:after="0"/>
              <w:rPr>
                <w:sz w:val="1"/>
                <w:szCs w:val="1"/>
                <w:color w:val="auto"/>
              </w:rPr>
            </w:pPr>
          </w:p>
        </w:tc>
      </w:tr>
      <w:tr>
        <w:trPr>
          <w:trHeight w:val="208"/>
        </w:trPr>
        <w:tc>
          <w:tcPr>
            <w:tcW w:w="3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2"/>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(In thousands, except unit amounts)</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2022 - January 31, 2022</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1,580,200</w:t>
            </w:r>
          </w:p>
        </w:tc>
        <w:tc>
          <w:tcPr>
            <w:tcW w:w="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24.85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40,715</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2022 - February 28, 2022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40,715</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2022 - March 31, 2022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40,715</w:t>
            </w:r>
          </w:p>
        </w:tc>
        <w:tc>
          <w:tcPr>
            <w:tcW w:w="0" w:type="dxa"/>
            <w:vAlign w:val="bottom"/>
          </w:tcPr>
          <w:p>
            <w:pPr>
              <w:spacing w:after="0"/>
              <w:rPr>
                <w:sz w:val="1"/>
                <w:szCs w:val="1"/>
                <w:color w:val="auto"/>
              </w:rPr>
            </w:pPr>
          </w:p>
        </w:tc>
      </w:tr>
      <w:tr>
        <w:trPr>
          <w:trHeight w:val="228"/>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1,580,200</w:t>
            </w: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24.85</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1,580,200</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40" w:hanging="332"/>
        <w:spacing w:after="0" w:line="261"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common units repurchased from employees in order to satisfy tax withholding requirements, if any. Such units are cancelled and retired immediately upon repurchase.</w:t>
      </w:r>
    </w:p>
    <w:p>
      <w:pPr>
        <w:ind w:left="320" w:hanging="312"/>
        <w:spacing w:after="0" w:line="236"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common unit includes any commissions paid to repurchase a common unit.</w:t>
      </w:r>
    </w:p>
    <w:p>
      <w:pPr>
        <w:jc w:val="both"/>
        <w:ind w:left="340" w:hanging="332"/>
        <w:spacing w:after="0" w:line="234"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our General Partner initially approved a $100.0 million common unit repurchase program in November of 2020 and, effective November 15, 2021, increased our authorization under this program to acquire up to $150.0 million of our outstanding common units and extended the term of the repurchase program indefinitely. On April 27, 2022, the board of directors of our General Partner increased the authorization of our common unit repurchase program from $150.0 million to $250.0 million. This repurchase program remains subject to market conditions, applicable legal requirements, contractual obligations and other factors and may be suspended from time to time, modified, extended or discontinued by the board of directors of our General Partner at any time.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0" w:type="dxa"/>
            <w:vAlign w:val="bottom"/>
          </w:tcPr>
          <w:p>
            <w:pPr>
              <w:spacing w:after="0"/>
              <w:rPr>
                <w:sz w:val="18"/>
                <w:szCs w:val="18"/>
                <w:color w:val="auto"/>
              </w:rPr>
            </w:pPr>
          </w:p>
        </w:tc>
        <w:tc>
          <w:tcPr>
            <w:tcW w:w="10040" w:type="dxa"/>
            <w:vAlign w:val="bottom"/>
            <w:gridSpan w:val="30"/>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14"/>
        </w:trPr>
        <w:tc>
          <w:tcPr>
            <w:tcW w:w="13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83"/>
        </w:trPr>
        <w:tc>
          <w:tcPr>
            <w:tcW w:w="13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40" w:type="dxa"/>
            <w:vAlign w:val="bottom"/>
            <w:gridSpan w:val="30"/>
            <w:shd w:val="clear" w:color="auto" w:fill="CCEEFF"/>
          </w:tcPr>
          <w:p>
            <w:pPr>
              <w:spacing w:after="0" w:line="182"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Purchase and Sale Agreement dated August 6, 2021 by and among Swallowtail Royalties LLC, Swallowtail Royalties II LLC</w:t>
              </w:r>
            </w:hyperlink>
          </w:p>
        </w:tc>
      </w:tr>
      <w:tr>
        <w:trPr>
          <w:trHeight w:val="156"/>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800" w:type="dxa"/>
            <w:vAlign w:val="bottom"/>
            <w:tcBorders>
              <w:top w:val="single" w:sz="8" w:color="0000FF"/>
              <w:bottom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(collectively, as seller), Viper Energy Partners LLC (as buyer) and Viper Energy Partners LP (as parent, and collectively with Viper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0" w:type="dxa"/>
            <w:vAlign w:val="bottom"/>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Energy Partners LLC, as buyer parties) (incorporated by reference to Exhibit 2.1 of the Partnership’s Current Report on Form 8-K</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0000FF"/>
            </w:tcBorders>
            <w:gridSpan w:val="26"/>
            <w:shd w:val="clear" w:color="auto" w:fill="CCEEFF"/>
          </w:tcPr>
          <w:p>
            <w:pPr>
              <w:spacing w:after="0" w:line="16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(File 001-36505) filed on August 12, 2021).</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Certificate of Limited Partnership of Viper Energy Partners LP (incorporated by reference to Exhibit 3.1 of the Partnership’s</w:t>
              </w:r>
            </w:hyperlink>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Registration Statement on Form S-1 (File 333-195769) filed on May 7,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61"/>
        </w:trPr>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88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740" w:type="dxa"/>
            <w:vAlign w:val="bottom"/>
            <w:tcBorders>
              <w:top w:val="single" w:sz="8" w:color="0000FF"/>
            </w:tcBorders>
          </w:tcPr>
          <w:p>
            <w:pPr>
              <w:spacing w:after="0"/>
              <w:rPr>
                <w:sz w:val="5"/>
                <w:szCs w:val="5"/>
                <w:color w:val="auto"/>
              </w:rPr>
            </w:pPr>
          </w:p>
        </w:tc>
        <w:tc>
          <w:tcPr>
            <w:tcW w:w="2460" w:type="dxa"/>
            <w:vAlign w:val="bottom"/>
            <w:tcBorders>
              <w:top w:val="single" w:sz="8" w:color="0000FF"/>
            </w:tcBorders>
          </w:tcPr>
          <w:p>
            <w:pPr>
              <w:spacing w:after="0"/>
              <w:rPr>
                <w:sz w:val="5"/>
                <w:szCs w:val="5"/>
                <w:color w:val="auto"/>
              </w:rPr>
            </w:pPr>
          </w:p>
        </w:tc>
        <w:tc>
          <w:tcPr>
            <w:tcW w:w="2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Second Amended and Restated Agreement of Limited Partnership of Viper Energy Partners LP, dated as of May 9, 2018 (incorporated</w:t>
              </w:r>
            </w:hyperlink>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by reference to Exhibit 3.1 of the Partnership’s Current Report on Form 8-K (File 001-36505) filed on May 15, 2018).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2460" w:type="dxa"/>
            <w:vAlign w:val="bottom"/>
            <w:tcBorders>
              <w:top w:val="single" w:sz="8" w:color="0000FF"/>
            </w:tcBorders>
            <w:shd w:val="clear" w:color="auto" w:fill="CCEEFF"/>
          </w:tcPr>
          <w:p>
            <w:pPr>
              <w:spacing w:after="0"/>
              <w:rPr>
                <w:sz w:val="2"/>
                <w:szCs w:val="2"/>
                <w:color w:val="auto"/>
              </w:rPr>
            </w:pPr>
          </w:p>
        </w:tc>
        <w:tc>
          <w:tcPr>
            <w:tcW w:w="204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First Amendment to Second Amended and Restated Agreement of Limited Partnership of Viper Energy Partners LP, dated as of May</w:t>
              </w:r>
            </w:hyperlink>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10, 2018. (incorporated by reference to Exhibit 3.2 of the Partnership’s Current Report on Form 8-K (File 001-36505) filed on May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15, 2018).</w:t>
              </w:r>
            </w:hyperlink>
          </w:p>
        </w:tc>
        <w:tc>
          <w:tcPr>
            <w:tcW w:w="8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Second Amended and Restated Limited Liability Company Agreement of Viper Energy Partners LLC, dated as of May 9, 2018.</w:t>
              </w:r>
            </w:hyperlink>
          </w:p>
        </w:tc>
      </w:tr>
      <w:tr>
        <w:trPr>
          <w:trHeight w:val="189"/>
        </w:trPr>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520" w:type="dxa"/>
            <w:vAlign w:val="bottom"/>
            <w:tcBorders>
              <w:top w:val="single" w:sz="8" w:color="0000FF"/>
              <w:bottom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(incorporated by reference to Exhibit 3.3 of the Partnership’s Current Report on Form 8-K (File 001-36505) filed on May 15, 2018).</w:t>
              </w:r>
            </w:hyperlink>
          </w:p>
        </w:tc>
        <w:tc>
          <w:tcPr>
            <w:tcW w:w="38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First Amendment to Second Amended and Restated Limited Liability Company Agreement of Viper Energy Partners LLC, dated as of</w:t>
              </w:r>
            </w:hyperlink>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March 30, 2020 (incorporated by reference to Exhibit 3.1 of the Partnership’s Current Report on Form 8-K (File 001-36505) filed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March 31,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Second Amendment to the Second Amended and Restated Limited Liability Company Agreement of Viper Energy Partners LLC,</w:t>
              </w:r>
            </w:hyperlink>
          </w:p>
        </w:tc>
      </w:tr>
      <w:tr>
        <w:trPr>
          <w:trHeight w:val="155"/>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760" w:type="dxa"/>
            <w:vAlign w:val="bottom"/>
            <w:tcBorders>
              <w:top w:val="single" w:sz="8" w:color="0000FF"/>
              <w:bottom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dated as of December 27, 2021 (incorporated by reference to 3.1 of the Partnership’s Current Report on Form 8-K (File 001-36505)</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0"/>
        </w:trPr>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0000FF"/>
            </w:tcBorders>
            <w:gridSpan w:val="4"/>
            <w:shd w:val="clear" w:color="auto" w:fill="CCEEFF"/>
          </w:tcPr>
          <w:p>
            <w:pPr>
              <w:spacing w:after="0" w:line="15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filed on December 28, 2021).</w:t>
              </w:r>
            </w:hyperlink>
          </w:p>
        </w:tc>
        <w:tc>
          <w:tcPr>
            <w:tcW w:w="7740" w:type="dxa"/>
            <w:vAlign w:val="bottom"/>
            <w:tcBorders>
              <w:bottom w:val="single" w:sz="8" w:color="CCEEFF"/>
            </w:tcBorders>
            <w:gridSpan w:val="17"/>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gridSpan w:val="3"/>
            <w:shd w:val="clear" w:color="auto" w:fill="CCEEFF"/>
          </w:tcPr>
          <w:p>
            <w:pPr>
              <w:spacing w:after="0"/>
              <w:rPr>
                <w:sz w:val="16"/>
                <w:szCs w:val="16"/>
                <w:color w:val="auto"/>
              </w:rPr>
            </w:pPr>
          </w:p>
        </w:tc>
        <w:tc>
          <w:tcPr>
            <w:tcW w:w="80" w:type="dxa"/>
            <w:vAlign w:val="bottom"/>
            <w:tcBorders>
              <w:bottom w:val="single" w:sz="8" w:color="CCEEFF"/>
            </w:tcBorders>
            <w:gridSpan w:val="4"/>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Registration Rights Agreement, dated as of May 9, 2018, by and between Viper Energy Partners LP and</w:t>
              </w:r>
            </w:hyperlink>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Diamondback Energy, Inc. (incorporated by reference to Exhibit 4.1 of the Partnership’s Current Report on Form 8-K (File 001-</w:t>
              </w:r>
            </w:hyperlink>
          </w:p>
        </w:tc>
        <w:tc>
          <w:tcPr>
            <w:tcW w:w="100" w:type="dxa"/>
            <w:vAlign w:val="bottom"/>
            <w:tcBorders>
              <w:bottom w:val="single" w:sz="8" w:color="0000FF"/>
            </w:tcBorders>
            <w:gridSpan w:val="5"/>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gridSpan w:val="29"/>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36505) filed on May 15, 2018).</w:t>
              </w:r>
            </w:hyperlink>
          </w:p>
        </w:tc>
        <w:tc>
          <w:tcPr>
            <w:tcW w:w="2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30"/>
            <w:shd w:val="clear" w:color="auto" w:fill="CCEEFF"/>
          </w:tcPr>
          <w:p>
            <w:pPr>
              <w:spacing w:after="0" w:line="18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Registration Rights Agreement, dated as of October 1, 2021, by and among Viper Energy Partners LP, Swallowtail Royalties LLC and</w:t>
              </w:r>
            </w:hyperlink>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Swallowtail Royalties II LLC (incorporated by reference to Exhibit 4.1 of the Partnership’s Current Report on Form 8-K (File 001-</w:t>
              </w:r>
            </w:hyperlink>
          </w:p>
        </w:tc>
        <w:tc>
          <w:tcPr>
            <w:tcW w:w="100" w:type="dxa"/>
            <w:vAlign w:val="bottom"/>
            <w:tcBorders>
              <w:top w:val="single" w:sz="8" w:color="CCEEFF"/>
            </w:tcBorders>
            <w:gridSpan w:val="5"/>
            <w:shd w:val="clear" w:color="auto" w:fill="CCEEFF"/>
          </w:tcPr>
          <w:p>
            <w:pPr>
              <w:spacing w:after="0"/>
              <w:rPr>
                <w:sz w:val="13"/>
                <w:szCs w:val="13"/>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36505) filed on October 7, 2021).</w:t>
              </w:r>
            </w:hyperlink>
          </w:p>
        </w:tc>
        <w:tc>
          <w:tcPr>
            <w:tcW w:w="160" w:type="dxa"/>
            <w:vAlign w:val="bottom"/>
            <w:tcBorders>
              <w:top w:val="single" w:sz="8" w:color="CCEEFF"/>
            </w:tcBorders>
            <w:gridSpan w:val="8"/>
            <w:shd w:val="clear" w:color="auto" w:fill="CCEEFF"/>
          </w:tcPr>
          <w:p>
            <w:pPr>
              <w:spacing w:after="0"/>
              <w:rPr>
                <w:sz w:val="13"/>
                <w:szCs w:val="13"/>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promulgated under the Securities Exchange Act of 1934, as</w:t>
            </w:r>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61"/>
        </w:trPr>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1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13a-14(a) promulgated under the Securities Exchange Act of 1934, as</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1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300" w:type="dxa"/>
            <w:vAlign w:val="bottom"/>
            <w:tcBorders>
              <w:top w:val="single" w:sz="8" w:color="CCEEFF"/>
            </w:tcBorders>
            <w:gridSpan w:val="15"/>
            <w:shd w:val="clear" w:color="auto" w:fill="CCEEFF"/>
          </w:tcPr>
          <w:p>
            <w:pPr>
              <w:spacing w:after="0"/>
              <w:rPr>
                <w:sz w:val="13"/>
                <w:szCs w:val="13"/>
                <w:color w:val="auto"/>
              </w:rPr>
            </w:pPr>
          </w:p>
        </w:tc>
      </w:tr>
      <w:tr>
        <w:trPr>
          <w:trHeight w:val="61"/>
        </w:trPr>
        <w:tc>
          <w:tcPr>
            <w:tcW w:w="13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46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89"/>
        </w:trPr>
        <w:tc>
          <w:tcPr>
            <w:tcW w:w="13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Rule 13a-14(b) promulgated under the Securities</w:t>
            </w:r>
          </w:p>
        </w:tc>
      </w:tr>
      <w:tr>
        <w:trPr>
          <w:trHeight w:val="155"/>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Exchange Act of 1934, as amended, and Section 1350 of Chapter 63 of Title 18 of the United States Code.</w:t>
            </w:r>
          </w:p>
        </w:tc>
        <w:tc>
          <w:tcPr>
            <w:tcW w:w="2060" w:type="dxa"/>
            <w:vAlign w:val="bottom"/>
            <w:tcBorders>
              <w:top w:val="single" w:sz="8" w:color="0000FF"/>
            </w:tcBorders>
            <w:gridSpan w:val="5"/>
          </w:tcPr>
          <w:p>
            <w:pPr>
              <w:spacing w:after="0"/>
              <w:rPr>
                <w:sz w:val="13"/>
                <w:szCs w:val="13"/>
                <w:color w:val="auto"/>
              </w:rPr>
            </w:pPr>
          </w:p>
        </w:tc>
        <w:tc>
          <w:tcPr>
            <w:tcW w:w="320" w:type="dxa"/>
            <w:vAlign w:val="bottom"/>
            <w:gridSpan w:val="16"/>
          </w:tcPr>
          <w:p>
            <w:pPr>
              <w:spacing w:after="0"/>
              <w:rPr>
                <w:sz w:val="13"/>
                <w:szCs w:val="13"/>
                <w:color w:val="auto"/>
              </w:rPr>
            </w:pPr>
          </w:p>
        </w:tc>
      </w:tr>
    </w:tbl>
    <w:p>
      <w:pPr>
        <w:spacing w:after="0" w:line="63" w:lineRule="exact"/>
        <w:rPr>
          <w:sz w:val="20"/>
          <w:szCs w:val="20"/>
          <w:color w:val="auto"/>
        </w:rPr>
      </w:pPr>
    </w:p>
    <w:p>
      <w:pPr>
        <w:jc w:val="both"/>
        <w:ind w:left="1500" w:right="60" w:hanging="1474"/>
        <w:spacing w:after="0" w:line="216" w:lineRule="auto"/>
        <w:tabs>
          <w:tab w:leader="none" w:pos="1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Registrant’s Quarterly Report on Form 10-Q for the quarter ended March 31, 2022, formatted in Inline XBRL: (i) Condensed Consolidated Balance Sheets, (ii) Condensed Consolidated Statements of Operations, (iii) Condensed Consolidated Statement of Changes in Unitholders’ Equity, (iv) Condensed Consolidated Statements of Cash Flows and</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132320" cy="557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91"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9" w:lineRule="exact"/>
        <w:rPr>
          <w:sz w:val="20"/>
          <w:szCs w:val="20"/>
          <w:color w:val="auto"/>
        </w:rPr>
      </w:pPr>
    </w:p>
    <w:p>
      <w:pPr>
        <w:ind w:left="500" w:hanging="474"/>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500" w:right="60" w:hanging="474"/>
        <w:spacing w:after="0" w:line="229"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78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VIPER ENERGY PARTNERS LP</w:t>
            </w:r>
          </w:p>
        </w:tc>
      </w:tr>
      <w:tr>
        <w:trPr>
          <w:trHeight w:val="495"/>
        </w:trPr>
        <w:tc>
          <w:tcPr>
            <w:tcW w:w="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7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VIPER ENERGY PARTNERS GP LLC</w:t>
            </w:r>
          </w:p>
        </w:tc>
      </w:tr>
      <w:tr>
        <w:trPr>
          <w:trHeight w:val="234"/>
        </w:trPr>
        <w:tc>
          <w:tcPr>
            <w:tcW w:w="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8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5, 2022</w:t>
            </w:r>
          </w:p>
        </w:tc>
        <w:tc>
          <w:tcPr>
            <w:tcW w:w="23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218"/>
        </w:trPr>
        <w:tc>
          <w:tcPr>
            <w:tcW w:w="5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Travis D. Stice</w:t>
            </w:r>
          </w:p>
        </w:tc>
      </w:tr>
      <w:tr>
        <w:trPr>
          <w:trHeight w:val="234"/>
        </w:trPr>
        <w:tc>
          <w:tcPr>
            <w:tcW w:w="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8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5, 2022</w:t>
            </w:r>
          </w:p>
        </w:tc>
        <w:tc>
          <w:tcPr>
            <w:tcW w:w="23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18"/>
        </w:trPr>
        <w:tc>
          <w:tcPr>
            <w:tcW w:w="5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234"/>
        </w:trPr>
        <w:tc>
          <w:tcPr>
            <w:tcW w:w="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18"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Viper Energy Partners LP (the “registrant”).</w:t>
      </w:r>
    </w:p>
    <w:p>
      <w:pPr>
        <w:spacing w:after="0" w:line="90" w:lineRule="exact"/>
        <w:rPr>
          <w:rFonts w:ascii="Times New Roman" w:cs="Times New Roman" w:eastAsia="Times New Roman" w:hAnsi="Times New Roman"/>
          <w:sz w:val="18"/>
          <w:szCs w:val="18"/>
          <w:color w:val="auto"/>
        </w:rPr>
      </w:pPr>
    </w:p>
    <w:p>
      <w:pPr>
        <w:ind w:left="460" w:right="340" w:hanging="412"/>
        <w:spacing w:after="0" w:line="266" w:lineRule="auto"/>
        <w:tabs>
          <w:tab w:leader="none" w:pos="3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00" w:hanging="406"/>
        <w:spacing w:after="0" w:line="282" w:lineRule="auto"/>
        <w:tabs>
          <w:tab w:leader="none" w:pos="89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00" w:hanging="406"/>
        <w:spacing w:after="0" w:line="282" w:lineRule="auto"/>
        <w:tabs>
          <w:tab w:leader="none" w:pos="87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00" w:hanging="406"/>
        <w:spacing w:after="0" w:line="282" w:lineRule="auto"/>
        <w:tabs>
          <w:tab w:leader="none" w:pos="87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May 5, 2022</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218"/>
        </w:trPr>
        <w:tc>
          <w:tcPr>
            <w:tcW w:w="6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Travis D. Stice</w:t>
            </w:r>
          </w:p>
        </w:tc>
      </w:tr>
      <w:tr>
        <w:trPr>
          <w:trHeight w:val="229"/>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Partners GP LLC</w:t>
            </w:r>
          </w:p>
        </w:tc>
      </w:tr>
      <w:tr>
        <w:trPr>
          <w:trHeight w:val="234"/>
        </w:trPr>
        <w:tc>
          <w:tcPr>
            <w:tcW w:w="6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general partner of Viper Energy Partners LP)</w:t>
            </w:r>
          </w:p>
        </w:tc>
      </w:tr>
    </w:tbl>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Teresa L. Dick, certify that:</w:t>
      </w:r>
    </w:p>
    <w:p>
      <w:pPr>
        <w:spacing w:after="0" w:line="104" w:lineRule="exact"/>
        <w:rPr>
          <w:sz w:val="20"/>
          <w:szCs w:val="20"/>
          <w:color w:val="auto"/>
        </w:rPr>
      </w:pPr>
    </w:p>
    <w:p>
      <w:pPr>
        <w:ind w:left="360" w:hanging="31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Viper Energy Partners LP (the “registrant”).</w:t>
      </w:r>
    </w:p>
    <w:p>
      <w:pPr>
        <w:spacing w:after="0" w:line="90" w:lineRule="exact"/>
        <w:rPr>
          <w:rFonts w:ascii="Times New Roman" w:cs="Times New Roman" w:eastAsia="Times New Roman" w:hAnsi="Times New Roman"/>
          <w:sz w:val="18"/>
          <w:szCs w:val="18"/>
          <w:color w:val="auto"/>
        </w:rPr>
      </w:pPr>
    </w:p>
    <w:p>
      <w:pPr>
        <w:ind w:left="460" w:right="340" w:hanging="412"/>
        <w:spacing w:after="0" w:line="266" w:lineRule="auto"/>
        <w:tabs>
          <w:tab w:leader="none" w:pos="3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00" w:hanging="406"/>
        <w:spacing w:after="0" w:line="282" w:lineRule="auto"/>
        <w:tabs>
          <w:tab w:leader="none" w:pos="8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60" w:hanging="412"/>
        <w:spacing w:after="0" w:line="282" w:lineRule="auto"/>
        <w:tabs>
          <w:tab w:leader="none" w:pos="4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00" w:hanging="406"/>
        <w:spacing w:after="0" w:line="282" w:lineRule="auto"/>
        <w:tabs>
          <w:tab w:leader="none" w:pos="8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00" w:hanging="406"/>
        <w:spacing w:after="0" w:line="282" w:lineRule="auto"/>
        <w:tabs>
          <w:tab w:leader="none" w:pos="8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5, 2022</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18"/>
        </w:trPr>
        <w:tc>
          <w:tcPr>
            <w:tcW w:w="5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230"/>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Partners GP LLC</w:t>
            </w:r>
          </w:p>
        </w:tc>
      </w:tr>
      <w:tr>
        <w:trPr>
          <w:trHeight w:val="234"/>
        </w:trPr>
        <w:tc>
          <w:tcPr>
            <w:tcW w:w="5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general partner of Viper Energy Partners LP)</w:t>
            </w:r>
          </w:p>
        </w:tc>
      </w:tr>
    </w:tbl>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 REPORT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spacing w:after="0" w:line="126" w:lineRule="exact"/>
        <w:rPr>
          <w:sz w:val="20"/>
          <w:szCs w:val="20"/>
          <w:color w:val="auto"/>
        </w:rPr>
      </w:pPr>
    </w:p>
    <w:p>
      <w:pPr>
        <w:ind w:left="940" w:hanging="284"/>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78o(d)); and</w:t>
      </w:r>
    </w:p>
    <w:p>
      <w:pPr>
        <w:spacing w:after="0" w:line="1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5, 2022</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218"/>
        </w:trPr>
        <w:tc>
          <w:tcPr>
            <w:tcW w:w="5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Travis D. Stice</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Viper Energy Partners GP LLC</w:t>
            </w:r>
          </w:p>
        </w:tc>
      </w:tr>
      <w:tr>
        <w:trPr>
          <w:trHeight w:val="234"/>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general partner of Viper Energy Partners LP)</w:t>
            </w:r>
          </w:p>
        </w:tc>
      </w:tr>
      <w:tr>
        <w:trPr>
          <w:trHeight w:val="48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5, 2022</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28"/>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bl>
    <w:p>
      <w:pPr>
        <w:ind w:left="6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Viper Energy Partners GP LLC</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(as general partner of Viper Energy Partners LP)</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1"/>
    </w:lvl>
  </w:abstractNum>
  <w:abstractNum w:abstractNumId="8">
    <w:nsid w:val="1BEFD79F"/>
    <w:multiLevelType w:val="hybridMultilevel"/>
    <w:lvl w:ilvl="0">
      <w:lvlJc w:val="left"/>
      <w:lvlText w:val="(%1)"/>
      <w:numFmt w:val="lowerRoman"/>
      <w:start w:val="2"/>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Roman"/>
      <w:start w:val="2"/>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16" Type="http://schemas.openxmlformats.org/officeDocument/2006/relationships/hyperlink" Target="http://www.sec.gov/ix?doc=/Archives/edgar/data/1602065/000160206522000008/vnom-20211231.htm#iad893e52d5434c44bb2b7248040ef83a_25" TargetMode="External"/><Relationship Id="rId18" Type="http://schemas.openxmlformats.org/officeDocument/2006/relationships/hyperlink" Target="http://www.sec.gov/ix?doc=/Archives/edgar/data/1602065/000160206522000008/vnom-20211231.htm" TargetMode="External"/><Relationship Id="rId51" Type="http://schemas.openxmlformats.org/officeDocument/2006/relationships/hyperlink" Target="http://www.sec.gov/Archives/edgar/data/1602065/000160206521000048/viperex21-8621.htm" TargetMode="External"/><Relationship Id="rId52" Type="http://schemas.openxmlformats.org/officeDocument/2006/relationships/hyperlink" Target="http://www.sec.gov/Archives/edgar/data/1602065/000119312514187469/d673207dex31.htm" TargetMode="External"/><Relationship Id="rId53" Type="http://schemas.openxmlformats.org/officeDocument/2006/relationships/hyperlink" Target="http://www.sec.gov/Archives/edgar/data/1602065/000160206518000017/viperex31-5x15x18.htm" TargetMode="External"/><Relationship Id="rId54" Type="http://schemas.openxmlformats.org/officeDocument/2006/relationships/hyperlink" Target="http://www.sec.gov/Archives/edgar/data/1602065/000160206518000017/viperex32-5x15x18.htm" TargetMode="External"/><Relationship Id="rId55" Type="http://schemas.openxmlformats.org/officeDocument/2006/relationships/hyperlink" Target="http://www.sec.gov/Archives/edgar/data/1602065/000160206518000017/viperex33-5x15x18.htm" TargetMode="External"/><Relationship Id="rId56" Type="http://schemas.openxmlformats.org/officeDocument/2006/relationships/hyperlink" Target="http://www.sec.gov/Archives/edgar/data/1602065/000160206520000014/viperex31-33120.htm" TargetMode="External"/><Relationship Id="rId57" Type="http://schemas.openxmlformats.org/officeDocument/2006/relationships/hyperlink" Target="http://www.sec.gov/Archives/edgar/data/0001602065/000119312521367951/d249385dex31.htm" TargetMode="External"/><Relationship Id="rId58" Type="http://schemas.openxmlformats.org/officeDocument/2006/relationships/hyperlink" Target="http://www.sec.gov/Archives/edgar/data/1602065/000160206518000017/viperex41-5x15x18.htm" TargetMode="External"/><Relationship Id="rId59" Type="http://schemas.openxmlformats.org/officeDocument/2006/relationships/hyperlink" Target="http://www.sec.gov/Archives/edgar/data/1602065/000160206521000051/viperex41-10x1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2022-05-05T15:41:35Z</dcterms:created>
  <dcterms:modified xsi:type="dcterms:W3CDTF">2022-05-05T15:41:35Z</dcterms:modified>
</cp:coreProperties>
</file>