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ind w:left="0" w:right="0" w:firstLine="720"/>
        <w:jc w:val="center"/>
        <w:rPr>
          <w:rFonts w:ascii="Times New Roman;serif" w:hAnsi="Times New Roman;serif"/>
          <w:b/>
          <w:color w:val="000000"/>
          <w:sz w:val="32"/>
        </w:rPr>
      </w:pPr>
      <w:r>
        <w:rPr>
          <w:rFonts w:ascii="Times New Roman;serif" w:hAnsi="Times New Roman;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Commission File Number: 001-42807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40"/>
        </w:rPr>
      </w:pPr>
      <w:r>
        <w:rPr>
          <w:rFonts w:ascii="Times New Roman;serif" w:hAnsi="Times New Roman;serif"/>
          <w:b/>
          <w:color w:val="000000"/>
          <w:sz w:val="4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11" w:type="dxa"/>
        <w:jc w:val="center"/>
        <w:tblInd w:w="0" w:type="dxa"/>
        <w:tblLayout w:type="fixed"/>
        <w:tblCellMar>
          <w:top w:w="28" w:type="dxa"/>
          <w:left w:w="28" w:type="dxa"/>
          <w:bottom w:w="28" w:type="dxa"/>
          <w:right w:w="28" w:type="dxa"/>
        </w:tblCellMar>
      </w:tblPr>
      <w:tblGrid>
        <w:gridCol w:w="842"/>
        <w:gridCol w:w="741"/>
        <w:gridCol w:w="741"/>
        <w:gridCol w:w="741"/>
        <w:gridCol w:w="741"/>
        <w:gridCol w:w="753"/>
        <w:gridCol w:w="109"/>
        <w:gridCol w:w="109"/>
        <w:gridCol w:w="109"/>
        <w:gridCol w:w="109"/>
        <w:gridCol w:w="109"/>
        <w:gridCol w:w="109"/>
        <w:gridCol w:w="109"/>
        <w:gridCol w:w="109"/>
        <w:gridCol w:w="109"/>
        <w:gridCol w:w="109"/>
        <w:gridCol w:w="109"/>
        <w:gridCol w:w="109"/>
        <w:gridCol w:w="799"/>
        <w:gridCol w:w="799"/>
        <w:gridCol w:w="1146"/>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39-2596878</w:t>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79701</w:t>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45"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(432) 221-7400</w:t>
      </w:r>
    </w:p>
    <w:p>
      <w:pPr>
        <w:pStyle w:val="TextBody"/>
        <w:bidi w:val="0"/>
        <w:spacing w:lineRule="auto" w:line="264" w:before="0" w:after="0"/>
        <w:ind w:left="0" w:right="0" w:firstLine="7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550" w:type="dxa"/>
        <w:jc w:val="center"/>
        <w:tblInd w:w="0" w:type="dxa"/>
        <w:tblLayout w:type="fixed"/>
        <w:tblCellMar>
          <w:top w:w="28" w:type="dxa"/>
          <w:left w:w="28" w:type="dxa"/>
          <w:bottom w:w="28" w:type="dxa"/>
          <w:right w:w="28" w:type="dxa"/>
        </w:tblCellMar>
      </w:tblPr>
      <w:tblGrid>
        <w:gridCol w:w="124"/>
        <w:gridCol w:w="109"/>
        <w:gridCol w:w="109"/>
        <w:gridCol w:w="594"/>
        <w:gridCol w:w="594"/>
        <w:gridCol w:w="597"/>
        <w:gridCol w:w="109"/>
        <w:gridCol w:w="109"/>
        <w:gridCol w:w="109"/>
        <w:gridCol w:w="484"/>
        <w:gridCol w:w="484"/>
        <w:gridCol w:w="486"/>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Class A Common Stock </w:t>
              <w:br/>
              <w:t>$0.000001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VNOM</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center"/>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537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23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As of July 31, 2026, 194,405,049 shares of Class A Common Stock and 164,789,844 shares of Class B Common Stock of the registrant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ind w:left="0" w:right="0" w:firstLine="720"/>
        <w:jc w:val="center"/>
        <w:rPr/>
      </w:pPr>
      <w:r>
        <w:rPr/>
      </w:r>
    </w:p>
    <w:tbl>
      <w:tblPr>
        <w:tblW w:w="7546" w:type="dxa"/>
        <w:jc w:val="left"/>
        <w:tblInd w:w="0" w:type="dxa"/>
        <w:tblLayout w:type="fixed"/>
        <w:tblCellMar>
          <w:top w:w="28" w:type="dxa"/>
          <w:left w:w="28" w:type="dxa"/>
          <w:bottom w:w="28" w:type="dxa"/>
          <w:right w:w="28" w:type="dxa"/>
        </w:tblCellMar>
      </w:tblPr>
      <w:tblGrid>
        <w:gridCol w:w="2550"/>
        <w:gridCol w:w="2246"/>
        <w:gridCol w:w="2254"/>
        <w:gridCol w:w="145"/>
        <w:gridCol w:w="145"/>
        <w:gridCol w:w="206"/>
      </w:tblGrid>
      <w:tr>
        <w:trPr/>
        <w:tc>
          <w:tcPr>
            <w:tcW w:w="255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10">
              <w:r>
                <w:rPr>
                  <w:rStyle w:val="InternetLink"/>
                  <w:rFonts w:ascii="Times New Roman;serif" w:hAnsi="Times New Roman;serif"/>
                  <w:b w:val="false"/>
                  <w:color w:val="0000FF"/>
                  <w:sz w:val="18"/>
                  <w:u w:val="single"/>
                </w:rPr>
                <w:t>Glossary of Oil and Natural Gas Terms</w:t>
              </w:r>
            </w:hyperlink>
          </w:p>
        </w:tc>
        <w:tc>
          <w:tcPr>
            <w:tcW w:w="4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pPr>
            <w:hyperlink w:anchor="ic47f36a9806d4b1abad08073353cc304_10">
              <w:r>
                <w:rPr>
                  <w:rStyle w:val="InternetLink"/>
                  <w:rFonts w:ascii="Times New Roman;serif" w:hAnsi="Times New Roman;serif"/>
                  <w:b w:val="false"/>
                  <w:color w:val="0000FF"/>
                  <w:sz w:val="18"/>
                  <w:u w:val="single"/>
                </w:rPr>
                <w:t>ii</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13">
              <w:r>
                <w:rPr>
                  <w:rStyle w:val="InternetLink"/>
                  <w:rFonts w:ascii="Times New Roman;serif" w:hAnsi="Times New Roman;serif"/>
                  <w:b w:val="false"/>
                  <w:color w:val="0000FF"/>
                  <w:sz w:val="18"/>
                  <w:u w:val="single"/>
                </w:rPr>
                <w:t>Glossary of Certain Other Terms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13">
              <w:r>
                <w:rPr>
                  <w:rStyle w:val="InternetLink"/>
                  <w:rFonts w:ascii="Times New Roman;serif" w:hAnsi="Times New Roman;serif"/>
                  <w:b w:val="false"/>
                  <w:color w:val="0000FF"/>
                  <w:sz w:val="18"/>
                  <w:u w:val="single"/>
                </w:rPr>
                <w:t>iv</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16">
              <w:r>
                <w:rPr>
                  <w:rStyle w:val="InternetLink"/>
                  <w:rFonts w:ascii="Times New Roman;serif" w:hAnsi="Times New Roman;serif"/>
                  <w:b w:val="false"/>
                  <w:color w:val="0000FF"/>
                  <w:sz w:val="18"/>
                  <w:u w:val="single"/>
                </w:rPr>
                <w:t>Cautionary Statement Regarding Forward-Looking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16">
              <w:r>
                <w:rPr>
                  <w:rStyle w:val="InternetLink"/>
                  <w:rFonts w:ascii="Times New Roman;serif" w:hAnsi="Times New Roman;serif"/>
                  <w:b w:val="false"/>
                  <w:color w:val="0000FF"/>
                  <w:sz w:val="18"/>
                  <w:u w:val="single"/>
                </w:rPr>
                <w:t>v</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19">
              <w:r>
                <w:rPr>
                  <w:rStyle w:val="InternetLink"/>
                  <w:rFonts w:ascii="Times New Roman;serif" w:hAnsi="Times New Roman;serif"/>
                  <w:b/>
                  <w:color w:val="0000FF"/>
                  <w:sz w:val="18"/>
                  <w:u w:val="single"/>
                </w:rPr>
                <w:t>PART I. FINANCIAL INFORMATION</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22">
              <w:r>
                <w:rPr>
                  <w:rStyle w:val="InternetLink"/>
                  <w:rFonts w:ascii="Times New Roman;serif" w:hAnsi="Times New Roman;serif"/>
                  <w:b w:val="false"/>
                  <w:color w:val="0000FF"/>
                  <w:sz w:val="18"/>
                  <w:u w:val="single"/>
                </w:rPr>
                <w:t>Item 1. Financial Statements (Unaudited)</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22">
              <w:r>
                <w:rPr>
                  <w:rStyle w:val="InternetLink"/>
                  <w:rFonts w:ascii="Times New Roman;serif" w:hAnsi="Times New Roman;serif"/>
                  <w:b w:val="false"/>
                  <w:color w:val="0000FF"/>
                  <w:sz w:val="18"/>
                  <w:u w:val="single"/>
                </w:rPr>
                <w:t>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25">
              <w:r>
                <w:rPr>
                  <w:rStyle w:val="InternetLink"/>
                  <w:rFonts w:ascii="Times New Roman;serif" w:hAnsi="Times New Roman;serif"/>
                  <w:b w:val="false"/>
                  <w:color w:val="0000FF"/>
                  <w:sz w:val="18"/>
                  <w:u w:val="single"/>
                </w:rPr>
                <w:t>Condensed Consolidated Statements of Operations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25">
              <w:r>
                <w:rPr>
                  <w:rStyle w:val="InternetLink"/>
                  <w:rFonts w:ascii="Times New Roman;serif" w:hAnsi="Times New Roman;serif"/>
                  <w:b w:val="false"/>
                  <w:color w:val="0000FF"/>
                  <w:sz w:val="18"/>
                  <w:u w:val="single"/>
                </w:rPr>
                <w:t>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28">
              <w:r>
                <w:rPr>
                  <w:rStyle w:val="InternetLink"/>
                  <w:rFonts w:ascii="Times New Roman;serif" w:hAnsi="Times New Roman;serif"/>
                  <w:b w:val="false"/>
                  <w:color w:val="0000FF"/>
                  <w:sz w:val="18"/>
                  <w:u w:val="single"/>
                </w:rPr>
                <w:t>Condensed Consolidated Balance Sheets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28">
              <w:r>
                <w:rPr>
                  <w:rStyle w:val="InternetLink"/>
                  <w:rFonts w:ascii="Times New Roman;serif" w:hAnsi="Times New Roman;serif"/>
                  <w:b w:val="false"/>
                  <w:color w:val="0000FF"/>
                  <w:sz w:val="18"/>
                  <w:u w:val="single"/>
                </w:rPr>
                <w:t>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31">
              <w:r>
                <w:rPr>
                  <w:rStyle w:val="InternetLink"/>
                  <w:rFonts w:ascii="Times New Roman;serif" w:hAnsi="Times New Roman;serif"/>
                  <w:b w:val="false"/>
                  <w:color w:val="0000FF"/>
                  <w:sz w:val="18"/>
                  <w:u w:val="single"/>
                </w:rPr>
                <w:t>Condensed Consolidated Statements of Cash Flows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31">
              <w:r>
                <w:rPr>
                  <w:rStyle w:val="InternetLink"/>
                  <w:rFonts w:ascii="Times New Roman;serif" w:hAnsi="Times New Roman;serif"/>
                  <w:b w:val="false"/>
                  <w:color w:val="0000FF"/>
                  <w:sz w:val="18"/>
                  <w:u w:val="single"/>
                </w:rPr>
                <w:t>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34">
              <w:r>
                <w:rPr>
                  <w:rStyle w:val="InternetLink"/>
                  <w:rFonts w:ascii="Times New Roman;serif" w:hAnsi="Times New Roman;serif"/>
                  <w:b w:val="false"/>
                  <w:color w:val="0000FF"/>
                  <w:sz w:val="18"/>
                  <w:u w:val="single"/>
                </w:rPr>
                <w:t>Condensed Consolidated Statements of Stockholders’ Equity</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34">
              <w:r>
                <w:rPr>
                  <w:rStyle w:val="InternetLink"/>
                  <w:rFonts w:ascii="Times New Roman;serif" w:hAnsi="Times New Roman;serif"/>
                  <w:b w:val="false"/>
                  <w:color w:val="0000FF"/>
                  <w:sz w:val="18"/>
                  <w:u w:val="single"/>
                </w:rPr>
                <w:t>4</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37">
              <w:r>
                <w:rPr>
                  <w:rStyle w:val="InternetLink"/>
                  <w:rFonts w:ascii="Times New Roman;serif" w:hAnsi="Times New Roman;serif"/>
                  <w:b w:val="false"/>
                  <w:color w:val="0000FF"/>
                  <w:sz w:val="18"/>
                  <w:u w:val="single"/>
                </w:rPr>
                <w:t>Notes to the Condensed Consolidated Financial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37">
              <w:r>
                <w:rPr>
                  <w:rStyle w:val="InternetLink"/>
                  <w:rFonts w:ascii="Times New Roman;serif" w:hAnsi="Times New Roman;serif"/>
                  <w:b w:val="false"/>
                  <w:color w:val="0000FF"/>
                  <w:sz w:val="18"/>
                  <w:u w:val="single"/>
                </w:rPr>
                <w:t>6</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40">
              <w:r>
                <w:rPr>
                  <w:rStyle w:val="InternetLink"/>
                  <w:rFonts w:ascii="Times New Roman;serif" w:hAnsi="Times New Roman;serif"/>
                  <w:b w:val="false"/>
                  <w:color w:val="0000FF"/>
                  <w:sz w:val="18"/>
                  <w:u w:val="single"/>
                </w:rPr>
                <w:t>1. Organization and Basis of Presentation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40">
              <w:r>
                <w:rPr>
                  <w:rStyle w:val="InternetLink"/>
                  <w:rFonts w:ascii="Times New Roman;serif" w:hAnsi="Times New Roman;serif"/>
                  <w:b w:val="false"/>
                  <w:color w:val="0000FF"/>
                  <w:sz w:val="18"/>
                  <w:u w:val="single"/>
                </w:rPr>
                <w:t>6</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43">
              <w:r>
                <w:rPr>
                  <w:rStyle w:val="InternetLink"/>
                  <w:rFonts w:ascii="Times New Roman;serif" w:hAnsi="Times New Roman;serif"/>
                  <w:b w:val="false"/>
                  <w:color w:val="0000FF"/>
                  <w:sz w:val="18"/>
                  <w:u w:val="single"/>
                </w:rPr>
                <w:t>2. Summary of Significant Accounting Policies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43">
              <w:r>
                <w:rPr>
                  <w:rStyle w:val="InternetLink"/>
                  <w:rFonts w:ascii="Times New Roman;serif" w:hAnsi="Times New Roman;serif"/>
                  <w:b w:val="false"/>
                  <w:color w:val="0000FF"/>
                  <w:sz w:val="18"/>
                  <w:u w:val="single"/>
                </w:rPr>
                <w:t>7</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49">
              <w:r>
                <w:rPr>
                  <w:rStyle w:val="InternetLink"/>
                  <w:rFonts w:ascii="Times New Roman;serif" w:hAnsi="Times New Roman;serif"/>
                  <w:b w:val="false"/>
                  <w:color w:val="0000FF"/>
                  <w:sz w:val="18"/>
                  <w:u w:val="single"/>
                </w:rPr>
                <w:t>3. Revenue from Contracts with Customers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49">
              <w:r>
                <w:rPr>
                  <w:rStyle w:val="InternetLink"/>
                  <w:rFonts w:ascii="Times New Roman;serif" w:hAnsi="Times New Roman;serif"/>
                  <w:b w:val="false"/>
                  <w:color w:val="0000FF"/>
                  <w:sz w:val="18"/>
                  <w:u w:val="single"/>
                </w:rPr>
                <w:t>8</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52">
              <w:r>
                <w:rPr>
                  <w:rStyle w:val="InternetLink"/>
                  <w:rFonts w:ascii="Times New Roman;serif" w:hAnsi="Times New Roman;serif"/>
                  <w:b w:val="false"/>
                  <w:color w:val="0000FF"/>
                  <w:sz w:val="18"/>
                  <w:u w:val="single"/>
                </w:rPr>
                <w:t>4. Acquisitions and Divestitures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52">
              <w:r>
                <w:rPr>
                  <w:rStyle w:val="InternetLink"/>
                  <w:rFonts w:ascii="Times New Roman;serif" w:hAnsi="Times New Roman;serif"/>
                  <w:b w:val="false"/>
                  <w:color w:val="0000FF"/>
                  <w:sz w:val="18"/>
                  <w:u w:val="single"/>
                </w:rPr>
                <w:t>9</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55">
              <w:r>
                <w:rPr>
                  <w:rStyle w:val="InternetLink"/>
                  <w:rFonts w:ascii="Times New Roman;serif" w:hAnsi="Times New Roman;serif"/>
                  <w:b w:val="false"/>
                  <w:color w:val="0000FF"/>
                  <w:sz w:val="18"/>
                  <w:u w:val="single"/>
                </w:rPr>
                <w:t>5. Oil and Natural Gas Properties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55">
              <w:r>
                <w:rPr>
                  <w:rStyle w:val="InternetLink"/>
                  <w:rFonts w:ascii="Times New Roman;serif" w:hAnsi="Times New Roman;serif"/>
                  <w:b w:val="false"/>
                  <w:color w:val="0000FF"/>
                  <w:sz w:val="18"/>
                  <w:u w:val="single"/>
                </w:rPr>
                <w:t>11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58">
              <w:r>
                <w:rPr>
                  <w:rStyle w:val="InternetLink"/>
                  <w:rFonts w:ascii="Times New Roman;serif" w:hAnsi="Times New Roman;serif"/>
                  <w:b w:val="false"/>
                  <w:color w:val="0000FF"/>
                  <w:sz w:val="18"/>
                  <w:u w:val="single"/>
                </w:rPr>
                <w:t>6. Debt</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58">
              <w:r>
                <w:rPr>
                  <w:rStyle w:val="InternetLink"/>
                  <w:rFonts w:ascii="Times New Roman;serif" w:hAnsi="Times New Roman;serif"/>
                  <w:b w:val="false"/>
                  <w:color w:val="0000FF"/>
                  <w:sz w:val="18"/>
                  <w:u w:val="single"/>
                </w:rPr>
                <w:t>11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61">
              <w:r>
                <w:rPr>
                  <w:rStyle w:val="InternetLink"/>
                  <w:rFonts w:ascii="Times New Roman;serif" w:hAnsi="Times New Roman;serif"/>
                  <w:b w:val="false"/>
                  <w:color w:val="0000FF"/>
                  <w:sz w:val="18"/>
                  <w:u w:val="single"/>
                </w:rPr>
                <w:t>7. Stockholders’ Equity</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61">
              <w:r>
                <w:rPr>
                  <w:rStyle w:val="InternetLink"/>
                  <w:rFonts w:ascii="Times New Roman;serif" w:hAnsi="Times New Roman;serif"/>
                  <w:b w:val="false"/>
                  <w:color w:val="0000FF"/>
                  <w:sz w:val="18"/>
                  <w:u w:val="single"/>
                </w:rPr>
                <w:t>12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64">
              <w:r>
                <w:rPr>
                  <w:rStyle w:val="InternetLink"/>
                  <w:rFonts w:ascii="Times New Roman;serif" w:hAnsi="Times New Roman;serif"/>
                  <w:b w:val="false"/>
                  <w:color w:val="0000FF"/>
                  <w:sz w:val="18"/>
                  <w:u w:val="single"/>
                </w:rPr>
                <w:t>8. Earnings Per Common Share</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64">
              <w:r>
                <w:rPr>
                  <w:rStyle w:val="InternetLink"/>
                  <w:rFonts w:ascii="Times New Roman;serif" w:hAnsi="Times New Roman;serif"/>
                  <w:b w:val="false"/>
                  <w:color w:val="0000FF"/>
                  <w:sz w:val="18"/>
                  <w:u w:val="single"/>
                </w:rPr>
                <w:t>14</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67">
              <w:r>
                <w:rPr>
                  <w:rStyle w:val="InternetLink"/>
                  <w:rFonts w:ascii="Times New Roman;serif" w:hAnsi="Times New Roman;serif"/>
                  <w:b w:val="false"/>
                  <w:color w:val="0000FF"/>
                  <w:sz w:val="18"/>
                  <w:u w:val="single"/>
                </w:rPr>
                <w:t>9. Income Taxes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67">
              <w:r>
                <w:rPr>
                  <w:rStyle w:val="InternetLink"/>
                  <w:rFonts w:ascii="Times New Roman;serif" w:hAnsi="Times New Roman;serif"/>
                  <w:b w:val="false"/>
                  <w:color w:val="0000FF"/>
                  <w:sz w:val="18"/>
                  <w:u w:val="single"/>
                </w:rPr>
                <w:t>15</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70">
              <w:r>
                <w:rPr>
                  <w:rStyle w:val="InternetLink"/>
                  <w:rFonts w:ascii="Times New Roman;serif" w:hAnsi="Times New Roman;serif"/>
                  <w:b w:val="false"/>
                  <w:color w:val="0000FF"/>
                  <w:sz w:val="18"/>
                  <w:u w:val="single"/>
                </w:rPr>
                <w:t>10. Derivatives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70">
              <w:r>
                <w:rPr>
                  <w:rStyle w:val="InternetLink"/>
                  <w:rFonts w:ascii="Times New Roman;serif" w:hAnsi="Times New Roman;serif"/>
                  <w:b w:val="false"/>
                  <w:color w:val="0000FF"/>
                  <w:sz w:val="18"/>
                  <w:u w:val="single"/>
                </w:rPr>
                <w:t>15</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73">
              <w:r>
                <w:rPr>
                  <w:rStyle w:val="InternetLink"/>
                  <w:rFonts w:ascii="Times New Roman;serif" w:hAnsi="Times New Roman;serif"/>
                  <w:b w:val="false"/>
                  <w:color w:val="0000FF"/>
                  <w:sz w:val="18"/>
                  <w:u w:val="single"/>
                </w:rPr>
                <w:t>11. Fair Value Measurements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73">
              <w:r>
                <w:rPr>
                  <w:rStyle w:val="InternetLink"/>
                  <w:rFonts w:ascii="Times New Roman;serif" w:hAnsi="Times New Roman;serif"/>
                  <w:b w:val="false"/>
                  <w:color w:val="0000FF"/>
                  <w:sz w:val="18"/>
                  <w:u w:val="single"/>
                </w:rPr>
                <w:t>17</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76">
              <w:r>
                <w:rPr>
                  <w:rStyle w:val="InternetLink"/>
                  <w:rFonts w:ascii="Times New Roman;serif" w:hAnsi="Times New Roman;serif"/>
                  <w:b w:val="false"/>
                  <w:color w:val="0000FF"/>
                  <w:sz w:val="18"/>
                  <w:u w:val="single"/>
                </w:rPr>
                <w:t>12. Commitments and Contingencies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76">
              <w:r>
                <w:rPr>
                  <w:rStyle w:val="InternetLink"/>
                  <w:rFonts w:ascii="Times New Roman;serif" w:hAnsi="Times New Roman;serif"/>
                  <w:b w:val="false"/>
                  <w:color w:val="0000FF"/>
                  <w:sz w:val="18"/>
                  <w:u w:val="single"/>
                </w:rPr>
                <w:t>19</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79">
              <w:r>
                <w:rPr>
                  <w:rStyle w:val="InternetLink"/>
                  <w:rFonts w:ascii="Times New Roman;serif" w:hAnsi="Times New Roman;serif"/>
                  <w:b w:val="false"/>
                  <w:color w:val="0000FF"/>
                  <w:sz w:val="18"/>
                  <w:u w:val="single"/>
                </w:rPr>
                <w:t>13. Subsequent Events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79">
              <w:r>
                <w:rPr>
                  <w:rStyle w:val="InternetLink"/>
                  <w:rFonts w:ascii="Times New Roman;serif" w:hAnsi="Times New Roman;serif"/>
                  <w:b w:val="false"/>
                  <w:color w:val="0000FF"/>
                  <w:sz w:val="18"/>
                  <w:u w:val="single"/>
                </w:rPr>
                <w:t>19</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82">
              <w:r>
                <w:rPr>
                  <w:rStyle w:val="InternetLink"/>
                  <w:rFonts w:ascii="Times New Roman;serif" w:hAnsi="Times New Roman;serif"/>
                  <w:b w:val="false"/>
                  <w:color w:val="0000FF"/>
                  <w:sz w:val="18"/>
                  <w:u w:val="single"/>
                </w:rPr>
                <w:t>14. Segment Information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82">
              <w:r>
                <w:rPr>
                  <w:rStyle w:val="InternetLink"/>
                  <w:rFonts w:ascii="Times New Roman;serif" w:hAnsi="Times New Roman;serif"/>
                  <w:b w:val="false"/>
                  <w:color w:val="0000FF"/>
                  <w:sz w:val="18"/>
                  <w:u w:val="single"/>
                </w:rPr>
                <w:t>20</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88">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88">
              <w:r>
                <w:rPr>
                  <w:rStyle w:val="InternetLink"/>
                  <w:rFonts w:ascii="Times New Roman;serif" w:hAnsi="Times New Roman;serif"/>
                  <w:b w:val="false"/>
                  <w:color w:val="0000FF"/>
                  <w:sz w:val="18"/>
                  <w:u w:val="single"/>
                </w:rPr>
                <w:t>21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133">
              <w:r>
                <w:rPr>
                  <w:rStyle w:val="InternetLink"/>
                  <w:rFonts w:ascii="Times New Roman;serif" w:hAnsi="Times New Roman;serif"/>
                  <w:b w:val="false"/>
                  <w:color w:val="0000FF"/>
                  <w:sz w:val="18"/>
                  <w:u w:val="single"/>
                </w:rPr>
                <w:t>Item 3. Quantitative and Qualitative Disclosures about Market Risk</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133">
              <w:r>
                <w:rPr>
                  <w:rStyle w:val="InternetLink"/>
                  <w:rFonts w:ascii="Times New Roman;serif" w:hAnsi="Times New Roman;serif"/>
                  <w:b w:val="false"/>
                  <w:color w:val="0000FF"/>
                  <w:sz w:val="18"/>
                  <w:u w:val="single"/>
                </w:rPr>
                <w:t>32</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136">
              <w:r>
                <w:rPr>
                  <w:rStyle w:val="InternetLink"/>
                  <w:rFonts w:ascii="Times New Roman;serif" w:hAnsi="Times New Roman;serif"/>
                  <w:b w:val="false"/>
                  <w:color w:val="0000FF"/>
                  <w:sz w:val="18"/>
                  <w:u w:val="single"/>
                </w:rPr>
                <w:t>Item 4. Controls and Procedures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136">
              <w:r>
                <w:rPr>
                  <w:rStyle w:val="InternetLink"/>
                  <w:rFonts w:ascii="Times New Roman;serif" w:hAnsi="Times New Roman;serif"/>
                  <w:b w:val="false"/>
                  <w:color w:val="0000FF"/>
                  <w:sz w:val="18"/>
                  <w:u w:val="single"/>
                </w:rPr>
                <w:t>32</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139">
              <w:r>
                <w:rPr>
                  <w:rStyle w:val="InternetLink"/>
                  <w:rFonts w:ascii="Times New Roman;serif" w:hAnsi="Times New Roman;serif"/>
                  <w:b/>
                  <w:color w:val="0000FF"/>
                  <w:sz w:val="18"/>
                  <w:u w:val="single"/>
                </w:rPr>
                <w:t>PART II. OTHER INFORMATION</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142">
              <w:r>
                <w:rPr>
                  <w:rStyle w:val="InternetLink"/>
                  <w:rFonts w:ascii="Times New Roman;serif" w:hAnsi="Times New Roman;serif"/>
                  <w:b w:val="false"/>
                  <w:color w:val="0000FF"/>
                  <w:sz w:val="18"/>
                  <w:u w:val="single"/>
                </w:rPr>
                <w:t>Item 1. Legal Proceedings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142">
              <w:r>
                <w:rPr>
                  <w:rStyle w:val="InternetLink"/>
                  <w:rFonts w:ascii="Times New Roman;serif" w:hAnsi="Times New Roman;serif"/>
                  <w:b w:val="false"/>
                  <w:color w:val="0000FF"/>
                  <w:sz w:val="18"/>
                  <w:u w:val="single"/>
                </w:rPr>
                <w:t>32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145">
              <w:r>
                <w:rPr>
                  <w:rStyle w:val="InternetLink"/>
                  <w:rFonts w:ascii="Times New Roman;serif" w:hAnsi="Times New Roman;serif"/>
                  <w:b w:val="false"/>
                  <w:color w:val="0000FF"/>
                  <w:sz w:val="18"/>
                  <w:u w:val="single"/>
                </w:rPr>
                <w:t>Item 1A. Risk Factors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145">
              <w:r>
                <w:rPr>
                  <w:rStyle w:val="InternetLink"/>
                  <w:rFonts w:ascii="Times New Roman;serif" w:hAnsi="Times New Roman;serif"/>
                  <w:b w:val="false"/>
                  <w:color w:val="0000FF"/>
                  <w:sz w:val="18"/>
                  <w:u w:val="single"/>
                </w:rPr>
                <w:t>32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148">
              <w:r>
                <w:rPr>
                  <w:rStyle w:val="InternetLink"/>
                  <w:rFonts w:ascii="Times New Roman;serif" w:hAnsi="Times New Roman;serif"/>
                  <w:b w:val="false"/>
                  <w:color w:val="0000FF"/>
                  <w:sz w:val="18"/>
                  <w:u w:val="single"/>
                </w:rPr>
                <w:t>Item 2. Unregistered Sales of Equity Securities and Use of Proceeds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148">
              <w:r>
                <w:rPr>
                  <w:rStyle w:val="InternetLink"/>
                  <w:rFonts w:ascii="Times New Roman;serif" w:hAnsi="Times New Roman;serif"/>
                  <w:b w:val="false"/>
                  <w:color w:val="0000FF"/>
                  <w:sz w:val="18"/>
                  <w:u w:val="single"/>
                </w:rPr>
                <w:t>33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151">
              <w:r>
                <w:rPr>
                  <w:rStyle w:val="InternetLink"/>
                  <w:rFonts w:ascii="Times New Roman;serif" w:hAnsi="Times New Roman;serif"/>
                  <w:b w:val="false"/>
                  <w:color w:val="0000FF"/>
                  <w:sz w:val="18"/>
                  <w:u w:val="single"/>
                </w:rPr>
                <w:t>Item 5. Other Information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151">
              <w:r>
                <w:rPr>
                  <w:rStyle w:val="InternetLink"/>
                  <w:rFonts w:ascii="Times New Roman;serif" w:hAnsi="Times New Roman;serif"/>
                  <w:b w:val="false"/>
                  <w:color w:val="0000FF"/>
                  <w:sz w:val="18"/>
                  <w:u w:val="single"/>
                </w:rPr>
                <w:t>33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154">
              <w:r>
                <w:rPr>
                  <w:rStyle w:val="InternetLink"/>
                  <w:rFonts w:ascii="Times New Roman;serif" w:hAnsi="Times New Roman;serif"/>
                  <w:b w:val="false"/>
                  <w:color w:val="0000FF"/>
                  <w:sz w:val="18"/>
                  <w:u w:val="single"/>
                </w:rPr>
                <w:t>Item 6. Exhibits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154">
              <w:r>
                <w:rPr>
                  <w:rStyle w:val="InternetLink"/>
                  <w:rFonts w:ascii="Times New Roman;serif" w:hAnsi="Times New Roman;serif"/>
                  <w:b w:val="false"/>
                  <w:color w:val="0000FF"/>
                  <w:sz w:val="18"/>
                  <w:u w:val="single"/>
                </w:rPr>
                <w:t>34</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7f36a9806d4b1abad08073353cc304_157">
              <w:r>
                <w:rPr>
                  <w:rStyle w:val="InternetLink"/>
                  <w:rFonts w:ascii="Times New Roman;serif" w:hAnsi="Times New Roman;serif"/>
                  <w:b w:val="false"/>
                  <w:color w:val="0000FF"/>
                  <w:sz w:val="18"/>
                  <w:u w:val="single"/>
                </w:rPr>
                <w:t>Signatures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c47f36a9806d4b1abad08073353cc304_157">
              <w:r>
                <w:rPr>
                  <w:rStyle w:val="InternetLink"/>
                  <w:rFonts w:ascii="Times New Roman;serif" w:hAnsi="Times New Roman;serif"/>
                  <w:b w:val="false"/>
                  <w:color w:val="0000FF"/>
                  <w:sz w:val="18"/>
                  <w:u w:val="singl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GLOSSARY OF OIL AND NATURAL GAS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oil and natural gas terms that are used in this Quarterly Report on Form 10-Q (this “report”) and our other periodic reports under the Exchange Act: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61"/>
        <w:gridCol w:w="580"/>
        <w:gridCol w:w="524"/>
        <w:gridCol w:w="2548"/>
        <w:gridCol w:w="2431"/>
        <w:gridCol w:w="3461"/>
      </w:tblGrid>
      <w:tr>
        <w:trPr/>
        <w:tc>
          <w:tcPr>
            <w:tcW w:w="6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61"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Basin</w:t>
            </w:r>
          </w:p>
        </w:tc>
        <w:tc>
          <w:tcPr>
            <w:tcW w:w="8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 large depression on the earth’s surface in which sediments accumulate.</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Bbl or barrel</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stock tank barrel, or 42 U.S. gallons liquid volume, used in this report in reference to crude oil or other liquid hydrocarbons.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BO/d</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One barrel of crude oil per day.</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BOE</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barrel of crude oil equivalent, with six thousand cubic feet of natural gas being equivalent to one barrel of oil.</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BOE/d</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BOE per day.</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Completion</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process of treating a drilled well followed by the installation of permanent equipment for the production of natural gas or oil, or in the case of a dry hole, the reporting of abandonment to the appropriate agency.</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Liquid hydrocarbons retrieved from geological structures underground to be refined into fuel sources.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well</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 well drilled within the proved area of a natural gas or oil reservoir to the depth of a stratigraphic horizon known to be productive.</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Differential</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An adjustment to the price of oil or natural gas from an established spot market price to reflect differences in the quality and/or location of oil or natural gas.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Fracturing</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process of creating and preserving a fracture or system of fractures in a reservoir rock typically by injecting a fluid under pressure through a wellbore and into the targeted formation.</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royalty acres or gross wells</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acres or wells in which a mineral interest is owned.</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Henry Hub</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Natural gas gathering point that serves as a benchmark price for natural gas futures on the NYMEX.</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Horizontal wells</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Wells drilled directionally horizontal to allow for development of structures not reachable through traditional vertical drilling mechanisms.</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MBbls</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thousand barrels of crude oil and other liquid hydrocarbons.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MBOE</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One thousand BOE, determined using a ratio of six Mcf of natural gas to one Bbl of crude oil, condensate or natural gas liquids.</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MBOE/d</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thousand BOE per day.</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Mcf</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thousand cubic feet of natural gas.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Mineral interests</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interests in ownership of the resource and mineral rights, giving an owner the right to profit from the extracted resources.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million British Thermal Units.</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MMcf</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Million cubic feet of natural gas.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royalty acres</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Net mineral acres multiplied by the average lease royalty interest and other burdens.</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Tracts of land consisting of properties to be developed for oil and natural gas resource extraction.</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Operator</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individual or company responsible for the exploration and/or production of an oil or natural gas well or lease.</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 reserves</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4"/>
        <w:gridCol w:w="285"/>
        <w:gridCol w:w="287"/>
        <w:gridCol w:w="2744"/>
        <w:gridCol w:w="2717"/>
        <w:gridCol w:w="3848"/>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9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Reserves are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interest</w:t>
            </w:r>
          </w:p>
        </w:tc>
        <w:tc>
          <w:tcPr>
            <w:tcW w:w="9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An interest that gives an owner the right to receive a portion of the resources or revenues without having to carry any costs of development, which may be subject to expiration.</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Spud</w:t>
            </w:r>
          </w:p>
        </w:tc>
        <w:tc>
          <w:tcPr>
            <w:tcW w:w="9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Commencement of actual drilling operations.</w:t>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Waha Hub</w:t>
            </w:r>
          </w:p>
        </w:tc>
        <w:tc>
          <w:tcPr>
            <w:tcW w:w="9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Natural gas gathering point that serves as a benchmark price for natural gas at western Texas and New Mexico.</w:t>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WTI</w:t>
            </w:r>
          </w:p>
        </w:tc>
        <w:tc>
          <w:tcPr>
            <w:tcW w:w="9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West Texas Intermediate, a light sweet blend of oil produced from fields in western Texas and is a grade of oil that serves as a benchmark for oil on the NYMEX.</w:t>
            </w:r>
          </w:p>
        </w:tc>
      </w:tr>
      <w:tr>
        <w:trPr/>
        <w:tc>
          <w:tcPr>
            <w:tcW w:w="8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WTI Cushing</w:t>
            </w:r>
          </w:p>
        </w:tc>
        <w:tc>
          <w:tcPr>
            <w:tcW w:w="93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Grade of oil that serves as a benchmark price for oil at Cushing, Oklahoma.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GLOSSARY OF CERTAIN OTHER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other terms that are used in this report and our other periodic reports under the Exchange Act: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52"/>
        <w:gridCol w:w="374"/>
        <w:gridCol w:w="377"/>
        <w:gridCol w:w="2837"/>
        <w:gridCol w:w="2427"/>
        <w:gridCol w:w="3438"/>
      </w:tblGrid>
      <w:tr>
        <w:trPr/>
        <w:tc>
          <w:tcPr>
            <w:tcW w:w="75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3438"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vAlign w:val="center"/>
          </w:tcPr>
          <w:p>
            <w:pPr>
              <w:pStyle w:val="TableContents"/>
              <w:bidi w:val="0"/>
              <w:spacing w:before="0" w:after="283"/>
              <w:jc w:val="left"/>
              <w:rPr>
                <w:sz w:val="4"/>
                <w:szCs w:val="4"/>
              </w:rPr>
            </w:pPr>
            <w:r>
              <w:rPr>
                <w:sz w:val="4"/>
                <w:szCs w:val="4"/>
              </w:rPr>
            </w:r>
          </w:p>
        </w:tc>
        <w:tc>
          <w:tcPr>
            <w:tcW w:w="8702" w:type="dxa"/>
            <w:gridSpan w:val="3"/>
            <w:tcBorders/>
            <w:vAlign w:val="center"/>
          </w:tcPr>
          <w:p>
            <w:pPr>
              <w:pStyle w:val="TableContents"/>
              <w:bidi w:val="0"/>
              <w:spacing w:before="0" w:after="283"/>
              <w:jc w:val="left"/>
              <w:rPr>
                <w:sz w:val="4"/>
                <w:szCs w:val="4"/>
              </w:rPr>
            </w:pPr>
            <w:r>
              <w:rPr>
                <w:sz w:val="4"/>
                <w:szCs w:val="4"/>
              </w:rPr>
            </w:r>
          </w:p>
        </w:tc>
      </w:tr>
      <w:tr>
        <w:trPr/>
        <w:tc>
          <w:tcPr>
            <w:tcW w:w="15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7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Adjusted EBITDA, a non-GAAP measure, generally equals net income (loss) attributable to Viper Energy, Inc. plus net income (loss) attributable to non-controlling interest before interest expense, net, non-cash share-based compensation expense, depreciation, depletion, and amortization, non-cash (gain) loss on derivative instruments, provision for (benefit from) income taxes and other non-cash or non-recurring operating expenses.</w:t>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8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August 19, 2025, Class A common stock, $0.000001 par value per share of New Viper (as defined below), and before August 19, 2025, Class A common stock, $0.000001 par value per share of Former Viper (as defined below).</w:t>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8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August 19, 2025, Class B common stock, $0.000001 par value per share of New Viper, and before August 19, 2025, Class B common stock, $0.000001 par value per share of Former Viper.</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8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Collectively, Class A Common Stock and Class B Common Stock.</w:t>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w:t>
            </w:r>
          </w:p>
        </w:tc>
        <w:tc>
          <w:tcPr>
            <w:tcW w:w="8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Diamondback Energy, Inc., a Delaware corporation.</w:t>
            </w:r>
          </w:p>
        </w:tc>
      </w:tr>
      <w:tr>
        <w:trPr/>
        <w:tc>
          <w:tcPr>
            <w:tcW w:w="1503" w:type="dxa"/>
            <w:gridSpan w:val="3"/>
            <w:tcBorders/>
            <w:vAlign w:val="center"/>
          </w:tcPr>
          <w:p>
            <w:pPr>
              <w:pStyle w:val="TableContents"/>
              <w:bidi w:val="0"/>
              <w:spacing w:before="0" w:after="283"/>
              <w:jc w:val="left"/>
              <w:rPr>
                <w:sz w:val="4"/>
                <w:szCs w:val="4"/>
              </w:rPr>
            </w:pPr>
            <w:r>
              <w:rPr>
                <w:sz w:val="4"/>
                <w:szCs w:val="4"/>
              </w:rPr>
            </w:r>
          </w:p>
        </w:tc>
        <w:tc>
          <w:tcPr>
            <w:tcW w:w="8702" w:type="dxa"/>
            <w:gridSpan w:val="3"/>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w:t>
            </w:r>
          </w:p>
        </w:tc>
      </w:tr>
      <w:tr>
        <w:trPr/>
        <w:tc>
          <w:tcPr>
            <w:tcW w:w="1503" w:type="dxa"/>
            <w:gridSpan w:val="3"/>
            <w:tcBorders/>
            <w:vAlign w:val="center"/>
          </w:tcPr>
          <w:p>
            <w:pPr>
              <w:pStyle w:val="TableContents"/>
              <w:bidi w:val="0"/>
              <w:spacing w:before="0" w:after="283"/>
              <w:jc w:val="left"/>
              <w:rPr>
                <w:sz w:val="4"/>
                <w:szCs w:val="4"/>
              </w:rPr>
            </w:pPr>
            <w:r>
              <w:rPr>
                <w:sz w:val="4"/>
                <w:szCs w:val="4"/>
              </w:rPr>
            </w:r>
          </w:p>
        </w:tc>
        <w:tc>
          <w:tcPr>
            <w:tcW w:w="8702" w:type="dxa"/>
            <w:gridSpan w:val="3"/>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Senior Notes</w:t>
            </w:r>
          </w:p>
        </w:tc>
        <w:tc>
          <w:tcPr>
            <w:tcW w:w="8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outstanding senior notes of Viper Energy Partners LP (f/k/a Viper Energy Partners LLC), issued under indentures where Viper Energy, Inc. and VNOM Sub, Inc., a wholly owned subsidiary of Viper Energy, Inc., are the guarantors, consisting of the 4.900% Senior Notes due 2030 and the 5.700% Senior Notes due 2035.</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LTIP</w:t>
            </w:r>
          </w:p>
        </w:tc>
        <w:tc>
          <w:tcPr>
            <w:tcW w:w="8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Viper Energy, Inc. Amended and Restated 2014 Long-Term Incentive Plan, as amended and restated by Viper Energy, Inc. 2024 Amended and Restated Long-Term Incentive Plan, and as may be further amended or restated from time to time.</w:t>
            </w:r>
          </w:p>
        </w:tc>
      </w:tr>
      <w:tr>
        <w:trPr/>
        <w:tc>
          <w:tcPr>
            <w:tcW w:w="1503" w:type="dxa"/>
            <w:gridSpan w:val="3"/>
            <w:tcBorders/>
            <w:vAlign w:val="center"/>
          </w:tcPr>
          <w:p>
            <w:pPr>
              <w:pStyle w:val="TableContents"/>
              <w:bidi w:val="0"/>
              <w:spacing w:before="0" w:after="283"/>
              <w:jc w:val="left"/>
              <w:rPr>
                <w:sz w:val="4"/>
                <w:szCs w:val="4"/>
              </w:rPr>
            </w:pPr>
            <w:r>
              <w:rPr>
                <w:sz w:val="4"/>
                <w:szCs w:val="4"/>
              </w:rPr>
            </w:r>
          </w:p>
        </w:tc>
        <w:tc>
          <w:tcPr>
            <w:tcW w:w="8702" w:type="dxa"/>
            <w:gridSpan w:val="3"/>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8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Net debt, a non-GAAP measure, is debt (excluding debt issuance costs, discounts and premiums) less cash and cash equivalents.</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8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Those senior notes of Viper Energy, Inc. that were issued under indentures where Viper Energy Partners LLC and other subsidiaries were guarantors, consisting of the 5.375% Senior Notes due 2027 and the 7.375% Senior Notes due 2031, and which were redeemed on November 1, 2025 and July 23, 2025, respectively.</w:t>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NYMEX</w:t>
            </w:r>
          </w:p>
        </w:tc>
        <w:tc>
          <w:tcPr>
            <w:tcW w:w="8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New York Mercantile Exchange.</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OpCo Unit</w:t>
            </w:r>
          </w:p>
        </w:tc>
        <w:tc>
          <w:tcPr>
            <w:tcW w:w="8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Limited liability company membership interest in the Operating Company.</w:t>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OPEC</w:t>
            </w:r>
          </w:p>
        </w:tc>
        <w:tc>
          <w:tcPr>
            <w:tcW w:w="8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Organization of the Petroleum Exporting Countries.</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Company or OpCo</w:t>
            </w:r>
          </w:p>
        </w:tc>
        <w:tc>
          <w:tcPr>
            <w:tcW w:w="8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December 23, 2025, Viper Energy Partners LLC, a Delaware limited liability company and a consolidated subsidiary of Viper Energy, Inc., and after December 23, 2025, VNOM Holding Company LLC, a Delaware limited liability company and a consolidated subsidiary of Viper Energy, Inc. </w:t>
            </w:r>
          </w:p>
        </w:tc>
      </w:tr>
      <w:tr>
        <w:trPr/>
        <w:tc>
          <w:tcPr>
            <w:tcW w:w="1503" w:type="dxa"/>
            <w:gridSpan w:val="3"/>
            <w:tcBorders/>
            <w:vAlign w:val="center"/>
          </w:tcPr>
          <w:p>
            <w:pPr>
              <w:pStyle w:val="TableContents"/>
              <w:bidi w:val="0"/>
              <w:spacing w:before="0" w:after="283"/>
              <w:jc w:val="left"/>
              <w:rPr>
                <w:sz w:val="4"/>
                <w:szCs w:val="4"/>
              </w:rPr>
            </w:pPr>
            <w:r>
              <w:rPr>
                <w:sz w:val="4"/>
                <w:szCs w:val="4"/>
              </w:rPr>
            </w:r>
          </w:p>
        </w:tc>
        <w:tc>
          <w:tcPr>
            <w:tcW w:w="8702" w:type="dxa"/>
            <w:gridSpan w:val="3"/>
            <w:tcBorders/>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 Prices</w:t>
            </w:r>
          </w:p>
        </w:tc>
        <w:tc>
          <w:tcPr>
            <w:tcW w:w="8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Unweighted arithmetic average of the first-day-of-the-month price for each month during the 12-month period prior to the ending date of the period covered by this report.</w:t>
            </w:r>
          </w:p>
        </w:tc>
      </w:tr>
      <w:tr>
        <w:trPr/>
        <w:tc>
          <w:tcPr>
            <w:tcW w:w="150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70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Act of 1933, as amended.</w:t>
            </w:r>
          </w:p>
        </w:tc>
      </w:tr>
      <w:tr>
        <w:trPr/>
        <w:tc>
          <w:tcPr>
            <w:tcW w:w="1503" w:type="dxa"/>
            <w:gridSpan w:val="3"/>
            <w:tcBorders/>
            <w:vAlign w:val="center"/>
          </w:tcPr>
          <w:p>
            <w:pPr>
              <w:pStyle w:val="TableContents"/>
              <w:bidi w:val="0"/>
              <w:spacing w:before="0" w:after="283"/>
              <w:jc w:val="left"/>
              <w:rPr>
                <w:sz w:val="4"/>
                <w:szCs w:val="4"/>
              </w:rPr>
            </w:pPr>
            <w:r>
              <w:rPr>
                <w:sz w:val="4"/>
                <w:szCs w:val="4"/>
              </w:rPr>
            </w:r>
          </w:p>
        </w:tc>
        <w:tc>
          <w:tcPr>
            <w:tcW w:w="8702" w:type="dxa"/>
            <w:gridSpan w:val="3"/>
            <w:tcBorders/>
            <w:vAlign w:val="center"/>
          </w:tcPr>
          <w:p>
            <w:pPr>
              <w:pStyle w:val="TableContents"/>
              <w:bidi w:val="0"/>
              <w:spacing w:before="0" w:after="283"/>
              <w:jc w:val="left"/>
              <w:rPr>
                <w:sz w:val="4"/>
                <w:szCs w:val="4"/>
              </w:rPr>
            </w:pPr>
            <w:r>
              <w:rPr>
                <w:sz w:val="4"/>
                <w:szCs w:val="4"/>
              </w:rPr>
            </w:r>
          </w:p>
        </w:tc>
      </w:tr>
      <w:tr>
        <w:trPr/>
        <w:tc>
          <w:tcPr>
            <w:tcW w:w="1503" w:type="dxa"/>
            <w:gridSpan w:val="3"/>
            <w:tcBorders/>
            <w:vAlign w:val="center"/>
          </w:tcPr>
          <w:p>
            <w:pPr>
              <w:pStyle w:val="TableContents"/>
              <w:bidi w:val="0"/>
              <w:spacing w:before="0" w:after="283"/>
              <w:jc w:val="left"/>
              <w:rPr>
                <w:sz w:val="4"/>
                <w:szCs w:val="4"/>
              </w:rPr>
            </w:pPr>
            <w:r>
              <w:rPr>
                <w:sz w:val="4"/>
                <w:szCs w:val="4"/>
              </w:rPr>
            </w:r>
          </w:p>
        </w:tc>
        <w:tc>
          <w:tcPr>
            <w:tcW w:w="870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or other effects of strategic transactions; and plans and objectives of management (including Diamondback’s plans for developing our acreage, our cash dividend policy and repurchases of our Common Stock, OpCo Units or Guaranteed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In particular, the factors discussed in this report and detailed under </w:t>
      </w:r>
      <w:hyperlink w:anchor="ic47f36a9806d4b1abad08073353cc304_145">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and our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 could affect our actual results and cause our actual results to differ materially from expectations, estimates or assumptions expressed, forecasted or implied in such 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Factors that could cause the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impact of public health crises, including epidemic or pandemic diseases and any related company or government policies or actions;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actions taken by the members of OPEC and its non-OPEC allies (“OPEC+”)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general economic, business or industry conditions, including changes in foreign currency exchange rates, interest rates, inflation rates, or instability in the financial sector;</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regional supply and demand factors, including delays, curtailment delays or interruptions of production on our mineral and royalty acreage, or governmental orders, rules or regulations that impose production limits on such acreage;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physical and transition risks relating to climate change and changing political and social perspectives on climate change and other environmental, social and governance factors;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risks from our cash dividend policy and uncertainties over our future dividends;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restrictions on the use of water, including limits on the use of produced water by our operators and a moratorium on new produced water well permits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U.S. energy, environmental, monetary and trade policies, including with respect to tariffs or other trade barriers and any resulting trade tensions;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conditions in the capital, financial and credit markets, including the availability and pricing of capital for drilling and development by our limited number of operators and our ability to replace operators in time of bankruptcy or default;</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availability or cost of rigs, equipment, raw materials, supplies and oilfield services impacting our operators;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inherent uncertainties over our estimated reserves, the development of our proved undeveloped reserves or the yield from project areas on our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geographical concentration of our producing properties and reserves in the Permian Basin and in a small number of producing horizons;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safety, health, environmental, tax and other regulations or requirements impacting us or our operators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lack of, or disruption in, access to adequate and reliable electrical power, internet and telecommunication infrastructure, information and computer systems, transportation, processing, storage and other facilities impacting our operators;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severe weather conditions and natural disasters;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geopolitics, regional conflicts, acts of war or terrorist acts and the governmental or military response thereto;</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the financial strength of counterparties to the Revolving Credit Facility (as defined below) and hedging contracts of our operating subsidiary;</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our substantial indebtedness and changes in our credit rating;</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failure to develop or acquire additional reserves and identify, complete or integrate acquisitions such as the recently completed Riverbend Acquisition (as defined below);</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our operational dependence on, and control by, Diamondback and potential conflicts of interest thereof;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other risks and factors disclosed under </w:t>
      </w:r>
      <w:hyperlink w:anchor="ic47f36a9806d4b1abad08073353cc304_145">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and our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ind w:left="0" w:right="0" w:firstLine="720"/>
        <w:jc w:val="center"/>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tbl>
      <w:tblPr>
        <w:tblW w:w="9090" w:type="dxa"/>
        <w:jc w:val="left"/>
        <w:tblInd w:w="0" w:type="dxa"/>
        <w:tblLayout w:type="fixed"/>
        <w:tblCellMar>
          <w:top w:w="28" w:type="dxa"/>
          <w:left w:w="28" w:type="dxa"/>
          <w:bottom w:w="28" w:type="dxa"/>
          <w:right w:w="28" w:type="dxa"/>
        </w:tblCellMar>
      </w:tblPr>
      <w:tblGrid>
        <w:gridCol w:w="1574"/>
        <w:gridCol w:w="1384"/>
        <w:gridCol w:w="1392"/>
        <w:gridCol w:w="237"/>
        <w:gridCol w:w="564"/>
        <w:gridCol w:w="132"/>
        <w:gridCol w:w="132"/>
        <w:gridCol w:w="132"/>
        <w:gridCol w:w="132"/>
        <w:gridCol w:w="237"/>
        <w:gridCol w:w="564"/>
        <w:gridCol w:w="132"/>
        <w:gridCol w:w="109"/>
        <w:gridCol w:w="109"/>
        <w:gridCol w:w="109"/>
        <w:gridCol w:w="206"/>
        <w:gridCol w:w="587"/>
        <w:gridCol w:w="115"/>
        <w:gridCol w:w="115"/>
        <w:gridCol w:w="115"/>
        <w:gridCol w:w="115"/>
        <w:gridCol w:w="217"/>
        <w:gridCol w:w="519"/>
        <w:gridCol w:w="162"/>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 shares in thousands)</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income:</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Oil income</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income</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liquids income</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w:t>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bonus income</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bonus income—related party</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w:t>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Costs and expenses:</w:t>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and ad valorem taxes</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expenses—related party</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Income (loss) from operations</w:t>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net</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8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 (loss) attributable to Viper Energy, Inc.</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 (loss) attributable to common shares:</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Weighted average number of common shares outstanding:</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193,733 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131,107 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187,553 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193,733 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131,156 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187,553 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42"/>
        <w:gridCol w:w="2254"/>
        <w:gridCol w:w="2192"/>
        <w:gridCol w:w="246"/>
        <w:gridCol w:w="841"/>
        <w:gridCol w:w="127"/>
        <w:gridCol w:w="127"/>
        <w:gridCol w:w="127"/>
        <w:gridCol w:w="127"/>
        <w:gridCol w:w="256"/>
        <w:gridCol w:w="876"/>
        <w:gridCol w:w="190"/>
      </w:tblGrid>
      <w:tr>
        <w:trPr/>
        <w:tc>
          <w:tcPr>
            <w:tcW w:w="2842"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par values and share data)</w:t>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 receivable (net of allowance for credit losses)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 receivable—related party</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Unproved properties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 depreciation, amortization and impairment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w:t>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12,209 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 of allowances)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A Common Stock, $0.000001 par value: 1,000,000,000 shares authorized; 191,382,620 shares issued and outstanding at June 30, 2026, and 170,942,687 shares issued and outstanding at December 31, 2025</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B Common Stock, $0.000001 par value: 1,000,000,000 shares authorized; 164,789,844 shares issued and outstanding at June 30, 2026, and 187,023,698 shares issued and outstanding at December 31, 2025</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Viper Energy, Inc. stockholders’ equity</w:t>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4,448 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10,282 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12,055 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tbl>
      <w:tblPr>
        <w:tblW w:w="8351" w:type="dxa"/>
        <w:jc w:val="left"/>
        <w:tblInd w:w="0" w:type="dxa"/>
        <w:tblLayout w:type="fixed"/>
        <w:tblCellMar>
          <w:top w:w="28" w:type="dxa"/>
          <w:left w:w="28" w:type="dxa"/>
          <w:bottom w:w="28" w:type="dxa"/>
          <w:right w:w="28" w:type="dxa"/>
        </w:tblCellMar>
      </w:tblPr>
      <w:tblGrid>
        <w:gridCol w:w="2260"/>
        <w:gridCol w:w="1982"/>
        <w:gridCol w:w="1998"/>
        <w:gridCol w:w="203"/>
        <w:gridCol w:w="437"/>
        <w:gridCol w:w="113"/>
        <w:gridCol w:w="113"/>
        <w:gridCol w:w="113"/>
        <w:gridCol w:w="113"/>
        <w:gridCol w:w="203"/>
        <w:gridCol w:w="656"/>
        <w:gridCol w:w="160"/>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deferred income taxes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net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receipts (payments) on derivatives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receivable</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receivable—related party</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6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Acquisitions of oil and natural gas properties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oil and natural gas properties—related party</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oil and natural gas properties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public offering</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shares of Class A Common Stock as part of the repurchase program</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Repurchases of OpCo Units as part of the repurchase program</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stockholders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Dividends to Diamondback </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other non-controlling interest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6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transactions:</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OpCo Units issued for acquisitions</w:t>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OpCo Units issued to related party</w:t>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96"/>
        <w:gridCol w:w="447"/>
        <w:gridCol w:w="448"/>
        <w:gridCol w:w="413"/>
        <w:gridCol w:w="413"/>
        <w:gridCol w:w="212"/>
        <w:gridCol w:w="112"/>
        <w:gridCol w:w="112"/>
        <w:gridCol w:w="112"/>
        <w:gridCol w:w="413"/>
        <w:gridCol w:w="413"/>
        <w:gridCol w:w="212"/>
        <w:gridCol w:w="109"/>
        <w:gridCol w:w="109"/>
        <w:gridCol w:w="109"/>
        <w:gridCol w:w="211"/>
        <w:gridCol w:w="616"/>
        <w:gridCol w:w="109"/>
        <w:gridCol w:w="109"/>
        <w:gridCol w:w="109"/>
        <w:gridCol w:w="109"/>
        <w:gridCol w:w="312"/>
        <w:gridCol w:w="712"/>
        <w:gridCol w:w="162"/>
        <w:gridCol w:w="109"/>
        <w:gridCol w:w="109"/>
        <w:gridCol w:w="109"/>
        <w:gridCol w:w="311"/>
        <w:gridCol w:w="908"/>
        <w:gridCol w:w="162"/>
        <w:gridCol w:w="109"/>
        <w:gridCol w:w="109"/>
        <w:gridCol w:w="109"/>
        <w:gridCol w:w="211"/>
        <w:gridCol w:w="721"/>
        <w:gridCol w:w="159"/>
      </w:tblGrid>
      <w:tr>
        <w:trPr/>
        <w:tc>
          <w:tcPr>
            <w:tcW w:w="9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b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w:t>
              <w:br/>
              <w:t>Shares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B</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shares in thousands)</w:t>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170,943 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187,024 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shares of Class A Common Stock under repurchase program</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OpCo Units and cancellation of Class B Common Stock under repurchase program</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of Class B Common Stock and OpCo Units to Class A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stockholders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Diamondback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other non-controlling interest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upon vesting of equity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 withholding on vested equity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194,312 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164,811 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shares of Class A Common Stock under repurchase program</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of Class B Common Stock and OpCo Units to Class A Common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stockholders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Diamondback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other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upon vesting of equity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191,383 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164,790 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10,282 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par values of the outstanding shares of Class A Common Stock and Class B Common Stock each round to zero during the periods presented.</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 (Continued)</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014"/>
        <w:gridCol w:w="485"/>
        <w:gridCol w:w="487"/>
        <w:gridCol w:w="413"/>
        <w:gridCol w:w="413"/>
        <w:gridCol w:w="214"/>
        <w:gridCol w:w="115"/>
        <w:gridCol w:w="115"/>
        <w:gridCol w:w="115"/>
        <w:gridCol w:w="412"/>
        <w:gridCol w:w="414"/>
        <w:gridCol w:w="213"/>
        <w:gridCol w:w="109"/>
        <w:gridCol w:w="109"/>
        <w:gridCol w:w="109"/>
        <w:gridCol w:w="211"/>
        <w:gridCol w:w="616"/>
        <w:gridCol w:w="109"/>
        <w:gridCol w:w="109"/>
        <w:gridCol w:w="109"/>
        <w:gridCol w:w="109"/>
        <w:gridCol w:w="318"/>
        <w:gridCol w:w="703"/>
        <w:gridCol w:w="165"/>
        <w:gridCol w:w="109"/>
        <w:gridCol w:w="109"/>
        <w:gridCol w:w="109"/>
        <w:gridCol w:w="311"/>
        <w:gridCol w:w="908"/>
        <w:gridCol w:w="162"/>
        <w:gridCol w:w="109"/>
        <w:gridCol w:w="109"/>
        <w:gridCol w:w="109"/>
        <w:gridCol w:w="211"/>
        <w:gridCol w:w="616"/>
        <w:gridCol w:w="157"/>
      </w:tblGrid>
      <w:tr>
        <w:trPr/>
        <w:tc>
          <w:tcPr>
            <w:tcW w:w="101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b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w:t>
              <w:br/>
              <w:t>Shares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B</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shares in thousands)</w:t>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102,977 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85,431 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for acquisition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OpCo Units issued for acquisition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the issuance of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stockholders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Diamondback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other non-controlling interest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upon vesting of equity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131,323 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87,831 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to related party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69,627 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OpCo Units issued to related party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shares of Class A Common Stock under repurchase program</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stockholders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Diamondback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other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131,067 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157,458 </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5,191 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par values of the outstanding shares of Class A Common Stock and Class B Common Stock each round to zero during the periods presented.</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Energy, Inc. is a publicly traded Delaware corporation. Viper (as defined below) and its consolidated subsidiaries are focused on owning and acquiring mineral interests and royalty interests in oil and natural gas properties primarily in the Permian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19, 2025, upon completion of the Sitio Acquisition (as defined and discussed in Note 4—</w:t>
      </w:r>
      <w:hyperlink w:anchor="ic47f36a9806d4b1abad08073353cc304_52">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VNOM Sub, Inc. (formerly known as Viper Energy Inc., “Former Viper”) became a wholly owned subsidiary of Viper Energy, Inc. (formerly known as New Cobra Pubco, Inc., “New Viper”), as a result of a merger contemplated by the documents governing the Sitio Acquisition (such merger, the “Viper PubCo Merger”).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completion of the Viper PubCo Merger, each share of Former Viper’s Class A common stock, par value $0.000001 per share, issued and outstanding immediately prior to the effective time of the Viper PubCo Merger (other than certain excluded shares) was canceled and automatically converted into one share of New Viper Class A common stock, par value $0.000001 per share, and each share of Former Viper’s Class B common stock, par value $0.000001 per share, issued and outstanding immediately prior to the effective time of the Viper PubCo Merger was automatically canceled and converted into one share of New Viper’s Class B common stock, par value $0.000001 per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23, 2025, the Company completed an internal reorganization (the “Reorganization”), pursuant to which, among other things, each outstanding OpCo Unit of Viper Energy Partners LLC, a Delaware limited liability company and Viper’s operating subsidiary (“Old OpCo”), was converted into an equivalent OpCo Unit issued by a newly-formed subsidiary of Viper, VNOM Holding Company LLC (“New OpCo”).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in the accompanying condensed consolidated financial statements and related notes thereto to “Viper” refer to (A) New Viper following the Viper PubCo Merger, and (B) Former Viper prior to the Viper PubCo Merger. References to the “Company,” “our company,” “we,” “our,” “us” or like terms refer collectively to Viper and its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to the “Operating Company” or “OpCo” refer to (A) New OpCo following the Reorganization, and (B) Old OpCo prior to the Reorganization. References to “OpCo Units” are to the units representing limited liability company interests in the Operating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Viper, through its subsidiaries, owned approximately 52.7% of the outstanding OpCo Units and was the managing member of New OpCo.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subsidiary of Diamondback. References to “Diamondback” refer collectively to it and its subsidiaries other than the Company. As neither Viper nor its subsidiaries have any employees, Diamondback provides personnel and general and administrative services to the Company, including the services of the executive officers and other employees, pursuant to a services and secondment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June 30, 2026, Diamondback beneficially owned approximately 39.2% of the outstanding voting power of the Company’s Common Stock on a fully diluted basis after giving effect to the outstanding TWR Class B Option (as defined and discussed in Note 7—</w:t>
      </w:r>
      <w:hyperlink w:anchor="ic47f36a9806d4b1abad08073353cc304_61">
        <w:r>
          <w:rPr>
            <w:rStyle w:val="InternetLink"/>
            <w:rFonts w:ascii="Times New Roman;serif" w:hAnsi="Times New Roman;serif"/>
            <w:b w:val="false"/>
            <w:color w:val="0000FF"/>
            <w:sz w:val="20"/>
            <w:u w:val="single"/>
          </w:rPr>
          <w:t>Stockholders’ Equity</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related notes thereto were prepared in accordance with GAAP. All material intercompany balances and transactions have been eliminated upon consolidation. The Company reports its operations in one reportable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pPr>
      <w:r>
        <w:rPr>
          <w:rFonts w:ascii="Times New Roman;serif" w:hAnsi="Times New Roman;serif"/>
          <w:b w:val="false"/>
          <w:color w:val="000000"/>
          <w:sz w:val="20"/>
        </w:rPr>
        <w:t xml:space="preserve">included in financial statements prepared in accordance with GAAP have been omitted pursuant to SEC rules and regulations, although the Company believes the disclosures are adequate to make the information presented not misleading. This report should be read in conjunction with the Company’s most recent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2025, which contains a summary of the Company’s significant accounting policies and other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Royalty Income Receivable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Diamondback, either directly or through its consolidated subsidiaries, owed the Company $27 million and $88 million, respectively, for royalty income received from third parties for the Company’s production, which had not yet been remitted to the Company.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 Bonus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Diamondback and its subsidiaries paid the Company $4 million of lease bonus income for four new leases covering 84 acres in Martin and Midland Counties, Texas during the three months ended June 30, 2026, and $5 million of lease bonus income for seven new leases covering 145 acres in Martin, Midland and Pecos Counties, Texas during the six months ended June 30, 2026.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Related Party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c47f36a9806d4b1abad08073353cc304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for significant related party acquisitions of oil and natural gas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7—</w:t>
      </w:r>
      <w:hyperlink w:anchor="ic47f36a9806d4b1abad08073353cc304_61">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for further details regarding equity transactions with related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other significant related party transactions with Diamondback or its affiliates have been stated on the face of the condensed consolidated financial statements.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Accrued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 as of the dates indicated:</w:t>
      </w:r>
    </w:p>
    <w:p>
      <w:pPr>
        <w:pStyle w:val="TextBody"/>
        <w:bidi w:val="0"/>
        <w:spacing w:before="0" w:after="0"/>
        <w:ind w:left="0" w:right="0" w:firstLine="720"/>
        <w:jc w:val="both"/>
        <w:rPr/>
      </w:pPr>
      <w:r>
        <w:rPr/>
      </w:r>
    </w:p>
    <w:tbl>
      <w:tblPr>
        <w:tblW w:w="4947" w:type="dxa"/>
        <w:jc w:val="left"/>
        <w:tblInd w:w="0" w:type="dxa"/>
        <w:tblLayout w:type="fixed"/>
        <w:tblCellMar>
          <w:top w:w="28" w:type="dxa"/>
          <w:left w:w="28" w:type="dxa"/>
          <w:bottom w:w="28" w:type="dxa"/>
          <w:right w:w="28" w:type="dxa"/>
        </w:tblCellMar>
      </w:tblPr>
      <w:tblGrid>
        <w:gridCol w:w="971"/>
        <w:gridCol w:w="855"/>
        <w:gridCol w:w="859"/>
        <w:gridCol w:w="232"/>
        <w:gridCol w:w="398"/>
        <w:gridCol w:w="120"/>
        <w:gridCol w:w="109"/>
        <w:gridCol w:w="109"/>
        <w:gridCol w:w="109"/>
        <w:gridCol w:w="300"/>
        <w:gridCol w:w="664"/>
        <w:gridCol w:w="221"/>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 payable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new accounting pronouncements adopted during the three and six months ended June 30,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ASUs not discussed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3.    </w:t>
      </w:r>
      <w:r>
        <w:rPr>
          <w:rFonts w:ascii="Times New Roman;serif" w:hAnsi="Times New Roman;serif"/>
          <w:b/>
          <w:color w:val="000000"/>
          <w:sz w:val="20"/>
          <w:shd w:fill="FFFFFF" w:val="clear"/>
        </w:rPr>
        <w:t>REVENUE FROM CONTRACTS WITH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represents the right to receive revenues from oil, natural gas and natural gas liquids sales obtained from third-party purchasers by the operator of the wells in which the Company owns a royalty interest. Royalty income is recognized at the point control of the product is transferred to the purchaser at the wellhead or at the gas processing facility based on the Company’s percentage ownership share of the revenue, net of any deductions for gathering and transportation. Virtually all of the pricing provisions in the Company’s contracts are tied to a market index.</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disaggregate the Company’s revenue from oil, natural gas and natural gas liquids by revenue generated from production on properties operated by Diamondback and revenue generated from production on properties operated by third parties: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96"/>
        <w:gridCol w:w="249"/>
        <w:gridCol w:w="250"/>
        <w:gridCol w:w="400"/>
        <w:gridCol w:w="861"/>
        <w:gridCol w:w="224"/>
        <w:gridCol w:w="109"/>
        <w:gridCol w:w="109"/>
        <w:gridCol w:w="109"/>
        <w:gridCol w:w="368"/>
        <w:gridCol w:w="791"/>
        <w:gridCol w:w="206"/>
        <w:gridCol w:w="109"/>
        <w:gridCol w:w="109"/>
        <w:gridCol w:w="109"/>
        <w:gridCol w:w="196"/>
        <w:gridCol w:w="556"/>
        <w:gridCol w:w="109"/>
        <w:gridCol w:w="109"/>
        <w:gridCol w:w="109"/>
        <w:gridCol w:w="109"/>
        <w:gridCol w:w="400"/>
        <w:gridCol w:w="861"/>
        <w:gridCol w:w="224"/>
        <w:gridCol w:w="109"/>
        <w:gridCol w:w="109"/>
        <w:gridCol w:w="109"/>
        <w:gridCol w:w="368"/>
        <w:gridCol w:w="791"/>
        <w:gridCol w:w="206"/>
        <w:gridCol w:w="109"/>
        <w:gridCol w:w="109"/>
        <w:gridCol w:w="109"/>
        <w:gridCol w:w="196"/>
        <w:gridCol w:w="421"/>
        <w:gridCol w:w="109"/>
        <w:gridCol w:w="109"/>
        <w:gridCol w:w="109"/>
        <w:gridCol w:w="109"/>
        <w:gridCol w:w="161"/>
      </w:tblGrid>
      <w:tr>
        <w:trPr/>
        <w:tc>
          <w:tcPr>
            <w:tcW w:w="2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Oil income</w:t>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income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liquids income</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royalty income</w:t>
            </w:r>
          </w:p>
        </w:tc>
        <w:tc>
          <w:tcPr>
            <w:tcW w:w="40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Oil income</w:t>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income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liquids income</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royalty income</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ACQUISITIONS AND DIVESTITURES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2026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Divestiture of Non-Permian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February 9, 2026, the Company divested all of its non-Permian assets, including those acquired from Sitio Royalties Corp. (“Sitio”), to an affiliate of GRP Energy Capital LLC and Warwick Capital Partners LLP for net cash proceeds of approximately $610 million, including transaction costs and customary post-closing adjustments (the “Non-Permian Divestiture”). The divested properties consisted of approximately 9,400 net royalty acres in the Denver-Julesburg, Eagle Ford and Williston basins with then-current production of approximately 4,750 BO/d. Proceeds from the Non-Permian Divestiture were used to (i) repay the Company’s $500 million Term Loan (</w:t>
      </w:r>
      <w:r>
        <w:rPr>
          <w:rFonts w:ascii="Times New Roman;serif" w:hAnsi="Times New Roman;serif"/>
          <w:b w:val="false"/>
          <w:color w:val="000000"/>
          <w:sz w:val="20"/>
          <w:shd w:fill="FFFFFF" w:val="clear"/>
        </w:rPr>
        <w:t xml:space="preserve">as defined and discussed in Note </w:t>
      </w:r>
      <w:r>
        <w:rPr>
          <w:rFonts w:ascii="Times New Roman;serif" w:hAnsi="Times New Roman;serif"/>
          <w:b w:val="false"/>
          <w:color w:val="000000"/>
          <w:sz w:val="20"/>
        </w:rPr>
        <w:t>6—</w:t>
      </w:r>
      <w:hyperlink w:anchor="ic47f36a9806d4b1abad08073353cc304_58">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xml:space="preserve">) in full, (ii) fully repay $90 million of then-outstanding borrowings under the Revolving Credit Facility (as defined and discussed in </w:t>
      </w:r>
      <w:r>
        <w:rPr>
          <w:rFonts w:ascii="Times New Roman;serif" w:hAnsi="Times New Roman;serif"/>
          <w:b w:val="false"/>
          <w:color w:val="000000"/>
          <w:sz w:val="20"/>
          <w:shd w:fill="FFFFFF" w:val="clear"/>
        </w:rPr>
        <w:t xml:space="preserve">Note </w:t>
      </w:r>
      <w:r>
        <w:rPr>
          <w:rFonts w:ascii="Times New Roman;serif" w:hAnsi="Times New Roman;serif"/>
          <w:b w:val="false"/>
          <w:color w:val="000000"/>
          <w:sz w:val="20"/>
        </w:rPr>
        <w:t>6—</w:t>
      </w:r>
      <w:hyperlink w:anchor="ic47f36a9806d4b1abad08073353cc304_58">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and (iii) for general corporate purposes.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acquired, in individually insignificant transactions from unrelated third-party sellers, mineral and royalty interests representing approximately 519 net royalty acres in the Permian Basin for an aggregate purchase price of approximately $95 million, subject to customary post-closing adjustments. Additionally, during the six months ended June 30, 2026, the Company acquired mineral and royalty interests from Diamondback representing approximately 59 net royalty acres in the Permian Basin for an aggregate purchase price of approximately $12 million, subject to customary post-closing adjustments.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2025 Significant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19, 2025, the Company completed a series of transactions in which New Viper acquired Sitio, Sitio Royalties Operating Partnership, LP (“Sitio OpCo”) and their respective subsidiaries, pursuant to the Agreement and Plan of Merger, dated June 2, 2025, by and among Former Viper, the Operating Company, Sitio, Sitio OpCo, New Viper, Cobra Merger Sub, Inc. and Scorpion Merger Sub, Inc. (the “Sitio Acquisition”). The Sitio Acquisition was an all-equity transaction valued at approximately $4.0 billion, including transaction costs and customary post-closing adjustments and the partial retirement of Sitio’s net debt of approximately $1.2 billion. The Company funded the retirement of Sitio’s net debt through a combination of cash on hand, proceeds from the issuance of the Guaranteed Senior Notes and borrowings under the Term Loan (</w:t>
      </w:r>
      <w:r>
        <w:rPr>
          <w:rFonts w:ascii="Times New Roman;serif" w:hAnsi="Times New Roman;serif"/>
          <w:b w:val="false"/>
          <w:color w:val="000000"/>
          <w:sz w:val="20"/>
          <w:shd w:fill="FFFFFF" w:val="clear"/>
        </w:rPr>
        <w:t xml:space="preserve">as defined and discussed in Note </w:t>
      </w:r>
      <w:r>
        <w:rPr>
          <w:rFonts w:ascii="Times New Roman;serif" w:hAnsi="Times New Roman;serif"/>
          <w:b w:val="false"/>
          <w:color w:val="000000"/>
          <w:sz w:val="20"/>
        </w:rPr>
        <w:t>6—</w:t>
      </w:r>
      <w:hyperlink w:anchor="ic47f36a9806d4b1abad08073353cc304_58">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the Sitio Acquisition, New Viper issued 38,536,236 shares of Class A Common Stock, 35,619,951 shares of Class B Common Stock and 35,619,951 OpCo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mineral and royalty interests acquired in the Sitio Acquisition represent approximately 25,300 net royalty acres in the Permian Basin and approximately 9,000 net royalty acres in the Denver-Julesburg, Eagle Ford and Williston basins, for a total of approximately 34,300 net royalty acres. The non-Permian mineral and royalty interests acquired in the Sitio Acquisition were subsequently divested as discussed above in “—</w:t>
      </w:r>
      <w:r>
        <w:rPr>
          <w:rFonts w:ascii="Times New Roman;serif" w:hAnsi="Times New Roman;serif"/>
          <w:b w:val="false"/>
          <w:i/>
          <w:color w:val="000000"/>
          <w:sz w:val="20"/>
        </w:rPr>
        <w:t>Divestiture of Non-Permian Assets</w:t>
      </w:r>
      <w:r>
        <w:rPr>
          <w:color w:val="000000"/>
        </w:rPr>
        <w:t>”</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Sitio Acquisition was accounted for as an asset acquisition in accordance with ASC 805.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2025, the Company acquired all of the issued and outstanding equity interests of certain Diamondback subsidiaries for consideration consisting of (i) approximately $873 million in cash, including customary post-closing adjustments, and (ii) the issuance of 69,626,640 OpCo Units and an equivalent number of shares of the Company’s Class B Common Stock (collectively, the “Drop Down Equity Issuance”) (the “2025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mineral and royalty interests acquired in the 2025 Drop Down represented approximately 24,446 net royalty acres in the Permian Basin, 69% of which were operated by Diamondback, and had an average net royalty interest of approximately 2.2% and then-current oil production of approximately 17,097 BO/d (the “Endeavor Mineral and Royalty Interests”). The Endeavor Mineral and Royalty Interests include interests in horizontal wells comprised of 5,574 gross proved developed production wells (of which approximately 32% are operated by Diamondback), 116 gross completed wells and 394 gross drilled but uncompleted wells, all of which are principally concentrated in the Midland Basin, with the balance located primarily in the Delaware and Williston basins.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funded the cash consideration for the 2025 Drop Down with a portion of the proceeds from the 2025 Equity Offering (</w:t>
      </w:r>
      <w:r>
        <w:rPr>
          <w:rFonts w:ascii="Times New Roman;serif" w:hAnsi="Times New Roman;serif"/>
          <w:b w:val="false"/>
          <w:color w:val="000000"/>
          <w:sz w:val="20"/>
          <w:shd w:fill="FFFFFF" w:val="clear"/>
        </w:rPr>
        <w:t xml:space="preserve">as defined and discussed in Note </w:t>
      </w:r>
      <w:r>
        <w:rPr>
          <w:rFonts w:ascii="Times New Roman;serif" w:hAnsi="Times New Roman;serif"/>
          <w:b w:val="false"/>
          <w:color w:val="000000"/>
          <w:sz w:val="20"/>
        </w:rPr>
        <w:t>7—</w:t>
      </w:r>
      <w:hyperlink w:anchor="ic47f36a9806d4b1abad08073353cc304_61">
        <w:r>
          <w:rPr>
            <w:rStyle w:val="InternetLink"/>
            <w:rFonts w:ascii="Times New Roman;serif" w:hAnsi="Times New Roman;serif"/>
            <w:b w:val="false"/>
            <w:color w:val="0000FF"/>
            <w:sz w:val="20"/>
            <w:u w:val="single"/>
          </w:rPr>
          <w:t>Stockholders’ Equity</w:t>
        </w:r>
      </w:hyperlink>
      <w:r>
        <w:rPr>
          <w:rFonts w:ascii="Times New Roman;serif" w:hAnsi="Times New Roman;serif"/>
          <w:b w:val="false"/>
          <w:color w:val="000000"/>
          <w:sz w:val="20"/>
        </w:rPr>
        <w:t xml:space="preserve">) and borrowings under the Revolving Credit Facility (as defined and discussed in </w:t>
      </w:r>
      <w:r>
        <w:rPr>
          <w:rFonts w:ascii="Times New Roman;serif" w:hAnsi="Times New Roman;serif"/>
          <w:b w:val="false"/>
          <w:color w:val="000000"/>
          <w:sz w:val="20"/>
          <w:shd w:fill="FFFFFF" w:val="clear"/>
        </w:rPr>
        <w:t xml:space="preserve">Note </w:t>
      </w:r>
      <w:r>
        <w:rPr>
          <w:rFonts w:ascii="Times New Roman;serif" w:hAnsi="Times New Roman;serif"/>
          <w:b w:val="false"/>
          <w:color w:val="000000"/>
          <w:sz w:val="20"/>
        </w:rPr>
        <w:t>6—</w:t>
      </w:r>
      <w:hyperlink w:anchor="ic47f36a9806d4b1abad08073353cc304_58">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The 2025 Drop Down was accounted for as a transaction between entities under common control, with the Endeavor Mineral and Royalty Interests recorded at the seller’s historical carrying value in the Company’s condensed consolidated balance sheet.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For more discussion of the Company’s acquisitions completed during 2025, see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"i636f90b9a2bf4a46ad5fe64678400ed7_124"</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Note 4—Acquisitions and Divestitures in the Company’s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OIL AND NATURAL GAS PROPERTIES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 and natural gas properties include the following for the periods presented:</w:t>
      </w:r>
    </w:p>
    <w:p>
      <w:pPr>
        <w:pStyle w:val="TextBody"/>
        <w:bidi w:val="0"/>
        <w:spacing w:before="0" w:after="0"/>
        <w:ind w:left="0" w:right="0" w:firstLine="720"/>
        <w:jc w:val="both"/>
        <w:rPr/>
      </w:pPr>
      <w:r>
        <w:rPr/>
      </w:r>
    </w:p>
    <w:tbl>
      <w:tblPr>
        <w:tblW w:w="7142" w:type="dxa"/>
        <w:jc w:val="left"/>
        <w:tblInd w:w="0" w:type="dxa"/>
        <w:tblLayout w:type="fixed"/>
        <w:tblCellMar>
          <w:top w:w="28" w:type="dxa"/>
          <w:left w:w="28" w:type="dxa"/>
          <w:bottom w:w="28" w:type="dxa"/>
          <w:right w:w="28" w:type="dxa"/>
        </w:tblCellMar>
      </w:tblPr>
      <w:tblGrid>
        <w:gridCol w:w="1661"/>
        <w:gridCol w:w="1459"/>
        <w:gridCol w:w="1469"/>
        <w:gridCol w:w="211"/>
        <w:gridCol w:w="721"/>
        <w:gridCol w:w="109"/>
        <w:gridCol w:w="109"/>
        <w:gridCol w:w="109"/>
        <w:gridCol w:w="109"/>
        <w:gridCol w:w="230"/>
        <w:gridCol w:w="787"/>
        <w:gridCol w:w="168"/>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Unproved properties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oil and natural gas properties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14,656 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 of accumulated depletion and impairment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12,209 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(1)Unevaluated properties not subject to depletion under full cost pool accounting.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mineral and royalty properties representing approximately 87,440 and 96,003 net royalty acres,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No impairment expense was recorded on the Company’s proved oil and natural gas properties for the three and six months ended June 30, 2026 and 2025 based on the results of the respective quarterly ceiling tests. In addition to commodity prices, the Company’s production rates, levels of proved reserves, transfers of unevaluated properties, income tax rate assumptions and other factors will determine its actual ceiling test limitations and impairment analysis in future periods. </w:t>
      </w:r>
      <w:r>
        <w:rPr>
          <w:rFonts w:ascii="Times New Roman;serif" w:hAnsi="Times New Roman;serif"/>
          <w:b w:val="false"/>
          <w:color w:val="000000"/>
          <w:sz w:val="20"/>
          <w:shd w:fill="FFFFFF" w:val="clear"/>
        </w:rPr>
        <w:t>If future SEC Prices decline as compared to the com</w:t>
      </w:r>
      <w:r>
        <w:rPr>
          <w:rFonts w:ascii="Times New Roman;serif" w:hAnsi="Times New Roman;serif"/>
          <w:b w:val="false"/>
          <w:color w:val="000000"/>
          <w:sz w:val="20"/>
        </w:rPr>
        <w:t>modity prices used in prior quarters, the Company could have material write-downs in subsequent quarters.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5207" w:type="dxa"/>
        <w:jc w:val="left"/>
        <w:tblInd w:w="0" w:type="dxa"/>
        <w:tblLayout w:type="fixed"/>
        <w:tblCellMar>
          <w:top w:w="28" w:type="dxa"/>
          <w:left w:w="28" w:type="dxa"/>
          <w:bottom w:w="28" w:type="dxa"/>
          <w:right w:w="28" w:type="dxa"/>
        </w:tblCellMar>
      </w:tblPr>
      <w:tblGrid>
        <w:gridCol w:w="1000"/>
        <w:gridCol w:w="878"/>
        <w:gridCol w:w="881"/>
        <w:gridCol w:w="211"/>
        <w:gridCol w:w="616"/>
        <w:gridCol w:w="109"/>
        <w:gridCol w:w="109"/>
        <w:gridCol w:w="109"/>
        <w:gridCol w:w="109"/>
        <w:gridCol w:w="255"/>
        <w:gridCol w:w="744"/>
        <w:gridCol w:w="186"/>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4.900% Senior Notes due 2030</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5.700% Senior Notes due 2035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Revolving Credit Facility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2026, the Company, as the parent guarantor, and VNOM Sub, Inc., as a guarantor, entered into the first amendment to the credit agreement (as amended, the “Revolving Credit Agreement”) with Viper Energy Partners LP, as borrower, the lenders and other guarantors named therein and Wells Fargo Bank, National Association, as administrative agent, which among other things (i) increased the total commitments provided by the credit facility under the Revolving Credit Agreement from $1.50 billion to $2.00 billion (such facility, the “Revolving Credit Facility”), and (ii) extended the maturity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date from June 12, 2030, to June 12, 2031. As of June 30, 2026, there was $95 million in outstanding borrowings and $1.91 billion available for future borrowings under the Revolving Credit Facility. The weighted average interest rates on the Revolving Credit Facility were 5.12% and 6.33% for the three months ended June 30, 2026 and 2025, respectively, and 5.16% and 6.42% for the six months ended June 30, 2026 and 2025,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As of June 30, 2026, the Company</w:t>
      </w:r>
      <w:r>
        <w:rPr>
          <w:color w:val="000000"/>
        </w:rPr>
        <w:t xml:space="preserve"> </w:t>
      </w:r>
      <w:r>
        <w:rPr>
          <w:rFonts w:ascii="Times New Roman;serif" w:hAnsi="Times New Roman;serif"/>
          <w:b w:val="false"/>
          <w:color w:val="000000"/>
          <w:sz w:val="20"/>
        </w:rPr>
        <w:t>was in compliance with all financial maintenance covenants under the Revolving Credit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in connection with the Sitio Acquisition, Former Viper, as guarantor, entered into a $500 million term loan credit agreement with the Operating Company, as borrower, and Goldman Sachs Bank USA, as administrative agent (the “Term Loan”). On August 19, 2025, the Term Loan was fully drawn and New Viper became a co-guarantor of the Term Loan. On February 13, 2026, the Term Loan was repaid in full using proceeds from the Non-Permian Divestiture.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a total of 191,382,620 shares of Class A Common Stock issued and outstanding and 164,789,844 shares of Class B Common Stock issued and outstanding. Additionally, at June 30, 2026, Tumbleweed Royalty IV, LLC (“TWR IV”) held 6,746,384 OpCo Units and the option, but not the obligation, to acquire an equivalent number of shares of the Company’s Class B Common Stock (the “TWR Class B Option”).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Members of New OpCo may require the Company to redeem all or a portion of the shares of the Company’s Class B Common Stock held by such member, together with an equal number of OpCo Units (one share of Class B Common Stock together with one OpCo Unit) in exchange for (i) an equivalent number of shares of the Company’s Class A Common Stock, or (ii) cash consideration subject to the terms and conditions included in the Amended and Restated Limited Liability Company Agreement of New OpCo. TWR IV may exchange its OpCo Units directly for an equivalent number of shares of the Company’s Class A Common Stock and any OpCo Units so exchanged will reduce the number of shares of Class B Common Stock subject to the TWR Class B Option.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2026 Secondary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4, 2026, the Company completed a secondary public offering with Diamondback, EnCap Energy Capital Fund X, L.P. (“EnCap”), TWR IV, Opps IX Source Holdings PT, L.P. (“Source Holdings”) and Opps IX Source Holdings II PT, L.P. (“Source Holdings II” and together with Source Holdings, the “Sitio OpCo Former Equity Holders”) (all selling stockholders collectively, the “Selling Stockholders”) and J.P. Morgan Securities LLC and Goldman Sachs &amp; Co. LLC, as underwriters (the “Underwriters”) (the “2026 Secondary Offering”). The 2026 Secondary Offering authorized the Selling Stockholders to sell an aggregate of (i) 17,391,304 shares of Class A Common Stock, and (ii) up to 2,608,696 shares of Class A Common Stock upon exercise of the Underwriters’ option to purchase additional shares of Class A Common Stock from certain Selling Stockholders at the public offering price of $45.90 per share, less underwriting discounts and commissions (the “Underwriter Option”). To effect the offering, (i) Diamondback, EnCap and the Sitio OpCo Former Equity Holders collectively exchanged 14,044,018 shares of the Company’s Class B Common Stock and an equivalent number of OpCo Units for 14,044,018 shares of the Company’s Class A Common Stock, and (ii) TWR IV exchanged 3,347,286 of its OpCo Units for an equivalent number of shares of the Company’s Class A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19, 2026, the Underwriters exercised a portion of the Underwriter Option and purchased an additional 954,809 shares of Class A Common Stock (the “Shoe Exercise”). To effect the offering of additional shares pursuant to the Shoe Exercise, Diamondback and the Sitio OpCo Former Equity Holders collectively exchanged 954,809 shares of the Company’s Class B Common Stock and an equivalent number of OpCo Units for 954,809 shares of the Company’s Class A Common Stock. Viper did not receive any proceeds from the sale of shares in the 2026 Secondary Offering or the Shoe Exercise. Pursuant to the Company’s registration rights agreements, the Company paid all expenses relating to the registration, offering and listing of the shares sold in the 2026 Secondary Offering and Shoe Exercise, except that the Selling Stockholders paid the discounts and commissions of the Underwriters, any transfer taxes and certain attorney’s fees.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beneficial ownership of Common Stock and OpCo Units as of June 30, 2026:</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66"/>
        <w:gridCol w:w="626"/>
        <w:gridCol w:w="630"/>
        <w:gridCol w:w="976"/>
        <w:gridCol w:w="626"/>
        <w:gridCol w:w="628"/>
        <w:gridCol w:w="109"/>
        <w:gridCol w:w="109"/>
        <w:gridCol w:w="109"/>
        <w:gridCol w:w="409"/>
        <w:gridCol w:w="299"/>
        <w:gridCol w:w="745"/>
        <w:gridCol w:w="109"/>
        <w:gridCol w:w="109"/>
        <w:gridCol w:w="109"/>
        <w:gridCol w:w="849"/>
        <w:gridCol w:w="514"/>
        <w:gridCol w:w="508"/>
        <w:gridCol w:w="109"/>
        <w:gridCol w:w="109"/>
        <w:gridCol w:w="109"/>
        <w:gridCol w:w="382"/>
        <w:gridCol w:w="285"/>
        <w:gridCol w:w="781"/>
      </w:tblGrid>
      <w:tr>
        <w:trPr/>
        <w:tc>
          <w:tcPr>
            <w:tcW w:w="96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Shares of Common Stock Beneficially 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Percentage Ownership</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OpCo Units Beneficially 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Percentage Ownership</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Public equity holders of Class A Common Stock</w:t>
            </w:r>
          </w:p>
        </w:tc>
        <w:tc>
          <w:tcPr>
            <w:tcW w:w="1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191,382,620 </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and subsidiaries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191,382,620 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Diamondback and subsidiaries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142,156,718 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142,156,718 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Sitio OpCo Former Equity Holders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21,317,596 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21,317,596 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TWR IV</w:t>
            </w:r>
            <w:r>
              <w:rPr>
                <w:rFonts w:ascii="Times New Roman;serif" w:hAnsi="Times New Roman;serif"/>
                <w:b w:val="false"/>
                <w:color w:val="000000"/>
                <w:sz w:val="13"/>
              </w:rPr>
              <w:t>(1)</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6,746,384 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6,746,384 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EnCap</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1,315,530 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1,315,530 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Total Ownership</w:t>
            </w:r>
            <w:r>
              <w:rPr>
                <w:rFonts w:ascii="Times New Roman;serif" w:hAnsi="Times New Roman;serif"/>
                <w:b/>
                <w:color w:val="000000"/>
                <w:sz w:val="12"/>
              </w:rPr>
              <w:t>(1)</w:t>
            </w:r>
          </w:p>
        </w:tc>
        <w:tc>
          <w:tcPr>
            <w:tcW w:w="16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362,918,848 </w:t>
            </w:r>
          </w:p>
        </w:tc>
        <w:tc>
          <w:tcPr>
            <w:tcW w:w="6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362,918,848 </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(1)On a fully diluted basis, assuming TWR IV exercises the TWR Class B Option.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2025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February 3, 2025, the Company completed an underwritten public offering of 28,336,000 shares of Class A Common Stock, at a price to the public of $44.50 per share for total net proceeds of approximately $1.2 billion, after the underwriters’ discount and transaction costs (the “2025 Equity Offering”). </w:t>
      </w:r>
      <w:r>
        <w:rPr>
          <w:rFonts w:ascii="Times New Roman;serif" w:hAnsi="Times New Roman;serif"/>
          <w:b w:val="false"/>
          <w:color w:val="000000"/>
          <w:sz w:val="20"/>
          <w:shd w:fill="FFFFFF" w:val="clear"/>
        </w:rPr>
        <w:t xml:space="preserve">The Company used the net proceeds from the </w:t>
      </w:r>
      <w:r>
        <w:rPr>
          <w:rFonts w:ascii="Times New Roman;serif" w:hAnsi="Times New Roman;serif"/>
          <w:b w:val="false"/>
          <w:color w:val="000000"/>
          <w:sz w:val="20"/>
        </w:rPr>
        <w:t>2025 Equity Offering</w:t>
      </w:r>
      <w:r>
        <w:rPr>
          <w:color w:val="000000"/>
          <w:shd w:fill="FFFFFF" w:val="clear"/>
        </w:rPr>
        <w:t xml:space="preserve"> </w:t>
      </w:r>
      <w:r>
        <w:rPr>
          <w:rFonts w:ascii="Times New Roman;serif" w:hAnsi="Times New Roman;serif"/>
          <w:b w:val="false"/>
          <w:color w:val="000000"/>
          <w:sz w:val="20"/>
          <w:shd w:fill="FFFFFF" w:val="clear"/>
        </w:rPr>
        <w:t>to fund the cash consideration for certain acquisitions and for general corporate purposes.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On February 18, 2026, the Company’s board of directors</w:t>
      </w:r>
      <w:r>
        <w:rPr>
          <w:color w:val="000000"/>
        </w:rPr>
        <w:t xml:space="preserve"> </w:t>
      </w:r>
      <w:r>
        <w:rPr>
          <w:rFonts w:ascii="Times New Roman;serif" w:hAnsi="Times New Roman;serif"/>
          <w:b w:val="false"/>
          <w:color w:val="000000"/>
          <w:sz w:val="20"/>
        </w:rPr>
        <w:t>increased the authorization</w:t>
      </w:r>
      <w:r>
        <w:rPr>
          <w:color w:val="000000"/>
          <w:shd w:fill="FFFFFF" w:val="clear"/>
        </w:rPr>
        <w:t xml:space="preserve"> </w:t>
      </w:r>
      <w:r>
        <w:rPr>
          <w:rFonts w:ascii="Times New Roman;serif" w:hAnsi="Times New Roman;serif"/>
          <w:b w:val="false"/>
          <w:color w:val="000000"/>
          <w:sz w:val="20"/>
          <w:shd w:fill="FFFFFF" w:val="clear"/>
        </w:rPr>
        <w:t xml:space="preserve">under the Company’s repurchase program to </w:t>
      </w:r>
      <w:r>
        <w:rPr>
          <w:rFonts w:ascii="Times New Roman;serif" w:hAnsi="Times New Roman;serif"/>
          <w:b w:val="false"/>
          <w:color w:val="000000"/>
          <w:sz w:val="20"/>
        </w:rPr>
        <w:t>$1.75 billion, excluding excise tax.</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repurchased approximately $132 million of its Class A Common Stock. During the six months ended June 30, 2026, the Company repurchased approximately (i) $182 million of its Class A Common Stock, and (ii) $46 million of its OpCo Units related to the repurchase of 1,000,000 OpCo Units from affiliates of Oaktree Capital Management, L.P. (“Oaktree”) in conjunction with the 2026 Secondary Offering. Concurrently, a corresponding number of shares of the Company’s Class B Common Stock owned by Oaktree were canceled. The Company repurchased approximately $10 million of its Class A Common Stock during both the three and six months ended June 30, 2025. As of June 30, 2026, approximately $1.01 billion remained available under the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board of directors of the Company has established a dividend policy, whereby the Operating Company distributes all or a portion of its available cash on a quarterly basis to holders of the OpCo Units. Historically, Viper has in turn distributed all or a portion of the available cash it receives from the Operating Company to holders of its Class A Common Stock through base and variable dividends that take into account capital returned to stockholders via its repurchase program. For subsequent changes to the Company’s return of capital commitment and dividend policy, see Note 13—</w:t>
      </w:r>
      <w:hyperlink w:anchor="ic47f36a9806d4b1abad08073353cc304_79">
        <w:r>
          <w:rPr>
            <w:rStyle w:val="InternetLink"/>
            <w:rFonts w:ascii="Times New Roman;serif" w:hAnsi="Times New Roman;serif"/>
            <w:b w:val="false"/>
            <w:color w:val="0000FF"/>
            <w:sz w:val="20"/>
            <w:u w:val="single"/>
          </w:rPr>
          <w:t>Subsequent Events</w:t>
        </w:r>
      </w:hyperlink>
      <w:r>
        <w:rPr>
          <w:rFonts w:ascii="Times New Roman;serif" w:hAnsi="Times New Roman;serif"/>
          <w:b w:val="false"/>
          <w:color w:val="000000"/>
          <w:sz w:val="20"/>
        </w:rPr>
        <w:t>. The Company’s available cash and the available cash of the Operating Company for each quarter is determined by the board of directors following the end of such quarter.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expects that its available cash will generally equal the Adjusted EBITDA attributable to the Company for the applicable quarter, less cash needed for income taxes payable; debt service, contractual obligations, fixed charges and reserves for future operating or capital needs that the Company’s board of directors deems necessary or appropriate; lease bonus income (net of applicable taxes); dividend equivalent rights payments; preferred dividends, if any; and further adjusted for the tax impact from divestitures. For a detailed description of the Company’s and the Operating Company’s dividend policy, see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"i636f90b9a2bf4a46ad5fe64678400ed7_133"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Note 7—Stockholders’ Equity—Cash Dividends in the Company’s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percentage of cash available for di</w:t>
      </w:r>
      <w:r>
        <w:rPr>
          <w:rFonts w:ascii="Times New Roman;serif" w:hAnsi="Times New Roman;serif"/>
          <w:b w:val="false"/>
          <w:color w:val="000000"/>
          <w:sz w:val="20"/>
        </w:rPr>
        <w:t>stribution by the Operating Company pursuant to the distribution policy may change quarterly to enable the Operating Company to retain cash flow to help strengthen the Company’s balance sheet while also expanding the return of capital program through the Company’s repurchase program. The Company i</w:t>
      </w:r>
      <w:r>
        <w:rPr>
          <w:rFonts w:ascii="Times New Roman;serif" w:hAnsi="Times New Roman;serif"/>
          <w:b w:val="false"/>
          <w:color w:val="000000"/>
          <w:sz w:val="20"/>
          <w:shd w:fill="FFFFFF" w:val="clear"/>
        </w:rPr>
        <w:t>s not required to pay dividends to the holders of its Class A Common Stock on a quarterly or other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cash dividends paid during the periods presented (in millions except per share amounts):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20"/>
        <w:gridCol w:w="193"/>
        <w:gridCol w:w="196"/>
        <w:gridCol w:w="109"/>
        <w:gridCol w:w="109"/>
        <w:gridCol w:w="109"/>
        <w:gridCol w:w="212"/>
        <w:gridCol w:w="505"/>
        <w:gridCol w:w="118"/>
        <w:gridCol w:w="109"/>
        <w:gridCol w:w="109"/>
        <w:gridCol w:w="109"/>
        <w:gridCol w:w="409"/>
        <w:gridCol w:w="880"/>
        <w:gridCol w:w="229"/>
        <w:gridCol w:w="109"/>
        <w:gridCol w:w="109"/>
        <w:gridCol w:w="109"/>
        <w:gridCol w:w="227"/>
        <w:gridCol w:w="540"/>
        <w:gridCol w:w="126"/>
        <w:gridCol w:w="109"/>
        <w:gridCol w:w="109"/>
        <w:gridCol w:w="109"/>
        <w:gridCol w:w="300"/>
        <w:gridCol w:w="647"/>
        <w:gridCol w:w="169"/>
        <w:gridCol w:w="109"/>
        <w:gridCol w:w="109"/>
        <w:gridCol w:w="109"/>
        <w:gridCol w:w="329"/>
        <w:gridCol w:w="329"/>
        <w:gridCol w:w="330"/>
        <w:gridCol w:w="109"/>
        <w:gridCol w:w="109"/>
        <w:gridCol w:w="109"/>
        <w:gridCol w:w="372"/>
        <w:gridCol w:w="372"/>
        <w:gridCol w:w="373"/>
        <w:gridCol w:w="109"/>
        <w:gridCol w:w="109"/>
        <w:gridCol w:w="109"/>
        <w:gridCol w:w="242"/>
        <w:gridCol w:w="242"/>
        <w:gridCol w:w="356"/>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per OpCo Unit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Operating Company Distributions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per Class A Common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r>
      <w:tr>
        <w:trPr/>
        <w:tc>
          <w:tcPr>
            <w:tcW w:w="10205" w:type="dxa"/>
            <w:gridSpan w:val="45"/>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2026</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Q4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February 18,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March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March 12, 2026</w:t>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April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21, 2026</w:t>
            </w:r>
          </w:p>
        </w:tc>
      </w:tr>
      <w:tr>
        <w:trPr/>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2025</w:t>
            </w:r>
          </w:p>
        </w:tc>
      </w:tr>
      <w:tr>
        <w:trPr/>
        <w:tc>
          <w:tcPr>
            <w:tcW w:w="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January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March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March 13, 2025</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May 22, 2025</w:t>
            </w:r>
          </w:p>
        </w:tc>
      </w:tr>
      <w:tr>
        <w:trPr/>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Non-controlling interest in the accompanying condensed consolidated financial statements represents the ownership interests of Diamondback, </w:t>
      </w:r>
      <w:r>
        <w:rPr>
          <w:rFonts w:ascii="Times New Roman;serif" w:hAnsi="Times New Roman;serif"/>
          <w:b w:val="false"/>
          <w:color w:val="000000"/>
          <w:sz w:val="20"/>
        </w:rPr>
        <w:t>Sitio OpCo Former Equity Holders,</w:t>
      </w:r>
      <w:r>
        <w:rPr>
          <w:color w:val="000000"/>
          <w:shd w:fill="FFFFFF" w:val="clear"/>
        </w:rPr>
        <w:t xml:space="preserve"> </w:t>
      </w:r>
      <w:r>
        <w:rPr>
          <w:rFonts w:ascii="Times New Roman;serif" w:hAnsi="Times New Roman;serif"/>
          <w:b w:val="false"/>
          <w:color w:val="000000"/>
          <w:sz w:val="20"/>
        </w:rPr>
        <w:t>TWR IV and EnCap</w:t>
      </w:r>
      <w:r>
        <w:rPr>
          <w:color w:val="000000"/>
          <w:shd w:fill="FFFFFF" w:val="clear"/>
        </w:rPr>
        <w:t xml:space="preserve"> </w:t>
      </w:r>
      <w:r>
        <w:rPr>
          <w:rFonts w:ascii="Times New Roman;serif" w:hAnsi="Times New Roman;serif"/>
          <w:b w:val="false"/>
          <w:color w:val="000000"/>
          <w:sz w:val="20"/>
          <w:shd w:fill="FFFFFF" w:val="clear"/>
        </w:rPr>
        <w:t>in the net assets of the Operating Company. The non-controlling interests’ relative ownership in the Operating Company can change when transactions impacting the Operating Company’s outstanding equity occur. These changes in ownership percentage</w:t>
      </w:r>
      <w:r>
        <w:rPr>
          <w:color w:val="000000"/>
        </w:rPr>
        <w:t xml:space="preserve"> </w:t>
      </w:r>
      <w:r>
        <w:rPr>
          <w:rFonts w:ascii="Times New Roman;serif" w:hAnsi="Times New Roman;serif"/>
          <w:b w:val="false"/>
          <w:color w:val="000000"/>
          <w:sz w:val="20"/>
          <w:shd w:fill="FFFFFF" w:val="clear"/>
        </w:rPr>
        <w:t>result in adjustments to non-controlling interest and stockholders’ equity, tax effected, but do not impact earnings.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changes in the Company’s stockholders’ equity due to changes in ownership interest of subsidiaries during the period: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226"/>
        <w:gridCol w:w="1706"/>
        <w:gridCol w:w="1719"/>
        <w:gridCol w:w="237"/>
        <w:gridCol w:w="524"/>
        <w:gridCol w:w="122"/>
        <w:gridCol w:w="122"/>
        <w:gridCol w:w="122"/>
        <w:gridCol w:w="122"/>
        <w:gridCol w:w="237"/>
        <w:gridCol w:w="524"/>
        <w:gridCol w:w="122"/>
        <w:gridCol w:w="109"/>
        <w:gridCol w:w="109"/>
        <w:gridCol w:w="109"/>
        <w:gridCol w:w="226"/>
        <w:gridCol w:w="501"/>
        <w:gridCol w:w="116"/>
        <w:gridCol w:w="116"/>
        <w:gridCol w:w="116"/>
        <w:gridCol w:w="116"/>
        <w:gridCol w:w="226"/>
        <w:gridCol w:w="501"/>
        <w:gridCol w:w="177"/>
      </w:tblGrid>
      <w:tr>
        <w:trPr/>
        <w:tc>
          <w:tcPr>
            <w:tcW w:w="222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Company</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from the non-controlling interest:</w:t>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additional paid-in capital due to exchange of Class B Common Stock and OpCo Units into shares of Class A Common Stock</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transfers to the non-controlling interest, net</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from net income (loss) attributable to the Company’s stockholders and transfers with non-controlling interest</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EARNINGS PER COMMON SHARE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income (loss) per common share on the condensed consolidated statements of operations is based on the net income (loss) attributable to the Company’s Class A Common Stock for the three and six months ended June 30, 2026, and 2025,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Basic and diluted earnings per common share are calculated using the two-class method. The two-class method is an earnings allocation proportional to the respective ownership among holders of Class A Common Stock and participating securities. Basic net income (loss) per common share is calculated by dividing net income (loss) by the weighted-average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Class A Common Stock outstanding during the period. Diluted net income (loss) per common share gives effect, when applicable, to unvested restricted stock units and performance restricted stock units granted under the LTIP.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the components of basic and diluted earnings per common share is presented in the table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975"/>
        <w:gridCol w:w="1610"/>
        <w:gridCol w:w="1624"/>
        <w:gridCol w:w="259"/>
        <w:gridCol w:w="610"/>
        <w:gridCol w:w="127"/>
        <w:gridCol w:w="127"/>
        <w:gridCol w:w="127"/>
        <w:gridCol w:w="127"/>
        <w:gridCol w:w="259"/>
        <w:gridCol w:w="610"/>
        <w:gridCol w:w="127"/>
        <w:gridCol w:w="109"/>
        <w:gridCol w:w="109"/>
        <w:gridCol w:w="109"/>
        <w:gridCol w:w="241"/>
        <w:gridCol w:w="585"/>
        <w:gridCol w:w="118"/>
        <w:gridCol w:w="118"/>
        <w:gridCol w:w="118"/>
        <w:gridCol w:w="118"/>
        <w:gridCol w:w="241"/>
        <w:gridCol w:w="585"/>
        <w:gridCol w:w="172"/>
      </w:tblGrid>
      <w:tr>
        <w:trPr/>
        <w:tc>
          <w:tcPr>
            <w:tcW w:w="197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5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period</w:t>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distributed and undistributed earnings allocated to participating securities</w:t>
            </w:r>
            <w:r>
              <w:rPr>
                <w:rFonts w:ascii="Times New Roman;serif" w:hAnsi="Times New Roman;serif"/>
                <w:b w:val="false"/>
                <w:color w:val="000000"/>
                <w:sz w:val="13"/>
              </w:rPr>
              <w:t>(1)</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Potential common shares issuable</w:t>
            </w:r>
            <w:r>
              <w:rPr>
                <w:rFonts w:ascii="Times New Roman;serif" w:hAnsi="Times New Roman;serif"/>
                <w:b w:val="false"/>
                <w:color w:val="000000"/>
                <w:sz w:val="13"/>
              </w:rPr>
              <w:t>(2)</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193,733 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131,156 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187,553 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126,160 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2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7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(1)Unvested restricted stock units and performance restricted stock units that contain non-forfeitable dividend equivalent rights are considered participating securities and are therefore included in the earnings per share calculation pursuant to the two-class method.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(2)For the three and six months ended June 30, 2026, and 2025, there were no other significant potential common shares excluded from the computation of diluted earnings per common share.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provision for (benefit from) income taxes and the effective income tax rate for the dates indicated:</w:t>
      </w:r>
    </w:p>
    <w:p>
      <w:pPr>
        <w:pStyle w:val="TextBody"/>
        <w:bidi w:val="0"/>
        <w:spacing w:before="0" w:after="0"/>
        <w:ind w:left="0" w:right="0" w:firstLine="720"/>
        <w:jc w:val="both"/>
        <w:rPr/>
      </w:pPr>
      <w:r>
        <w:rPr/>
      </w:r>
    </w:p>
    <w:tbl>
      <w:tblPr>
        <w:tblW w:w="8478" w:type="dxa"/>
        <w:jc w:val="left"/>
        <w:tblInd w:w="0" w:type="dxa"/>
        <w:tblLayout w:type="fixed"/>
        <w:tblCellMar>
          <w:top w:w="28" w:type="dxa"/>
          <w:left w:w="28" w:type="dxa"/>
          <w:bottom w:w="28" w:type="dxa"/>
          <w:right w:w="28" w:type="dxa"/>
        </w:tblCellMar>
      </w:tblPr>
      <w:tblGrid>
        <w:gridCol w:w="1243"/>
        <w:gridCol w:w="1094"/>
        <w:gridCol w:w="1098"/>
        <w:gridCol w:w="270"/>
        <w:gridCol w:w="462"/>
        <w:gridCol w:w="347"/>
        <w:gridCol w:w="139"/>
        <w:gridCol w:w="139"/>
        <w:gridCol w:w="139"/>
        <w:gridCol w:w="270"/>
        <w:gridCol w:w="328"/>
        <w:gridCol w:w="347"/>
        <w:gridCol w:w="109"/>
        <w:gridCol w:w="109"/>
        <w:gridCol w:w="109"/>
        <w:gridCol w:w="222"/>
        <w:gridCol w:w="491"/>
        <w:gridCol w:w="285"/>
        <w:gridCol w:w="114"/>
        <w:gridCol w:w="114"/>
        <w:gridCol w:w="114"/>
        <w:gridCol w:w="222"/>
        <w:gridCol w:w="380"/>
        <w:gridCol w:w="333"/>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3"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for tax rate)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rates for the three and six months ended June 30, 2026, differed from the amounts computed by applying the United States federal statutory tax rate to pre-tax income for the periods primarily due to net income attributable to the non-controlling interest and changes to the estimated deferred taxes recognized in connection with the closing of the Sitio Acquisition. The Company’s effective income tax rates for the three and six months ended June 30, 2025, differed from the amounts computed by applying the United States federal statutory tax rate to pre-tax income for the periods primarily due to net income attributable to the non-controlling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an $85 million increase in its deferred tax asset through additional paid-in capital, including $61 million in connection with the 2026 Secondary Offering.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DERIVATIVES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historically has used fixed price swap contracts, fixed price basis swap contracts, deferred premium puts and costless collars with corresponding put and call options to reduce price volatility associated with certain of its royalty income. At June 30, 2026, the Company had puts, basis puts, put spreads, roll swaps, costless collars and fixed price basis swaps outstanding.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the Revolving Credit Facility, each of whom has been deemed an acceptable credit risk. As such, collateral is not required from either the counterparties or the Company on its outstanding commodity derivative contracts. Market risks involved in the Company’s use of derivative instruments relate to its potential inability to realize the benefits of any increases in commodity prices above the prices established by its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the following outstanding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31"/>
        <w:gridCol w:w="291"/>
        <w:gridCol w:w="292"/>
        <w:gridCol w:w="109"/>
        <w:gridCol w:w="109"/>
        <w:gridCol w:w="109"/>
        <w:gridCol w:w="297"/>
        <w:gridCol w:w="297"/>
        <w:gridCol w:w="298"/>
        <w:gridCol w:w="109"/>
        <w:gridCol w:w="109"/>
        <w:gridCol w:w="109"/>
        <w:gridCol w:w="266"/>
        <w:gridCol w:w="266"/>
        <w:gridCol w:w="267"/>
        <w:gridCol w:w="109"/>
        <w:gridCol w:w="109"/>
        <w:gridCol w:w="109"/>
        <w:gridCol w:w="238"/>
        <w:gridCol w:w="238"/>
        <w:gridCol w:w="239"/>
        <w:gridCol w:w="109"/>
        <w:gridCol w:w="109"/>
        <w:gridCol w:w="109"/>
        <w:gridCol w:w="241"/>
        <w:gridCol w:w="241"/>
        <w:gridCol w:w="245"/>
        <w:gridCol w:w="109"/>
        <w:gridCol w:w="109"/>
        <w:gridCol w:w="109"/>
        <w:gridCol w:w="352"/>
        <w:gridCol w:w="352"/>
        <w:gridCol w:w="356"/>
        <w:gridCol w:w="109"/>
        <w:gridCol w:w="109"/>
        <w:gridCol w:w="109"/>
        <w:gridCol w:w="109"/>
        <w:gridCol w:w="224"/>
        <w:gridCol w:w="533"/>
        <w:gridCol w:w="125"/>
        <w:gridCol w:w="109"/>
        <w:gridCol w:w="109"/>
        <w:gridCol w:w="109"/>
        <w:gridCol w:w="225"/>
        <w:gridCol w:w="537"/>
        <w:gridCol w:w="126"/>
        <w:gridCol w:w="109"/>
        <w:gridCol w:w="109"/>
        <w:gridCol w:w="109"/>
        <w:gridCol w:w="109"/>
        <w:gridCol w:w="109"/>
        <w:gridCol w:w="109"/>
        <w:gridCol w:w="109"/>
        <w:gridCol w:w="167"/>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Swaps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Type of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Bbls/MMBtu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7"/>
              </w:rPr>
              <w:t>Weighted Average Differential</w:t>
            </w:r>
            <w:r>
              <w:rPr>
                <w:rFonts w:ascii="Times New Roman;serif" w:hAnsi="Times New Roman;serif"/>
                <w:b/>
                <w:color w:val="000000"/>
                <w:sz w:val="11"/>
              </w:rPr>
              <w:t>(2)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Weighted Average Floor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Weighted Average Ceiling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Roll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$3.97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3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$(1.99)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Costless Collar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Henry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(1)</w:t>
      </w:r>
      <w:r>
        <w:rPr>
          <w:rFonts w:ascii="Times New Roman;serif" w:hAnsi="Times New Roman;serif"/>
          <w:b w:val="false"/>
          <w:color w:val="000000"/>
          <w:sz w:val="20"/>
        </w:rPr>
        <w:t>T</w:t>
      </w:r>
      <w:r>
        <w:rPr>
          <w:rFonts w:ascii="Times New Roman;serif" w:hAnsi="Times New Roman;serif"/>
          <w:b w:val="false"/>
          <w:color w:val="000000"/>
          <w:sz w:val="18"/>
        </w:rPr>
        <w:t xml:space="preserve">he Company’s fixed price basis swaps for natural gas are for the spread between the Waha Hub natural gas price and the Henry Hub natural gas price.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weighted average differential represents the amount of reduction to the WTI Cushing oil price and the Waha Hub natural gas price for the notional volumes covered by the basis swap contracts.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0"/>
        <w:gridCol w:w="298"/>
        <w:gridCol w:w="299"/>
        <w:gridCol w:w="109"/>
        <w:gridCol w:w="109"/>
        <w:gridCol w:w="109"/>
        <w:gridCol w:w="303"/>
        <w:gridCol w:w="303"/>
        <w:gridCol w:w="304"/>
        <w:gridCol w:w="109"/>
        <w:gridCol w:w="109"/>
        <w:gridCol w:w="109"/>
        <w:gridCol w:w="274"/>
        <w:gridCol w:w="274"/>
        <w:gridCol w:w="276"/>
        <w:gridCol w:w="109"/>
        <w:gridCol w:w="109"/>
        <w:gridCol w:w="109"/>
        <w:gridCol w:w="253"/>
        <w:gridCol w:w="253"/>
        <w:gridCol w:w="254"/>
        <w:gridCol w:w="109"/>
        <w:gridCol w:w="109"/>
        <w:gridCol w:w="109"/>
        <w:gridCol w:w="246"/>
        <w:gridCol w:w="246"/>
        <w:gridCol w:w="250"/>
        <w:gridCol w:w="109"/>
        <w:gridCol w:w="109"/>
        <w:gridCol w:w="109"/>
        <w:gridCol w:w="247"/>
        <w:gridCol w:w="247"/>
        <w:gridCol w:w="249"/>
        <w:gridCol w:w="109"/>
        <w:gridCol w:w="109"/>
        <w:gridCol w:w="109"/>
        <w:gridCol w:w="210"/>
        <w:gridCol w:w="526"/>
        <w:gridCol w:w="116"/>
        <w:gridCol w:w="109"/>
        <w:gridCol w:w="109"/>
        <w:gridCol w:w="109"/>
        <w:gridCol w:w="197"/>
        <w:gridCol w:w="560"/>
        <w:gridCol w:w="109"/>
        <w:gridCol w:w="109"/>
        <w:gridCol w:w="109"/>
        <w:gridCol w:w="109"/>
        <w:gridCol w:w="204"/>
        <w:gridCol w:w="578"/>
        <w:gridCol w:w="173"/>
      </w:tblGrid>
      <w:tr>
        <w:trPr/>
        <w:tc>
          <w:tcPr>
            <w:tcW w:w="3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Put Spread</w:t>
            </w:r>
          </w:p>
        </w:tc>
      </w:tr>
      <w:tr>
        <w:trPr/>
        <w:tc>
          <w:tcPr>
            <w:tcW w:w="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Type of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Bbls/MMBtu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Average</w:t>
              <w:br/>
              <w:t>Strike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Average</w:t>
              <w:br/>
              <w:t>Deferred 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Floor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Short Put Price</w:t>
            </w:r>
          </w:p>
        </w:tc>
      </w:tr>
      <w:tr>
        <w:trPr/>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Mar.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WTI -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 Brent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Contingent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completed multiple acquisitions during 2024 with TWR IV, TWR IV SellCo Parent, LLC, Tumbleweed-Q Royalties, LLC, MC TWR Royalties, LP and MC TWR Intermediate, LLC. The terms of these acquisitions included provisions for contingent cash consideration based on the average price of WTI sweet crude oil prompt month futures contracts for the calendar year 2025 (the “2026 WTI Contingent Liability”), which resulted in an aggregate payment of $20 million in January 2026. The changes in fair value of the 2026 WTI Contingent Liability were recognized in “Gain (loss) on derivative instruments, net” on the Company’s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Balance Sheet Offsetting of Derivative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Changes in the fair value of the Company’s derivative instruments are recognized in “Gain (loss) on derivative instruments, net” on the Company’s condensed consolidated statements of operations. See Note 11—</w:t>
      </w:r>
      <w:hyperlink w:anchor="ic47f36a9806d4b1abad08073353cc304_73">
        <w:r>
          <w:rPr>
            <w:rStyle w:val="InternetLink"/>
            <w:rFonts w:ascii="Times New Roman;serif" w:hAnsi="Times New Roman;serif"/>
            <w:b w:val="false"/>
            <w:color w:val="0000FF"/>
            <w:sz w:val="20"/>
            <w:u w:val="single"/>
          </w:rPr>
          <w:t>Fair Value Measurements</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Gains and Losses on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included in the condensed consolidated statements of operations and the net cash receipts (payments) on derivatives for the periods presented:</w:t>
      </w:r>
    </w:p>
    <w:p>
      <w:pPr>
        <w:pStyle w:val="TextBody"/>
        <w:bidi w:val="0"/>
        <w:spacing w:before="0" w:after="0"/>
        <w:ind w:left="0" w:right="0" w:firstLine="720"/>
        <w:jc w:val="both"/>
        <w:rPr/>
      </w:pPr>
      <w:r>
        <w:rPr/>
      </w:r>
    </w:p>
    <w:tbl>
      <w:tblPr>
        <w:tblW w:w="8734" w:type="dxa"/>
        <w:jc w:val="left"/>
        <w:tblInd w:w="0" w:type="dxa"/>
        <w:tblLayout w:type="fixed"/>
        <w:tblCellMar>
          <w:top w:w="28" w:type="dxa"/>
          <w:left w:w="28" w:type="dxa"/>
          <w:bottom w:w="28" w:type="dxa"/>
          <w:right w:w="28" w:type="dxa"/>
        </w:tblCellMar>
      </w:tblPr>
      <w:tblGrid>
        <w:gridCol w:w="1335"/>
        <w:gridCol w:w="1175"/>
        <w:gridCol w:w="1179"/>
        <w:gridCol w:w="285"/>
        <w:gridCol w:w="548"/>
        <w:gridCol w:w="147"/>
        <w:gridCol w:w="147"/>
        <w:gridCol w:w="147"/>
        <w:gridCol w:w="147"/>
        <w:gridCol w:w="285"/>
        <w:gridCol w:w="589"/>
        <w:gridCol w:w="147"/>
        <w:gridCol w:w="109"/>
        <w:gridCol w:w="109"/>
        <w:gridCol w:w="109"/>
        <w:gridCol w:w="277"/>
        <w:gridCol w:w="474"/>
        <w:gridCol w:w="143"/>
        <w:gridCol w:w="143"/>
        <w:gridCol w:w="143"/>
        <w:gridCol w:w="143"/>
        <w:gridCol w:w="277"/>
        <w:gridCol w:w="474"/>
        <w:gridCol w:w="202"/>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(payments) on derivatives:</w:t>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Measured at Fair Value on a 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discussed in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"i636f90b9a2bf4a46ad5fe64678400ed7_145"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Note 11—Fair Value Measurements in the Company’s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 certain assets and liabilities are reported at fair value on a recurring basis on the Company’s condensed consolidated balance sheets, including the Company’s commodity derivative instruments and in 2025, the 2026 WTI Contingent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commodity derivative contracts are measured internally using established commodity futures price strips for the underlying commodity provided by a reputable third-party, the contracted notional volumes and time to maturity. The net amounts are classified as current or noncurrent based on their anticipated settlement dates. The fair value of the 2026 WTI Contingent Liability was estimated using observable market data and a Monte Carlo pricing model, which are considered Level 2 inputs in the fair value hierarchy.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following tables provide (i) the condensed consolidated balance sheet classification where the Company’s commodity derivative instrument assets and liabilities and for 2025, the 2026 WTI Contingent Liability are recorded, (ii) fair value measurement information, (iii) the gross amounts of recognized assets and liabilities, (iv) the amounts offset under master netting arrangements with counterparties, and (v) the resulting net amounts presented in the Company’s condensed consolidated balance sheets </w:t>
      </w:r>
      <w:r>
        <w:rPr>
          <w:rFonts w:ascii="Times New Roman;serif" w:hAnsi="Times New Roman;serif"/>
          <w:b w:val="false"/>
          <w:color w:val="000000"/>
          <w:sz w:val="20"/>
          <w:shd w:fill="FFFFFF" w:val="clear"/>
        </w:rPr>
        <w:t>as of June 30, 2026, and December 31, 2025:</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75"/>
        <w:gridCol w:w="593"/>
        <w:gridCol w:w="594"/>
        <w:gridCol w:w="109"/>
        <w:gridCol w:w="109"/>
        <w:gridCol w:w="109"/>
        <w:gridCol w:w="211"/>
        <w:gridCol w:w="406"/>
        <w:gridCol w:w="109"/>
        <w:gridCol w:w="109"/>
        <w:gridCol w:w="109"/>
        <w:gridCol w:w="109"/>
        <w:gridCol w:w="211"/>
        <w:gridCol w:w="361"/>
        <w:gridCol w:w="109"/>
        <w:gridCol w:w="109"/>
        <w:gridCol w:w="109"/>
        <w:gridCol w:w="109"/>
        <w:gridCol w:w="211"/>
        <w:gridCol w:w="406"/>
        <w:gridCol w:w="109"/>
        <w:gridCol w:w="109"/>
        <w:gridCol w:w="109"/>
        <w:gridCol w:w="109"/>
        <w:gridCol w:w="323"/>
        <w:gridCol w:w="553"/>
        <w:gridCol w:w="166"/>
        <w:gridCol w:w="109"/>
        <w:gridCol w:w="109"/>
        <w:gridCol w:w="109"/>
        <w:gridCol w:w="465"/>
        <w:gridCol w:w="830"/>
        <w:gridCol w:w="241"/>
        <w:gridCol w:w="109"/>
        <w:gridCol w:w="109"/>
        <w:gridCol w:w="109"/>
        <w:gridCol w:w="454"/>
        <w:gridCol w:w="875"/>
        <w:gridCol w:w="341"/>
      </w:tblGrid>
      <w:tr>
        <w:trPr/>
        <w:tc>
          <w:tcPr>
            <w:tcW w:w="6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1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1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40"/>
        <w:gridCol w:w="650"/>
        <w:gridCol w:w="652"/>
        <w:gridCol w:w="109"/>
        <w:gridCol w:w="109"/>
        <w:gridCol w:w="109"/>
        <w:gridCol w:w="211"/>
        <w:gridCol w:w="406"/>
        <w:gridCol w:w="109"/>
        <w:gridCol w:w="109"/>
        <w:gridCol w:w="109"/>
        <w:gridCol w:w="109"/>
        <w:gridCol w:w="211"/>
        <w:gridCol w:w="361"/>
        <w:gridCol w:w="109"/>
        <w:gridCol w:w="109"/>
        <w:gridCol w:w="109"/>
        <w:gridCol w:w="109"/>
        <w:gridCol w:w="211"/>
        <w:gridCol w:w="406"/>
        <w:gridCol w:w="109"/>
        <w:gridCol w:w="109"/>
        <w:gridCol w:w="109"/>
        <w:gridCol w:w="109"/>
        <w:gridCol w:w="312"/>
        <w:gridCol w:w="534"/>
        <w:gridCol w:w="161"/>
        <w:gridCol w:w="109"/>
        <w:gridCol w:w="109"/>
        <w:gridCol w:w="109"/>
        <w:gridCol w:w="426"/>
        <w:gridCol w:w="819"/>
        <w:gridCol w:w="222"/>
        <w:gridCol w:w="109"/>
        <w:gridCol w:w="109"/>
        <w:gridCol w:w="109"/>
        <w:gridCol w:w="433"/>
        <w:gridCol w:w="836"/>
        <w:gridCol w:w="325"/>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0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2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(2026 WTI Contingent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Not Recorded at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ind w:left="0" w:right="0" w:firstLine="720"/>
        <w:jc w:val="both"/>
        <w:rPr/>
      </w:pPr>
      <w:r>
        <w:rPr/>
      </w:r>
    </w:p>
    <w:tbl>
      <w:tblPr>
        <w:tblW w:w="6019" w:type="dxa"/>
        <w:jc w:val="left"/>
        <w:tblInd w:w="0" w:type="dxa"/>
        <w:tblLayout w:type="fixed"/>
        <w:tblCellMar>
          <w:top w:w="28" w:type="dxa"/>
          <w:left w:w="28" w:type="dxa"/>
          <w:bottom w:w="28" w:type="dxa"/>
          <w:right w:w="28" w:type="dxa"/>
        </w:tblCellMar>
      </w:tblPr>
      <w:tblGrid>
        <w:gridCol w:w="185"/>
        <w:gridCol w:w="162"/>
        <w:gridCol w:w="164"/>
        <w:gridCol w:w="294"/>
        <w:gridCol w:w="859"/>
        <w:gridCol w:w="152"/>
        <w:gridCol w:w="109"/>
        <w:gridCol w:w="109"/>
        <w:gridCol w:w="109"/>
        <w:gridCol w:w="211"/>
        <w:gridCol w:w="616"/>
        <w:gridCol w:w="109"/>
        <w:gridCol w:w="109"/>
        <w:gridCol w:w="109"/>
        <w:gridCol w:w="109"/>
        <w:gridCol w:w="294"/>
        <w:gridCol w:w="859"/>
        <w:gridCol w:w="152"/>
        <w:gridCol w:w="109"/>
        <w:gridCol w:w="109"/>
        <w:gridCol w:w="109"/>
        <w:gridCol w:w="211"/>
        <w:gridCol w:w="61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the Revolving Credit Facility and at December 31, 2025, the Term Loan, approximate their carrying values based on borrowing rates available to the Company for bank loans with similar terms and maturities and are classified as Level 2 in the fair value hierarchy. The fair values of the Guaranteed Senior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are measured at fair value on a nonrecurring basis in certain circumstances. These assets and liabilities can include mineral and royalty interests acquired in asset acquisitions and subsequent write-downs of the Company’s proved oil and natural gas properties to fair value when they are impaired or held for sale.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other financial instruments consisting of cash and cash equivalents, royalty income receivables, income tax receivables, certain prepaid expenses and other current assets, accounts payable, accrued liabilities and income taxes payable. The carrying value of these instruments approximates their fair values because of the short-term nature of the instruments.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party to various routine legal proceedings, disputes and claims from time to time arising in the ordinary course of its business.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Riverbend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 2026, the Company and Viper Energy Partners LP, an indirect wholly owned subsidiary of the Company, acquired all of the equity interests of Riverbend Oil &amp; Gas IX, L.L.C., an entity owning certain mineral and royalty interests, from Riverbend Oil &amp; Gas IX (AIV), L.L.C. and ROG IX, L.L.C. (collectively, “Riverbend”) for consideration consisting of (i) approximately $339 million in cash, including the release of funds held in escrow of approximately $25 million that were reflected in the caption “Other assets” on the Company’s condensed consolidated balance sheet at June 30, 2026, and (ii) 3,691,796 shares of the Company’s Class A Common Stock, in each case, subject to customary post-closing adjustments (the “Riverbend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mineral and royalty interests acquired in the Riverbend Acquisition represent approximately 2,772 net royalty acres in the Permian Basin with expected next 12 months’ average oil production of approximately 2,000 BO/d, and are expected to add approximately 1,000 BO/d of production to the midpoint of the Company’s standalone full year production guidance.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funded the cash portion of the Riverbend Acquisition through a combination of cash on hand and borrowings under the Company’s Revolving Credit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Dividend and Return of Capital Update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30, 2026, our board of directors approved a cash dividend for the second quarter of 2026 of $0.67 per share of Class A Common Stock and $0.97 per OpCo Unit, in each case, payable on August 20, 2026, to holders of record at the close of business on August 13, 2026. The dividend on Class A Common Stock consists of a base quarterly dividend of $0.38 per share and a variable quarterly dividend of $0.29 per share. Beginning in the third quarter of 2026, the Company intends to transition away from its commitment to return at least 75% of cash available for distribution each quarter. On July 30, 2026, the Company’s board of directors approved an increase to the Company’s annual base dividend to $2.00 per share of Class A Common Stock, which annual dividend will be payable in quarterly installments of $0.50 per share of our Class A Common Stock, beginning with the dividend payable for the third quarter of 2026. Future dividends on Class A Common Stock are not required and are at the discretion of the board of directors, who may change the dividend policy at any time.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Pending 2026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3, 2026, the Company, as parent, and Viper Energy Partners LP, as buyer, entered into a definitive purchase agreement to acquire certain mineral and royalty interests from Diamondback and related subsidiaries in exchange for 3,654,979 OpCo Units and an equivalent number of shares of the Company’s Class B Common Stock (the “Pending 2026 Drop Down”), subject to transaction costs and certain customary post-closing adjustments. The mineral and royalty interests to be acquired in the Pending 2026 Drop Down represent approximately 933 net royalty acres in the Permian Basin.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giving effect to the Pending 2026 Drop Down, the Company currently estimates that following the closing of the Pending 2026 Drop Down, Diamondback will beneficially own approximately 39.8% of the Company’s outstanding Common Stock, on a fully diluted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will issue the shares of Class B Common Stock in the Pending 2026 Drop Down in reliance on the exemption from registration provided by Section 4(a)(2) of the Securities Act, as a transaction not involving a public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Pending 2026 Drop Down will be accounted for as a transaction between entities under common control with the acquired properties recorded at Diamondback’s historical carrying value in the Company’s condensed consolidated balance sheet.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is managed on a consolidated basis as a single operating and reportable segment which is focused on owning and acquiring mineral and royalty interests primarily in the Permian Basin in West Texas. The Company’s operating segment primarily derives its revenue from customers through the receipt of royalty income on the sale of oil and natural gas products as well as other immaterial service contracts. See Note 3—</w:t>
      </w:r>
      <w:hyperlink w:anchor="ic47f36a9806d4b1abad08073353cc304_49">
        <w:r>
          <w:rPr>
            <w:rStyle w:val="InternetLink"/>
            <w:rFonts w:ascii="Times New Roman;serif" w:hAnsi="Times New Roman;serif"/>
            <w:b w:val="false"/>
            <w:color w:val="0000FF"/>
            <w:sz w:val="20"/>
            <w:u w:val="single"/>
          </w:rPr>
          <w:t>Revenue from Contracts with Customers</w:t>
        </w:r>
      </w:hyperlink>
      <w:r>
        <w:rPr>
          <w:color w:val="000000"/>
        </w:rPr>
        <w:t xml:space="preserve"> </w:t>
      </w:r>
      <w:r>
        <w:rPr>
          <w:rFonts w:ascii="Times New Roman;serif" w:hAnsi="Times New Roman;serif"/>
          <w:b w:val="false"/>
          <w:color w:val="000000"/>
          <w:sz w:val="20"/>
        </w:rPr>
        <w:t>for further discussion of the Company’s sources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a senior executive committee that is comprised of the Company’s Chief Executive Officer and President, uses the Company’s condensed consolidated financial results to assess performance, allocate resources and make key operating decisions, obtaining the board’s approval as required. The measures of segment profit or loss and total assets utilized by the CODM are net income and total assets, as reported on the condensed consolidated statements of operations and the condensed consolidated balance sheets, respectively. The significant expense categories, their amounts and other segment items that are regularly provided to the CODM are those that are reported in the Company’s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consolidated net income as a measure of profitability to evaluate segment performance and to make capital allocation decisions such as reinvestment in the business or return of capital through the payment of dividends under the dividend policy or repurchases under the share repurchase program.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3">
        <w:r>
          <w:rPr>
            <w:rStyle w:val="InternetLink"/>
            <w:rFonts w:ascii="Times New Roman;serif" w:hAnsi="Times New Roman;serif"/>
            <w:b w:val="false"/>
            <w:i/>
            <w:color w:val="0000FF"/>
            <w:sz w:val="20"/>
            <w:u w:val="single"/>
          </w:rPr>
          <w:t>Annual Report on Form 10-K</w:t>
        </w:r>
      </w:hyperlink>
      <w:r>
        <w:rPr>
          <w:color w:val="000000"/>
        </w:rPr>
        <w:t xml:space="preserve"> </w:t>
      </w:r>
      <w:r>
        <w:rPr>
          <w:rFonts w:ascii="Times New Roman;serif" w:hAnsi="Times New Roman;serif"/>
          <w:b w:val="false"/>
          <w:i/>
          <w:color w:val="000000"/>
          <w:sz w:val="20"/>
        </w:rPr>
        <w:t xml:space="preserve">for the year ended December 31, 2025.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ic47f36a9806d4b1abad08073353cc304_145">
        <w:r>
          <w:rPr>
            <w:rStyle w:val="InternetLink"/>
            <w:rFonts w:ascii="Times New Roman;serif" w:hAnsi="Times New Roman;serif"/>
            <w:b w:val="false"/>
            <w:i/>
            <w:color w:val="0000FF"/>
            <w:sz w:val="20"/>
            <w:u w:val="single"/>
          </w:rPr>
          <w:t>Part II. Item 1A. Risk Factors</w:t>
        </w:r>
      </w:hyperlink>
      <w:r>
        <w:rPr>
          <w:rFonts w:ascii="Times New Roman;serif" w:hAnsi="Times New Roman;serif"/>
          <w:b w:val="false"/>
          <w:i/>
          <w:color w:val="000000"/>
          <w:sz w:val="20"/>
        </w:rPr>
        <w:t xml:space="preserve">, </w:t>
      </w:r>
      <w:r>
        <w:fldChar w:fldCharType="begin"/>
      </w:r>
      <w:r>
        <w:rPr>
          <w:rStyle w:val="InternetLink"/>
          <w:sz w:val="20"/>
          <w:i/>
          <w:u w:val="single"/>
          <w:b w:val="false"/>
          <w:rFonts w:ascii="Times New Roman;serif" w:hAnsi="Times New Roman;serif"/>
          <w:color w:val="0000FF"/>
        </w:rPr>
        <w:instrText xml:space="preserve"> HYPERLINK "https://www.sec.gov/ix?doc=/Archives/edgar/data/0002074176/000207417626000010/vnom-20251231.htm" \l "i636f90b9a2bf4a46ad5fe64678400ed7_25"</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Part I. Item 1A. Risk Factors in our Annual Report on Form 10-K</w:t>
      </w:r>
      <w:r>
        <w:rPr>
          <w:rStyle w:val="InternetLink"/>
          <w:sz w:val="20"/>
          <w:i/>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i/>
          <w:color w:val="000000"/>
          <w:sz w:val="20"/>
        </w:rPr>
        <w:t xml:space="preserve">for the year ended December 31, 2025 and </w:t>
      </w:r>
      <w:hyperlink w:anchor="ic47f36a9806d4b1abad08073353cc304_16">
        <w:r>
          <w:rPr>
            <w:rStyle w:val="InternetLink"/>
            <w:rFonts w:ascii="Times New Roman;serif" w:hAnsi="Times New Roman;serif"/>
            <w:b w:val="false"/>
            <w:i/>
            <w:color w:val="0000FF"/>
            <w:sz w:val="20"/>
            <w:u w:val="single"/>
          </w:rPr>
          <w:t>Cautionary Statement Regarding Forward-Looking Statements</w:t>
        </w:r>
      </w:hyperlink>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publicly traded Delaware corporation focused on owning and acquiring mineral and royalty interests in oil and natural gas properties primarily in the Permian Basin. We operate in one reportable segment.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Pending 2026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3, 2026, we, as parent, and Viper Energy Partners LP, as buyer, entered into a definitive purchase agreement to acquire certain mineral and royalty interests from Diamondback and related subsidiaries in exchange for 3,654,979 OpCo Units and an equivalent number of shares of our Class B Common Stock, subject to transaction costs and certain customary post-closing adjustments. The mineral and royalty interests to be acquired in the Pending 2026 Drop Down represent approximately 933 net royalty acres in the Permian Basin. After giving effect to the Pending 2026 Drop Down, we currently estimate that following the closing of the Pending 2026 Drop Down, Diamondback will beneficially own approximately 39.8% of our outstanding Common Stock, on a fully diluted basis.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Dividend and Return of Capital Update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our board of directors approved an increase of 32% to our annual base dividend, or an amount equal to $2.00 per share of Class A Common Stock beginning with the dividend payable for the third quarter of 2026. With this increase and a commitment to grow the base dividend steadily over time, we are removing our commitment to return at least 75% of cash available for distribution each quarter. We believe a single, durable and growing base dividend, rather than a variable payout that fluctuates with commodity prices, best showcases what differentiates Viper: an industry-leading, low-breakeven yield paired with consistent per-share growth.</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Riverbend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2026, we and Viper Energy Partners LP acquired all of the equity interests of Riverbend Oil &amp; Gas IX, L.L.C., from Riverbend for consideration consisting of (i) approximately $339 million in cash, and (ii) 3,691,796 shares of our Class A Common Stock, in each case, subject to customary post-closing adjustments. The mineral and royalty interests acquired in the Riverbend Acquisition represent approximately 2,772 net royalty acres in the Permian Basin.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2026 Secondary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4, 2026, we completed the 2026 Secondary Offering, which authorized the Selling Stockholders to sell an aggregate of (i) 17,391,304 shares of Class A Common Stock, and (ii) up to an additional 2,608,696 shares of Class A Common Stock at the public offering price of $45.90. On March 19, 2026, the Underwriters exercised a portion of the Underwriter Option and purchased an additional 954,809 shares of Class A Common Stock. We did not receive any proceeds from the 2026 Secondary Offering or the Shoe Exercise.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Divestiture of Non-Permian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9, 2026, we completed the Non-Permian Divestiture for net cash proceeds of approximately $610 million, including transaction costs and customary post-closing adjustments. The divested properties consisted of approximately 9,400 net royalty acres in the Denver-Julesburg, Eagle Ford and Williston basins with then-current production of approximately 4,750 BO/d. Proceeds from the Non-Permian Divestiture were used to (i) repay the $500 million Term Loan in full, (ii) fully repay $90 million of then-outstanding borrowings under our Revolving Credit Facility, and (iii) for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1, 2026, after giving effect to the Riverbend Acquisition, our footprint of mineral and royalty interests totaled approximately 90,212 net royalty acres, approximately 38% of which are operated by Diamondback.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c47f36a9806d4b1abad08073353cc304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and Note 13—</w:t>
      </w:r>
      <w:hyperlink w:anchor="ic47f36a9806d4b1abad08073353cc304_79">
        <w:r>
          <w:rPr>
            <w:rStyle w:val="InternetLink"/>
            <w:rFonts w:ascii="Times New Roman;serif" w:hAnsi="Times New Roman;serif"/>
            <w:b w:val="false"/>
            <w:color w:val="0000FF"/>
            <w:sz w:val="20"/>
            <w:u w:val="single"/>
          </w:rPr>
          <w:t>Subsequent Events</w:t>
        </w:r>
      </w:hyperlink>
      <w:r>
        <w:rPr>
          <w:color w:val="000000"/>
        </w:rPr>
        <w:t xml:space="preserve"> </w:t>
      </w:r>
      <w:r>
        <w:rPr>
          <w:rFonts w:ascii="Times New Roman;serif" w:hAnsi="Times New Roman;serif"/>
          <w:b w:val="false"/>
          <w:color w:val="000000"/>
          <w:sz w:val="20"/>
        </w:rPr>
        <w:t>of the notes to the condensed consolidated financial statements for additional information on our acquisitions and divestitures and cash dividend and return of capital update.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Commodity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Prices for oil, natural gas and natural gas liquids are determined primarily by prevailing market conditions. Geopolitical global conflicts, tariffs or other trade barriers and any resulting trade tensions, regional and worldwide economic activity, changes in trade or other government policies or regulations, including with respect to U.S. energy and monetary policies, extreme weather conditions, changes in OPEC+ production levels and other substantially variable factors influence market conditions for these products. For example, as a result of the ongoing conflict in the Middle East, in 2026 the global crude oil market has shifted between supply-demand surpluses and deficits, due to material reductions in crude oil and refined products from the markets, creating additional volatility in benchmark crude oil prices. These factors are beyond our control and are difficult to predict. During the first half of 2026 and 2025, WTI prices averaged $83.00 and $70.81 per Bbl, respectively, and Henry Hub prices averaged $3.20 and $3.69 per MMBtu,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Production and Operational Update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July 1, 2026, after giving effect to the Riverbend Acquisition, there were 106 gross rigs operating on our mineral and royalty acreage, 12 of which are operated by Diamondback. We delivered strong production results in the first half of 2026, highlighted by steady development activity from both Diamondback and our third-party operators across our high-quality asset base, as well as a continuation of our differentiated acquisition strategy. Reflecting this momentum, we are increasing our full year 2026 production guidance to range between approximately 132.5 MBOE/d to 135 MBOE/d.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gross well information as of July 1, 2026, after giving effect to the Riverbend Acquisition:</w:t>
      </w:r>
    </w:p>
    <w:p>
      <w:pPr>
        <w:pStyle w:val="TextBody"/>
        <w:bidi w:val="0"/>
        <w:spacing w:before="0" w:after="0"/>
        <w:ind w:left="0" w:right="0" w:firstLine="720"/>
        <w:jc w:val="both"/>
        <w:rPr/>
      </w:pPr>
      <w:r>
        <w:rPr/>
      </w:r>
    </w:p>
    <w:tbl>
      <w:tblPr>
        <w:tblW w:w="9023" w:type="dxa"/>
        <w:jc w:val="left"/>
        <w:tblInd w:w="0" w:type="dxa"/>
        <w:tblLayout w:type="fixed"/>
        <w:tblCellMar>
          <w:top w:w="28" w:type="dxa"/>
          <w:left w:w="28" w:type="dxa"/>
          <w:bottom w:w="28" w:type="dxa"/>
          <w:right w:w="28" w:type="dxa"/>
        </w:tblCellMar>
      </w:tblPr>
      <w:tblGrid>
        <w:gridCol w:w="1402"/>
        <w:gridCol w:w="1232"/>
        <w:gridCol w:w="1235"/>
        <w:gridCol w:w="437"/>
        <w:gridCol w:w="437"/>
        <w:gridCol w:w="1091"/>
        <w:gridCol w:w="109"/>
        <w:gridCol w:w="109"/>
        <w:gridCol w:w="109"/>
        <w:gridCol w:w="399"/>
        <w:gridCol w:w="399"/>
        <w:gridCol w:w="1001"/>
        <w:gridCol w:w="109"/>
        <w:gridCol w:w="109"/>
        <w:gridCol w:w="109"/>
        <w:gridCol w:w="203"/>
        <w:gridCol w:w="203"/>
        <w:gridCol w:w="330"/>
      </w:tblGrid>
      <w:tr>
        <w:trPr/>
        <w:tc>
          <w:tcPr>
            <w:tcW w:w="140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Diamondback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Third-Party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Q2 2026 horizontal wells turned to production</w:t>
            </w:r>
            <w:r>
              <w:rPr>
                <w:rFonts w:ascii="Times New Roman;serif" w:hAnsi="Times New Roman;serif"/>
                <w:b/>
                <w:color w:val="000000"/>
                <w:sz w:val="12"/>
              </w:rPr>
              <w:t>(1)</w:t>
            </w:r>
            <w:r>
              <w:rPr>
                <w:rFonts w:ascii="Times New Roman;serif" w:hAnsi="Times New Roman;serif"/>
                <w:b/>
                <w:color w:val="000000"/>
                <w:sz w:val="18"/>
              </w:rPr>
              <w:t>:</w:t>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Horizontal producing well count</w:t>
            </w:r>
            <w:r>
              <w:rPr>
                <w:rFonts w:ascii="Times New Roman;serif" w:hAnsi="Times New Roman;serif"/>
                <w:b/>
                <w:color w:val="000000"/>
                <w:sz w:val="12"/>
              </w:rPr>
              <w:t>(1)</w:t>
            </w:r>
            <w:r>
              <w:rPr>
                <w:rFonts w:ascii="Times New Roman;serif" w:hAnsi="Times New Roman;serif"/>
                <w:b/>
                <w:color w:val="000000"/>
                <w:sz w:val="18"/>
              </w:rPr>
              <w:t>:</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25,560</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600.6</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Horizontal active development well count</w:t>
            </w:r>
            <w:r>
              <w:rPr>
                <w:rFonts w:ascii="Times New Roman;serif" w:hAnsi="Times New Roman;serif"/>
                <w:b/>
                <w:color w:val="000000"/>
                <w:sz w:val="12"/>
              </w:rPr>
              <w:t>(1)(2)</w:t>
            </w:r>
            <w:r>
              <w:rPr>
                <w:rFonts w:ascii="Times New Roman;serif" w:hAnsi="Times New Roman;serif"/>
                <w:b/>
                <w:color w:val="000000"/>
                <w:sz w:val="18"/>
              </w:rPr>
              <w:t>:</w:t>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Line of sight wells</w:t>
            </w:r>
            <w:r>
              <w:rPr>
                <w:rFonts w:ascii="Times New Roman;serif" w:hAnsi="Times New Roman;serif"/>
                <w:b/>
                <w:color w:val="000000"/>
                <w:sz w:val="12"/>
              </w:rPr>
              <w:t>(1)(3)</w:t>
            </w:r>
            <w:r>
              <w:rPr>
                <w:rFonts w:ascii="Times New Roman;serif" w:hAnsi="Times New Roman;serif"/>
                <w:b/>
                <w:color w:val="000000"/>
                <w:sz w:val="18"/>
              </w:rPr>
              <w:t>:</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(1)Average lateral length normalized to 10,000 feet.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total 1,798 gross wells currently in the process of active development are those wells that have been spud and are expected to be turned to production within approximately the next six to eight months.</w:t>
      </w:r>
    </w:p>
    <w:p>
      <w:pPr>
        <w:pStyle w:val="TextBody"/>
        <w:bidi w:val="0"/>
        <w:spacing w:lineRule="auto" w:line="288" w:before="0" w:after="0"/>
        <w:ind w:left="0" w:right="0" w:hanging="360"/>
        <w:jc w:val="both"/>
        <w:rPr/>
      </w:pPr>
      <w:r>
        <w:rPr>
          <w:rFonts w:ascii="Times New Roman;serif" w:hAnsi="Times New Roman;serif"/>
          <w:b w:val="false"/>
          <w:color w:val="000000"/>
          <w:sz w:val="20"/>
        </w:rPr>
        <w:t>(3)The total 1,589 gross line-of-sight wells are those that are not currently in the process of active development, but for which we have reason to believe will be turned to production within approximately the next 15 to 18 months. The expected timing of th</w:t>
      </w:r>
      <w:r>
        <w:rPr>
          <w:rFonts w:ascii="Times New Roman;serif" w:hAnsi="Times New Roman;serif"/>
          <w:b w:val="false"/>
          <w:color w:val="000000"/>
          <w:sz w:val="20"/>
          <w:shd w:fill="FFFFFF" w:val="clear"/>
        </w:rPr>
        <w:t>ese line-of-sight wells is based primarily on permitting by third-party operators or Diamondback’s current expected completion schedule. Existing permits or active development of our royalty acreage does not ensure that those wells will be turned to production given th</w:t>
      </w:r>
      <w:r>
        <w:rPr>
          <w:rFonts w:ascii="Times New Roman;serif" w:hAnsi="Times New Roman;serif"/>
          <w:b w:val="false"/>
          <w:color w:val="000000"/>
          <w:sz w:val="20"/>
        </w:rPr>
        <w:t>e volatility in oil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March 31,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income and expenses for the periods indicated:</w:t>
      </w:r>
    </w:p>
    <w:p>
      <w:pPr>
        <w:pStyle w:val="TextBody"/>
        <w:bidi w:val="0"/>
        <w:spacing w:before="0" w:after="0"/>
        <w:ind w:left="0" w:right="0" w:firstLine="720"/>
        <w:jc w:val="both"/>
        <w:rPr/>
      </w:pPr>
      <w:r>
        <w:rPr/>
      </w:r>
    </w:p>
    <w:tbl>
      <w:tblPr>
        <w:tblW w:w="7526" w:type="dxa"/>
        <w:jc w:val="left"/>
        <w:tblInd w:w="0" w:type="dxa"/>
        <w:tblLayout w:type="fixed"/>
        <w:tblCellMar>
          <w:top w:w="28" w:type="dxa"/>
          <w:left w:w="28" w:type="dxa"/>
          <w:bottom w:w="28" w:type="dxa"/>
          <w:right w:w="28" w:type="dxa"/>
        </w:tblCellMar>
      </w:tblPr>
      <w:tblGrid>
        <w:gridCol w:w="1704"/>
        <w:gridCol w:w="1500"/>
        <w:gridCol w:w="1505"/>
        <w:gridCol w:w="310"/>
        <w:gridCol w:w="685"/>
        <w:gridCol w:w="160"/>
        <w:gridCol w:w="109"/>
        <w:gridCol w:w="109"/>
        <w:gridCol w:w="109"/>
        <w:gridCol w:w="339"/>
        <w:gridCol w:w="749"/>
        <w:gridCol w:w="247"/>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income—related party</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expenses—related party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Viper Energy, Inc.</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production data, average sales prices and average costs for the periods indicated:</w:t>
      </w:r>
    </w:p>
    <w:p>
      <w:pPr>
        <w:pStyle w:val="TextBody"/>
        <w:bidi w:val="0"/>
        <w:spacing w:before="0" w:after="0"/>
        <w:ind w:left="0" w:right="0" w:firstLine="720"/>
        <w:jc w:val="both"/>
        <w:rPr/>
      </w:pPr>
      <w:r>
        <w:rPr/>
      </w:r>
    </w:p>
    <w:tbl>
      <w:tblPr>
        <w:tblW w:w="8379" w:type="dxa"/>
        <w:jc w:val="left"/>
        <w:tblInd w:w="0" w:type="dxa"/>
        <w:tblLayout w:type="fixed"/>
        <w:tblCellMar>
          <w:top w:w="28" w:type="dxa"/>
          <w:left w:w="28" w:type="dxa"/>
          <w:bottom w:w="28" w:type="dxa"/>
          <w:right w:w="28" w:type="dxa"/>
        </w:tblCellMar>
      </w:tblPr>
      <w:tblGrid>
        <w:gridCol w:w="2013"/>
        <w:gridCol w:w="1774"/>
        <w:gridCol w:w="1777"/>
        <w:gridCol w:w="260"/>
        <w:gridCol w:w="760"/>
        <w:gridCol w:w="134"/>
        <w:gridCol w:w="109"/>
        <w:gridCol w:w="109"/>
        <w:gridCol w:w="109"/>
        <w:gridCol w:w="287"/>
        <w:gridCol w:w="838"/>
        <w:gridCol w:w="209"/>
      </w:tblGrid>
      <w:tr>
        <w:trPr/>
        <w:tc>
          <w:tcPr>
            <w:tcW w:w="201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oil volumes (BO/d)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combined volumes (BOE/d)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130,711 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sales price:</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($/Bbl)</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($/Mcf)</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($/Bbl)</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($/BOE)</w:t>
            </w:r>
            <w:r>
              <w:rPr>
                <w:rFonts w:ascii="Times New Roman;serif" w:hAnsi="Times New Roman;serif"/>
                <w:b w:val="false"/>
                <w:color w:val="000000"/>
                <w:sz w:val="13"/>
              </w:rPr>
              <w:t>(2)</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($/Bbl)</w:t>
            </w:r>
            <w:r>
              <w:rPr>
                <w:rFonts w:ascii="Times New Roman;serif" w:hAnsi="Times New Roman;serif"/>
                <w:b w:val="false"/>
                <w:color w:val="000000"/>
                <w:sz w:val="13"/>
              </w:rPr>
              <w:t>(3)</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($/Mcf)</w:t>
            </w:r>
            <w:r>
              <w:rPr>
                <w:rFonts w:ascii="Times New Roman;serif" w:hAnsi="Times New Roman;serif"/>
                <w:b w:val="false"/>
                <w:color w:val="000000"/>
                <w:sz w:val="13"/>
              </w:rPr>
              <w:t>(3)</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($/Bbl)</w:t>
            </w:r>
            <w:r>
              <w:rPr>
                <w:rFonts w:ascii="Times New Roman;serif" w:hAnsi="Times New Roman;serif"/>
                <w:b w:val="false"/>
                <w:color w:val="000000"/>
                <w:sz w:val="13"/>
              </w:rPr>
              <w:t>(3)</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price, hedged ($/BOE)</w:t>
            </w:r>
            <w:r>
              <w:rPr>
                <w:rFonts w:ascii="Times New Roman;serif" w:hAnsi="Times New Roman;serif"/>
                <w:b w:val="false"/>
                <w:color w:val="000000"/>
                <w:sz w:val="13"/>
              </w:rPr>
              <w:t>(3)</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costs ($/BOE):</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non-cash stock compensation expense</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one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(2)Realized price net of all deducts for gathering, transportation and processing.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(3)Hedged prices reflect the impact of cash settlements of our matured commodity derivative transactions on our average sales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changes in our revenues and expenses between the second quarter of 2026 and the first quarter of 2026 are discussed further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Royalty Income. </w:t>
      </w:r>
      <w:r>
        <w:rPr>
          <w:rFonts w:ascii="Times New Roman;serif" w:hAnsi="Times New Roman;serif"/>
          <w:b w:val="false"/>
          <w:color w:val="000000"/>
          <w:sz w:val="20"/>
        </w:rPr>
        <w:t>Our royalty income is a function of oil, natural gas and natural gas liquids production volumes sold and average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increased by $162 million during the second quarter of 2026 compared to the first quarter of 2026. This net increase consisted of an additional $152 million attributable to higher average commodity prices received primarily for our oil production, and an additional $10 million due to a 4% increase in our production.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4% increase in production was largely attributable to having one additional day of production in the second quarter of 2026 compared to the first quarter of 2026 and new wells added during the second quarter.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and Ad Valorem Taxes. </w:t>
      </w:r>
      <w:r>
        <w:rPr>
          <w:rFonts w:ascii="Times New Roman;serif" w:hAnsi="Times New Roman;serif"/>
          <w:b w:val="false"/>
          <w:color w:val="000000"/>
          <w:sz w:val="20"/>
        </w:rPr>
        <w:t>The following table presents production and ad valorem taxes</w:t>
      </w:r>
      <w:r>
        <w:rPr>
          <w:color w:val="000000"/>
          <w:shd w:fill="FFFFFF" w:val="clear"/>
        </w:rPr>
        <w:t xml:space="preserve"> </w:t>
      </w:r>
      <w:r>
        <w:rPr>
          <w:rFonts w:ascii="Times New Roman;serif" w:hAnsi="Times New Roman;serif"/>
          <w:b w:val="false"/>
          <w:color w:val="000000"/>
          <w:sz w:val="20"/>
          <w:shd w:fill="FFFFFF" w:val="clear"/>
        </w:rPr>
        <w:t>for the</w:t>
      </w:r>
      <w:r>
        <w:rPr>
          <w:color w:val="000000"/>
        </w:rPr>
        <w:t xml:space="preserve"> </w:t>
      </w:r>
      <w:r>
        <w:rPr>
          <w:rFonts w:ascii="Times New Roman;serif" w:hAnsi="Times New Roman;serif"/>
          <w:b w:val="false"/>
          <w:color w:val="000000"/>
          <w:sz w:val="20"/>
        </w:rPr>
        <w:t>periods indicated</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18"/>
        <w:gridCol w:w="632"/>
        <w:gridCol w:w="633"/>
        <w:gridCol w:w="271"/>
        <w:gridCol w:w="466"/>
        <w:gridCol w:w="141"/>
        <w:gridCol w:w="109"/>
        <w:gridCol w:w="109"/>
        <w:gridCol w:w="109"/>
        <w:gridCol w:w="211"/>
        <w:gridCol w:w="511"/>
        <w:gridCol w:w="109"/>
        <w:gridCol w:w="109"/>
        <w:gridCol w:w="109"/>
        <w:gridCol w:w="109"/>
        <w:gridCol w:w="346"/>
        <w:gridCol w:w="346"/>
        <w:gridCol w:w="864"/>
        <w:gridCol w:w="109"/>
        <w:gridCol w:w="109"/>
        <w:gridCol w:w="109"/>
        <w:gridCol w:w="271"/>
        <w:gridCol w:w="466"/>
        <w:gridCol w:w="141"/>
        <w:gridCol w:w="109"/>
        <w:gridCol w:w="109"/>
        <w:gridCol w:w="109"/>
        <w:gridCol w:w="211"/>
        <w:gridCol w:w="511"/>
        <w:gridCol w:w="109"/>
        <w:gridCol w:w="109"/>
        <w:gridCol w:w="109"/>
        <w:gridCol w:w="109"/>
        <w:gridCol w:w="331"/>
        <w:gridCol w:w="326"/>
        <w:gridCol w:w="956"/>
      </w:tblGrid>
      <w:tr>
        <w:trPr/>
        <w:tc>
          <w:tcPr>
            <w:tcW w:w="7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Amount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Amount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taxes</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9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Ad valorem taxes are based, among other factors, on property values driven by prior year commodity prices. Ad valorem taxes as a percentage of royalty income decreased in the second quarter of 2026 due primarily to current valuations reflecting lower 2025 commodity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Depreciation, Depletion, and Amortization. </w:t>
      </w:r>
      <w:r>
        <w:rPr>
          <w:rFonts w:ascii="Times New Roman;serif" w:hAnsi="Times New Roman;serif"/>
          <w:b w:val="false"/>
          <w:color w:val="000000"/>
          <w:sz w:val="20"/>
        </w:rPr>
        <w:t xml:space="preserve">Depreciation, depletion, and amortization expense decreased by $11 million in the second quarter of 2026 compared to the first quarter of 2026. Approximately $19 million of the net decrease stemmed from a reduction in the depletion rate to $15.95 per BOE in the second quarter compared to $17.51 per BOE in the first quarter primarily due to an increase in reserve volumes as more wells remained economical longer at the higher SEC Prices applied in the second quarter. This was partially offset by an $8 million increase from growth in production volumes.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Derivative Instruments. </w:t>
      </w:r>
      <w:r>
        <w:rPr>
          <w:rFonts w:ascii="Times New Roman;serif" w:hAnsi="Times New Roman;serif"/>
          <w:b w:val="false"/>
          <w:color w:val="000000"/>
          <w:sz w:val="20"/>
        </w:rPr>
        <w:t>The following table shows the net gain (loss) on derivative instruments and the net cash receipts (payments) on derivatives for the periods presented:</w:t>
      </w:r>
    </w:p>
    <w:p>
      <w:pPr>
        <w:pStyle w:val="TextBody"/>
        <w:bidi w:val="0"/>
        <w:spacing w:before="0" w:after="0"/>
        <w:ind w:left="0" w:right="0" w:firstLine="720"/>
        <w:jc w:val="both"/>
        <w:rPr/>
      </w:pPr>
      <w:r>
        <w:rPr/>
      </w:r>
    </w:p>
    <w:tbl>
      <w:tblPr>
        <w:tblW w:w="6457" w:type="dxa"/>
        <w:jc w:val="left"/>
        <w:tblInd w:w="0" w:type="dxa"/>
        <w:tblLayout w:type="fixed"/>
        <w:tblCellMar>
          <w:top w:w="28" w:type="dxa"/>
          <w:left w:w="28" w:type="dxa"/>
          <w:bottom w:w="28" w:type="dxa"/>
          <w:right w:w="28" w:type="dxa"/>
        </w:tblCellMar>
      </w:tblPr>
      <w:tblGrid>
        <w:gridCol w:w="1313"/>
        <w:gridCol w:w="1156"/>
        <w:gridCol w:w="1160"/>
        <w:gridCol w:w="335"/>
        <w:gridCol w:w="647"/>
        <w:gridCol w:w="173"/>
        <w:gridCol w:w="113"/>
        <w:gridCol w:w="113"/>
        <w:gridCol w:w="113"/>
        <w:gridCol w:w="387"/>
        <w:gridCol w:w="665"/>
        <w:gridCol w:w="282"/>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(payments) on derivatives</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$18 million decrease in the gain on derivative instruments, net in the second quarter of 2026 compared to the first quarter of 2026 consisted largely of a $32 million reduction in the value of our open natural gas basis swap contracts primarily due to changes in the differential between prices for Waha Hub and Henry Hub, and an additional $7 million in cash paid to settle oil contracts. These reductions were partially offset by an increase of approximately $18 million in the value of our open oil contracts primarily due to a decrease in market prices compared to contract prices on our puts and roll swaps as well as other insignificant changes. See Note 10—</w:t>
      </w:r>
      <w:hyperlink w:anchor="ic47f36a9806d4b1abad08073353cc304_70">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 of our open contracts at June 30, 2026.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$44 million increase in income tax expense in the second quarter of 2026 compared to the first quarter of 2026 primarily resulted from an increase in pre-tax income attributable to Viper and changes to the estimated deferred taxes recognized in connection with the closing of the Sitio Acquisition. See Note 9—</w:t>
      </w:r>
      <w:hyperlink w:anchor="ic47f36a9806d4b1abad08073353cc304_67">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income tax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Net Income (Loss) Attributable to Non-Controlling Interest. </w:t>
      </w:r>
      <w:r>
        <w:rPr>
          <w:rFonts w:ascii="Times New Roman;serif" w:hAnsi="Times New Roman;serif"/>
          <w:b w:val="false"/>
          <w:color w:val="000000"/>
          <w:sz w:val="20"/>
        </w:rPr>
        <w:t>The $71 million increase in net income attributable to non-controlling interest for the second quarter of 2026 compared to the first quarter of 2026 was primarily due to an increase in pre-tax income, slightly offset by a dilution of the non-controlling interest following the 2026 Secondary Offering.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income and expenses for the periods indicated:</w:t>
      </w:r>
    </w:p>
    <w:p>
      <w:pPr>
        <w:pStyle w:val="TextBody"/>
        <w:bidi w:val="0"/>
        <w:spacing w:before="0" w:after="0"/>
        <w:ind w:left="0" w:right="0" w:firstLine="720"/>
        <w:jc w:val="both"/>
        <w:rPr/>
      </w:pPr>
      <w:r>
        <w:rPr/>
      </w:r>
    </w:p>
    <w:tbl>
      <w:tblPr>
        <w:tblW w:w="6984" w:type="dxa"/>
        <w:jc w:val="left"/>
        <w:tblInd w:w="0" w:type="dxa"/>
        <w:tblLayout w:type="fixed"/>
        <w:tblCellMar>
          <w:top w:w="28" w:type="dxa"/>
          <w:left w:w="28" w:type="dxa"/>
          <w:bottom w:w="28" w:type="dxa"/>
          <w:right w:w="28" w:type="dxa"/>
        </w:tblCellMar>
      </w:tblPr>
      <w:tblGrid>
        <w:gridCol w:w="1704"/>
        <w:gridCol w:w="1500"/>
        <w:gridCol w:w="1505"/>
        <w:gridCol w:w="229"/>
        <w:gridCol w:w="671"/>
        <w:gridCol w:w="118"/>
        <w:gridCol w:w="118"/>
        <w:gridCol w:w="118"/>
        <w:gridCol w:w="118"/>
        <w:gridCol w:w="229"/>
        <w:gridCol w:w="507"/>
        <w:gridCol w:w="167"/>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income—related party</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expenses—related party</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Viper Energy, Inc.</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production data, average sales prices and average costs for the periods indicated:</w:t>
      </w:r>
    </w:p>
    <w:p>
      <w:pPr>
        <w:pStyle w:val="TextBody"/>
        <w:bidi w:val="0"/>
        <w:spacing w:before="0" w:after="0"/>
        <w:ind w:left="0" w:right="0" w:firstLine="720"/>
        <w:jc w:val="both"/>
        <w:rPr/>
      </w:pPr>
      <w:r>
        <w:rPr/>
      </w:r>
    </w:p>
    <w:tbl>
      <w:tblPr>
        <w:tblW w:w="7840" w:type="dxa"/>
        <w:jc w:val="left"/>
        <w:tblInd w:w="0" w:type="dxa"/>
        <w:tblLayout w:type="fixed"/>
        <w:tblCellMar>
          <w:top w:w="28" w:type="dxa"/>
          <w:left w:w="28" w:type="dxa"/>
          <w:bottom w:w="28" w:type="dxa"/>
          <w:right w:w="28" w:type="dxa"/>
        </w:tblCellMar>
      </w:tblPr>
      <w:tblGrid>
        <w:gridCol w:w="2013"/>
        <w:gridCol w:w="1774"/>
        <w:gridCol w:w="1777"/>
        <w:gridCol w:w="214"/>
        <w:gridCol w:w="626"/>
        <w:gridCol w:w="110"/>
        <w:gridCol w:w="110"/>
        <w:gridCol w:w="110"/>
        <w:gridCol w:w="110"/>
        <w:gridCol w:w="214"/>
        <w:gridCol w:w="626"/>
        <w:gridCol w:w="156"/>
      </w:tblGrid>
      <w:tr>
        <w:trPr/>
        <w:tc>
          <w:tcPr>
            <w:tcW w:w="201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oil volumes (BO/d)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combined volumes (BOE/d)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sales prices: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($/Bbl)</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($/Mcf)</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($/Bbl)</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($/BOE)</w:t>
            </w:r>
            <w:r>
              <w:rPr>
                <w:rFonts w:ascii="Times New Roman;serif" w:hAnsi="Times New Roman;serif"/>
                <w:b w:val="false"/>
                <w:color w:val="000000"/>
                <w:sz w:val="13"/>
              </w:rPr>
              <w:t>(2)</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($/Bbl)</w:t>
            </w:r>
            <w:r>
              <w:rPr>
                <w:rFonts w:ascii="Times New Roman;serif" w:hAnsi="Times New Roman;serif"/>
                <w:b w:val="false"/>
                <w:color w:val="000000"/>
                <w:sz w:val="13"/>
              </w:rPr>
              <w:t>(3)</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($/Mcf)</w:t>
            </w:r>
            <w:r>
              <w:rPr>
                <w:rFonts w:ascii="Times New Roman;serif" w:hAnsi="Times New Roman;serif"/>
                <w:b w:val="false"/>
                <w:color w:val="000000"/>
                <w:sz w:val="13"/>
              </w:rPr>
              <w:t>(3)</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($/Bbl)</w:t>
            </w:r>
            <w:r>
              <w:rPr>
                <w:rFonts w:ascii="Times New Roman;serif" w:hAnsi="Times New Roman;serif"/>
                <w:b w:val="false"/>
                <w:color w:val="000000"/>
                <w:sz w:val="13"/>
              </w:rPr>
              <w:t>(3)</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price, hedged ($/BOE)</w:t>
            </w:r>
            <w:r>
              <w:rPr>
                <w:rFonts w:ascii="Times New Roman;serif" w:hAnsi="Times New Roman;serif"/>
                <w:b w:val="false"/>
                <w:color w:val="000000"/>
                <w:sz w:val="13"/>
              </w:rPr>
              <w:t>(3)</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costs ($/BOE):</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non-cash stock compensation expense</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one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(2)Realized price net of all deducts for gathering, transportation and processing.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(3)Hedged prices reflect the impact of cash settlements of our matured commodity derivative transactions on our average sales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changes in our revenues and expenses for the six months ended June 30, 2026, as compared to the six months ended June 30, 2025, are discussed further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Royalty Income. </w:t>
      </w:r>
      <w:r>
        <w:rPr>
          <w:rFonts w:ascii="Times New Roman;serif" w:hAnsi="Times New Roman;serif"/>
          <w:b w:val="false"/>
          <w:color w:val="000000"/>
          <w:sz w:val="20"/>
        </w:rPr>
        <w:t>Our royalty income is a function of oil, natural gas and natural gas liquids production volumes sold and average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increased $623 million during the six months ended June 30, 2026, compared to the same period in 2025. This net increase was comprised of an additional $444 million from the 94% growth in production and a net increase of $179 million primarily from higher average oil prices received for our production during the six months ended June 30, 2026 compared to the same period in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Approximately 59% of the growth in production was attributable to the Sitio Acquisition and 40% was attributable to the 2025 Drop Down. The remainder of the growth is primarily from new wells added between periods. See Note 4—</w:t>
      </w:r>
      <w:hyperlink w:anchor="ic47f36a9806d4b1abad08073353cc304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 of our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and Ad Valorem Taxes. </w:t>
      </w:r>
      <w:r>
        <w:rPr>
          <w:rFonts w:ascii="Times New Roman;serif" w:hAnsi="Times New Roman;serif"/>
          <w:b w:val="false"/>
          <w:color w:val="000000"/>
          <w:sz w:val="20"/>
        </w:rPr>
        <w:t>The following table presents production and ad valorem taxes</w:t>
      </w:r>
      <w:r>
        <w:rPr>
          <w:color w:val="000000"/>
          <w:shd w:fill="FFFFFF" w:val="clear"/>
        </w:rPr>
        <w:t xml:space="preserve"> </w:t>
      </w:r>
      <w:r>
        <w:rPr>
          <w:rFonts w:ascii="Times New Roman;serif" w:hAnsi="Times New Roman;serif"/>
          <w:b w:val="false"/>
          <w:color w:val="000000"/>
          <w:sz w:val="20"/>
          <w:shd w:fill="FFFFFF" w:val="clear"/>
        </w:rPr>
        <w:t>for the</w:t>
      </w:r>
      <w:r>
        <w:rPr>
          <w:color w:val="000000"/>
        </w:rPr>
        <w:t xml:space="preserve"> </w:t>
      </w:r>
      <w:r>
        <w:rPr>
          <w:rFonts w:ascii="Times New Roman;serif" w:hAnsi="Times New Roman;serif"/>
          <w:b w:val="false"/>
          <w:color w:val="000000"/>
          <w:sz w:val="20"/>
        </w:rPr>
        <w:t>periods indicated</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18"/>
        <w:gridCol w:w="632"/>
        <w:gridCol w:w="633"/>
        <w:gridCol w:w="271"/>
        <w:gridCol w:w="466"/>
        <w:gridCol w:w="141"/>
        <w:gridCol w:w="109"/>
        <w:gridCol w:w="109"/>
        <w:gridCol w:w="109"/>
        <w:gridCol w:w="211"/>
        <w:gridCol w:w="511"/>
        <w:gridCol w:w="109"/>
        <w:gridCol w:w="109"/>
        <w:gridCol w:w="109"/>
        <w:gridCol w:w="109"/>
        <w:gridCol w:w="346"/>
        <w:gridCol w:w="346"/>
        <w:gridCol w:w="864"/>
        <w:gridCol w:w="109"/>
        <w:gridCol w:w="109"/>
        <w:gridCol w:w="109"/>
        <w:gridCol w:w="271"/>
        <w:gridCol w:w="466"/>
        <w:gridCol w:w="141"/>
        <w:gridCol w:w="109"/>
        <w:gridCol w:w="109"/>
        <w:gridCol w:w="109"/>
        <w:gridCol w:w="211"/>
        <w:gridCol w:w="511"/>
        <w:gridCol w:w="109"/>
        <w:gridCol w:w="109"/>
        <w:gridCol w:w="109"/>
        <w:gridCol w:w="109"/>
        <w:gridCol w:w="331"/>
        <w:gridCol w:w="326"/>
        <w:gridCol w:w="956"/>
      </w:tblGrid>
      <w:tr>
        <w:trPr/>
        <w:tc>
          <w:tcPr>
            <w:tcW w:w="7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Amount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Amount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8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taxes</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9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Ad valorem taxes are based, among other factors, on property values driven by prior year commodity prices. Ad valorem taxes as a percentage of royalty income for the six months ended June 30, 2026 decreased slightly from the same period in 2025 due primarily to current valuations reflecting lower 2025 commodity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Depreciation, Depletion, and Amortization. </w:t>
      </w:r>
      <w:r>
        <w:rPr>
          <w:rFonts w:ascii="Times New Roman;serif" w:hAnsi="Times New Roman;serif"/>
          <w:b w:val="false"/>
          <w:color w:val="000000"/>
          <w:sz w:val="20"/>
        </w:rPr>
        <w:t xml:space="preserve">The $210 million increase in depreciation, depletion, and amortization expense for the six months ended June 30, 2026, compared to the same period in 2025 consisted primarily of (i) $179 million from growth in production volumes, and (ii) $31 million due to an increase in the depletion rate to $16.71 per BOE for the six months ended June 30, 2026 compared to $15.43 per BOE for the same period in 2025, primarily from the addition of leasehold costs and reserves from the 2025 Drop Down and the Sitio Acquisition and partially offset by the decline in the depletion rate following the ceiling test impairment from the third and fourth quarters of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Interest Expense, Net. </w:t>
      </w:r>
      <w:r>
        <w:rPr>
          <w:rFonts w:ascii="Times New Roman;serif" w:hAnsi="Times New Roman;serif"/>
          <w:b w:val="false"/>
          <w:color w:val="000000"/>
          <w:sz w:val="20"/>
        </w:rPr>
        <w:t>Interest expense, net increased $23 million for the six months ended June 30, 2026, compared to the same period in 2025 primarily due to (i) $44 million in additional expense incurred for our Guaranteed Senior Notes, and (ii) a decrease of $5 million in interest income, which were partially offset by interest cost savings of approximately $26 million due to the early termination of the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Derivative Instruments. </w:t>
      </w:r>
      <w:r>
        <w:rPr>
          <w:rFonts w:ascii="Times New Roman;serif" w:hAnsi="Times New Roman;serif"/>
          <w:b w:val="false"/>
          <w:color w:val="000000"/>
          <w:sz w:val="20"/>
        </w:rPr>
        <w:t>The following table shows the net gain (loss) on derivative instruments and the net cash receipts (payments) on derivatives for the periods presented:</w:t>
      </w:r>
    </w:p>
    <w:p>
      <w:pPr>
        <w:pStyle w:val="TextBody"/>
        <w:bidi w:val="0"/>
        <w:spacing w:before="0" w:after="0"/>
        <w:ind w:left="0" w:right="0" w:firstLine="720"/>
        <w:jc w:val="both"/>
        <w:rPr/>
      </w:pPr>
      <w:r>
        <w:rPr/>
      </w:r>
    </w:p>
    <w:tbl>
      <w:tblPr>
        <w:tblW w:w="5905" w:type="dxa"/>
        <w:jc w:val="left"/>
        <w:tblInd w:w="0" w:type="dxa"/>
        <w:tblLayout w:type="fixed"/>
        <w:tblCellMar>
          <w:top w:w="28" w:type="dxa"/>
          <w:left w:w="28" w:type="dxa"/>
          <w:bottom w:w="28" w:type="dxa"/>
          <w:right w:w="28" w:type="dxa"/>
        </w:tblCellMar>
      </w:tblPr>
      <w:tblGrid>
        <w:gridCol w:w="1313"/>
        <w:gridCol w:w="1156"/>
        <w:gridCol w:w="1160"/>
        <w:gridCol w:w="277"/>
        <w:gridCol w:w="474"/>
        <w:gridCol w:w="143"/>
        <w:gridCol w:w="143"/>
        <w:gridCol w:w="143"/>
        <w:gridCol w:w="143"/>
        <w:gridCol w:w="277"/>
        <w:gridCol w:w="474"/>
        <w:gridCol w:w="202"/>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receipts (payments) on derivatives</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$15 million increase in the gain on derivative instruments, net for the six months ended June 30, 2026, compared to the same period in 2025 consisted primarily of $33 million in additional cash receipts on settled natural gas basis swaps, partially offset by (i) $10 million in additional cash paid to settle oil contracts, (ii) a reduction of approximately $7 million in the value of our open natural gas contracts due primarily to changes in the differential between prices for Waha Hub and Henry Hub on our basis swaps, and (iii) other insignificant changes. See Note 10—</w:t>
      </w:r>
      <w:hyperlink w:anchor="ic47f36a9806d4b1abad08073353cc304_70">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 of our open contracts at June 30, 2026.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$72 million increase in income tax expense for the six months ended June 30, 2026, compared to the same period in 2025 primarily resulted from an increase in pre-tax income attributable to Viper and changes to the estimated deferred taxes recognized in connection with the closing of the Sitio Acquisition. See Note 9—</w:t>
      </w:r>
      <w:hyperlink w:anchor="ic47f36a9806d4b1abad08073353cc304_67">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income tax expense.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Net Income (Loss) Attributable to Non-Controlling Interest. </w:t>
      </w:r>
      <w:r>
        <w:rPr>
          <w:rFonts w:ascii="Times New Roman;serif" w:hAnsi="Times New Roman;serif"/>
          <w:b w:val="false"/>
          <w:color w:val="000000"/>
          <w:sz w:val="20"/>
        </w:rPr>
        <w:t>The $182 million increase in net income attributable to non-controlling interest for the six months ended June 30, 2026, compared to the same period in 2025 was primarily due to (i) an increase in net income, and (ii) changes in the non-controlling interest in the Operating Company resulting from the Drop Down Equity Issuance and the issuance of OpCo Units to fund the Sitio Acquisition, which were partially offset by a dilution of the non-controlling interest following the 2025 Equity Offering and the 2026 Secondary Offering.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Overview of Sources and Uses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Historically, our primary sources of liquidity have been cash flow from operations, equity and debt offerings, borrowings under </w:t>
      </w:r>
      <w:r>
        <w:rPr>
          <w:rFonts w:ascii="Times New Roman;serif" w:hAnsi="Times New Roman;serif"/>
          <w:b w:val="false"/>
          <w:color w:val="000000"/>
          <w:sz w:val="20"/>
          <w:shd w:fill="FFFFFF" w:val="clear"/>
        </w:rPr>
        <w:t xml:space="preserve">our </w:t>
      </w:r>
      <w:r>
        <w:rPr>
          <w:rFonts w:ascii="Times New Roman;serif" w:hAnsi="Times New Roman;serif"/>
          <w:b w:val="false"/>
          <w:color w:val="000000"/>
          <w:sz w:val="20"/>
        </w:rPr>
        <w:t>Revolving Credit Facility</w:t>
      </w:r>
      <w:r>
        <w:rPr>
          <w:rFonts w:ascii="Times New Roman;serif" w:hAnsi="Times New Roman;serif"/>
          <w:b w:val="false"/>
          <w:color w:val="000000"/>
          <w:sz w:val="20"/>
          <w:shd w:fill="FFFFFF" w:val="clear"/>
        </w:rPr>
        <w:t>, term loan agreements</w:t>
      </w:r>
      <w:r>
        <w:rPr>
          <w:color w:val="000000"/>
        </w:rPr>
        <w:t xml:space="preserve"> </w:t>
      </w:r>
      <w:r>
        <w:rPr>
          <w:rFonts w:ascii="Times New Roman;serif" w:hAnsi="Times New Roman;serif"/>
          <w:b w:val="false"/>
          <w:color w:val="000000"/>
          <w:sz w:val="20"/>
        </w:rPr>
        <w:t xml:space="preserve">and proceeds from sales of non-core assets. Our primary uses of cash have been dividends to our stockholders, Operating Company distributions to the holders of OpCo Units, repayments of debt, capital expenditures for the acquisition of our mineral and royalty interests in oil and natural gas properties and repurchases of our Common Stock and OpCo Units.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working capital requirements are supported by our cash and cash equivalents and our Revolving Credit Facility. At June 30, 2026, we had $1.99 billion of liquidity consisting of $77 million in cash and cash equivalents and $1.91 billion in available borrowings under our Revolving Credit Facility. See “—</w:t>
      </w:r>
      <w:hyperlink w:anchor="ic47f36a9806d4b1abad08073353cc304_121">
        <w:r>
          <w:rPr>
            <w:rStyle w:val="InternetLink"/>
            <w:rFonts w:ascii="Times New Roman;serif" w:hAnsi="Times New Roman;serif"/>
            <w:b w:val="false"/>
            <w:i/>
            <w:color w:val="0000FF"/>
            <w:sz w:val="20"/>
            <w:u w:val="single"/>
          </w:rPr>
          <w:t>Capital Resources</w:t>
        </w:r>
      </w:hyperlink>
      <w:r>
        <w:rPr>
          <w:color w:val="000000"/>
        </w:rPr>
        <w:t xml:space="preserve">” </w:t>
      </w:r>
      <w:r>
        <w:rPr>
          <w:rFonts w:ascii="Times New Roman;serif" w:hAnsi="Times New Roman;serif"/>
          <w:b w:val="false"/>
          <w:color w:val="000000"/>
          <w:sz w:val="20"/>
        </w:rPr>
        <w:t>below for additional discussions of changes in our sources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draw on our Revolving Credit Facility to meet short-term cash requirements, or issue debt or equity securities as part of our longer-term liquidity and capital management program. Because of the alternatives available to us as discussed above, we believe our short-term and long-term liquidity are adequate to fund not only our current operations, but also our near-term and long-term funding requirements.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order to mitigate volatility in oil and natural gas prices, we have entered into commodity derivative contracts as discussed further in Note 10—</w:t>
      </w:r>
      <w:hyperlink w:anchor="ic47f36a9806d4b1abad08073353cc304_70">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cash flows for the periods indicated:</w:t>
      </w:r>
    </w:p>
    <w:p>
      <w:pPr>
        <w:pStyle w:val="TextBody"/>
        <w:bidi w:val="0"/>
        <w:spacing w:before="0" w:after="0"/>
        <w:ind w:left="0" w:right="0" w:firstLine="720"/>
        <w:jc w:val="both"/>
        <w:rPr/>
      </w:pPr>
      <w:r>
        <w:rPr/>
      </w:r>
    </w:p>
    <w:tbl>
      <w:tblPr>
        <w:tblW w:w="6594" w:type="dxa"/>
        <w:jc w:val="left"/>
        <w:tblInd w:w="0" w:type="dxa"/>
        <w:tblLayout w:type="fixed"/>
        <w:tblCellMar>
          <w:top w:w="28" w:type="dxa"/>
          <w:left w:w="28" w:type="dxa"/>
          <w:bottom w:w="28" w:type="dxa"/>
          <w:right w:w="28" w:type="dxa"/>
        </w:tblCellMar>
      </w:tblPr>
      <w:tblGrid>
        <w:gridCol w:w="1562"/>
        <w:gridCol w:w="1374"/>
        <w:gridCol w:w="1384"/>
        <w:gridCol w:w="247"/>
        <w:gridCol w:w="546"/>
        <w:gridCol w:w="127"/>
        <w:gridCol w:w="127"/>
        <w:gridCol w:w="127"/>
        <w:gridCol w:w="127"/>
        <w:gridCol w:w="247"/>
        <w:gridCol w:w="546"/>
        <w:gridCol w:w="180"/>
      </w:tblGrid>
      <w:tr>
        <w:trPr/>
        <w:tc>
          <w:tcPr>
            <w:tcW w:w="15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operating cash flow is sensitive to many variables, the most significant of which are the volatility of prices for oil and natural gas and the volumes of oil, natural gas and natural gas liquids sold by our operators. The increase in net cash provided by operating activities during the six months ended June 30, 2026, compared to the same period in 2025 was primarily driven by an increase in royalty income, which was partially offset by (i) changes in our working capital accounts including the timing of when accounts receivable are collected and when payments are made on accounts payable, and (ii) an increase in certain cash payments, including for federal taxes, interest on our debt, and production and ad valorem taxes. See “</w:t>
      </w:r>
      <w:hyperlink w:anchor="ic47f36a9806d4b1abad08073353cc304_109">
        <w:r>
          <w:rPr>
            <w:rStyle w:val="InternetLink"/>
            <w:color w:val="0000FF"/>
            <w:u w:val="single"/>
          </w:rPr>
          <w:t>—</w:t>
        </w:r>
      </w:hyperlink>
      <w:hyperlink w:anchor="ic47f36a9806d4b1abad08073353cc304_109">
        <w:r>
          <w:rPr>
            <w:rStyle w:val="InternetLink"/>
            <w:rFonts w:ascii="Times New Roman;serif" w:hAnsi="Times New Roman;serif"/>
            <w:b w:val="false"/>
            <w:i/>
            <w:color w:val="0000FF"/>
            <w:sz w:val="20"/>
            <w:u w:val="single"/>
          </w:rPr>
          <w:t>Results of Operations</w:t>
        </w:r>
      </w:hyperlink>
      <w:r>
        <w:rPr>
          <w:color w:val="000000"/>
        </w:rPr>
        <w:t xml:space="preserve">” </w:t>
      </w:r>
      <w:r>
        <w:rPr>
          <w:rFonts w:ascii="Times New Roman;serif" w:hAnsi="Times New Roman;serif"/>
          <w:b w:val="false"/>
          <w:color w:val="000000"/>
          <w:sz w:val="20"/>
        </w:rPr>
        <w:t>for discussion of significant changes in our income and expenses.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Net cash provided by investing activities during the six months ended June 30, 2026, was primarily related to proceeds received from the Non-Permian Divestiture, partially offset by individually insignificant acquisitions of oil and natural gas properties. See Note 4—</w:t>
      </w:r>
      <w:hyperlink w:anchor="ic47f36a9806d4b1abad08073353cc304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additional information on these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June 30, 2025, was primarily related to acquisitions of oil and natural gas properties in the 2025 Drop Down and from other third parties.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six months ended June 30, 2026, was primarily attributable to (i) $500 million paid for the retirement of the Term Loan, (ii) $494 million of dividends and dividend equivalent rights paid to holders of our OpCo Units and our Class A Common Stock, (iii) $228 million of securities repurchases under our repurchase program, and (iv) repayments, net of borrowings, of $10 million on our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six months ended June 30, 2025, was primarily attributable to proceeds of $1.2 billion from the 2025 Equity Offering and net borrowings of $64 million on our Revolving Credit Facility. These cash inflows were partially offset by $345 million of dividends paid to holders of our OpCo Units and our Class A Common Stock and $50 million paid for the redemption of principal outstanding on certain senior notes.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Revolving Credit Facility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the Company, as the parent guarantor, and VNOM Sub, Inc., as a guarantor, entered into a first amendment to the Revolving Credit Agreement with Viper Energy Partners LP, as borrower, the lenders and other guarantors named therein and Wells Fargo Bank, National Association, as administrative agent, which among other things, (i) increased the total commitments under the Revolving Credit Agreement from $1.50 billion to $2.00 billion, and (ii) extended the maturity date from June 12, 2030, to June 12, 2031. We had $95 million in outstanding borrowings and $1.91 billion of availability at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6—</w:t>
      </w:r>
      <w:hyperlink w:anchor="ic47f36a9806d4b1abad08073353cc304_58">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discussions of our debt.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Requirements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Repurchases of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On December 10, 2025, </w:t>
      </w:r>
      <w:r>
        <w:rPr>
          <w:rFonts w:ascii="Times New Roman;serif" w:hAnsi="Times New Roman;serif"/>
          <w:b w:val="false"/>
          <w:color w:val="000000"/>
          <w:sz w:val="20"/>
        </w:rPr>
        <w:t>our board of directors expanded the repurc</w:t>
      </w:r>
      <w:r>
        <w:rPr>
          <w:rFonts w:ascii="Times New Roman;serif" w:hAnsi="Times New Roman;serif"/>
          <w:b w:val="false"/>
          <w:color w:val="000000"/>
          <w:sz w:val="20"/>
          <w:shd w:fill="FFFFFF" w:val="clear"/>
        </w:rPr>
        <w:t xml:space="preserve">hase program to include repurchases of our Class B Common Stock and OpCo Units </w:t>
      </w:r>
      <w:r>
        <w:rPr>
          <w:rFonts w:ascii="Times New Roman;serif" w:hAnsi="Times New Roman;serif"/>
          <w:b w:val="false"/>
          <w:color w:val="000000"/>
          <w:sz w:val="20"/>
        </w:rPr>
        <w:t>in addition to our previously authorized Class A Common Stock</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On </w:t>
      </w:r>
      <w:r>
        <w:rPr>
          <w:rFonts w:ascii="Times New Roman;serif" w:hAnsi="Times New Roman;serif"/>
          <w:b w:val="false"/>
          <w:color w:val="000000"/>
          <w:sz w:val="20"/>
          <w:shd w:fill="FFFFFF" w:val="clear"/>
        </w:rPr>
        <w:t>February 18, 2026</w:t>
      </w:r>
      <w:r>
        <w:rPr>
          <w:rFonts w:ascii="Times New Roman;serif" w:hAnsi="Times New Roman;serif"/>
          <w:b w:val="false"/>
          <w:color w:val="000000"/>
          <w:sz w:val="20"/>
        </w:rPr>
        <w:t>, our board of directors also approved an increase in our repurchase program authorization from $750 million to $1.75 billion, excluding the 1% U.S. federal excise tax on certain repurchases of stock by publicly traded U.S. corporations enacted as part of the Inflation Reduction Act of 2022. Since the inception of our repurchase program through July 31, 2026, we have repurchased an aggregate of 22,315,760 shares of our Class A Common Stock and 2,000,000 shares of our Class B Common Stock and OpCo Units for a total cost of $766 million, excluding any applicable excise tax, leaving approximately $984 million for future repurchases under the repurchase program. See Note 7—</w:t>
      </w:r>
      <w:hyperlink w:anchor="ic47f36a9806d4b1abad08073353cc304_61">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our 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Second Quarter 2026 Cash Dividends and Return of Capital Update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Operating Company will pay a cash dividend for the second quarter of 2026 in accordance with its distribution policy of $0.97 per OpCo Unit on August 20, 2026, to eligible holders of record at the close of business on August 13,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repurchases under our repurchase program, we will pay a cash dividend for the second quarter of 2026 of $0.67 per share of Class A Common Stock payable on August 20, 2026, to eligible holders of record at the close of business on August 13, 2026. The dividend to stockholders consists of a base quarterly dividend of $0.38 per share of Class A Common Stock and a variable quarterly dividend of $0.29 per share of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We expect to continue paying quarterly cash dividends in respect of our Class A Common Stock and OpCo Units. However, beginning in the third quarter of 2026, we intend to transition away from our commitment to return at least 75% of cash available for distribution each quarter, and will increase the annual base dividend to $2.00 per share of our Class A Common Stock, which annual dividend will be payable in quarterly installments of $0.50 per share of our Class A Common Stock. The flexibility created by retaining excess cash flow will allow us to continue to opportunistically repurchase shares, reduce debt and pursue a disciplined mergers and acquisitions strategy, all of which we expect to compound value for our stockholders over the long term. Future dividends on Class A Common Stock and stock repurchases are not required and are at the discretion of the board of directors, who may change the dividend policy and/or share repurchase program at any time. See Note 7—</w:t>
      </w:r>
      <w:hyperlink w:anchor="ic47f36a9806d4b1abad08073353cc304_61">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the repurchase program and dividends.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Guarantor Disclosure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Guaranteed Senior Notes are fully and unconditionally guaranteed by each of Former Viper and New Viper. Following the Reorganization, Viper Energy Partners LP became the issuer of the 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Guaranteed Senior Notes and the guarantees are obligations of the issuer and the guarantors that (i) are senior unsecured obligations and rank equally in right of payment with all of their respective existing and future senior indebtedness, including obligations under the Revolving Credit Facility, (ii) rank senior in right of payment to any of their respective future indebtedness that is expressly subordinated in right of payment to the Guaranteed Senior Notes or the guarantees, as applicable, (iii) are effectively subordinated to any of their respective existing and future secured indebtedness to the extent of the value of the collateral securing such indebtedness, and (iv) are structurally subordinated to all existing and future indebtedness and other liabilities (including trade payables) of subsidiaries that are not obligors under the 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of bankruptcy, liquidation, reorganization or other winding up of the issuer or a guarantor or upon a default in payment with respect to, or the acceleration of, any senior secured indebtedness of the issuer or a guarantor, the assets that secure such senior secured indebtedness will be available to pay obligations on the Guaranteed Senior Notes and the guarantees only after all obligations under such senior secured indebtedness have been repaid in full from such assets. There may not be sufficient assets remaining to pay amounts due on any or all of the Guaranteed Senior Notes then outstanding and the guarantees.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of the guarantors under the guarantees are limited in a manner designed to prevent the guarantees from constituting a fraudulent conveyance or fraudulent transfer under applicable law, although no assurance can be given that a court would give the holder the benefit of such provision. If a guarantee were rendered voidable, it could be subordinated by a court to all other indebtedness (including contingent liabilities) of such guarantor, and, depending on the amount of such indebtedness, the guarantor’s liability on such guarantee could be reduced to zero.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Rule 3-10 of Regulation S-X, subsidiary issuers of obligations guaranteed by the parent are not required to provide separate financial statements, provided that the subsidiary obligor is consolidated into the parent company’s condensed consolidated financial statements, the parent guarantee is “full and unconditional,” except that such guarantee will be released or terminated in certain circumstances set forth in the indentures governing the Guaranteed Senior Notes, and, subject to certain exceptions, the alternative disclosures specified in Rule 13-01 are provided, which include narrative disclosure and summarized financial information. Accordingly, separate consolidated financial statements of the issuer have not been presented. Furthermore, as permitted under Rule 13-01(a)(4)(vi) of Regulation S-X, we have excluded the summarized financial information for the issuer because the assets, liabilities and results of operations of the issuer are not materially different than the corresponding amounts in our condensed consolidated financial statements and management believes such summarized financial information would be repetitive and would not provide incremental value to investors.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There have been no changes to our critical accounting estimates from those disclosed in our </w:t>
      </w:r>
      <w:hyperlink r:id="rId4">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2—</w:t>
      </w:r>
      <w:hyperlink w:anchor="ic47f36a9806d4b1abad08073353cc304_43">
        <w:r>
          <w:rPr>
            <w:rStyle w:val="InternetLink"/>
            <w:rFonts w:ascii="Times New Roman;serif" w:hAnsi="Times New Roman;serif"/>
            <w:b w:val="false"/>
            <w:color w:val="0000FF"/>
            <w:sz w:val="20"/>
            <w:u w:val="single"/>
          </w:rPr>
          <w:t>Summary of Significant Accounting Policies</w:t>
        </w:r>
      </w:hyperlink>
      <w:r>
        <w:rPr>
          <w:color w:val="000000"/>
        </w:rPr>
        <w:t xml:space="preserve"> </w:t>
      </w:r>
      <w:r>
        <w:rPr>
          <w:rFonts w:ascii="Times New Roman;serif" w:hAnsi="Times New Roman;serif"/>
          <w:b w:val="false"/>
          <w:color w:val="000000"/>
          <w:sz w:val="20"/>
        </w:rPr>
        <w:t>of the notes to the condensed consolidated financial statements for recent accounting pronouncements not yet adopted, if 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Other than the repayment and termination of the Term Loan in the first quarter of 2026, information about market risks for the six months ended June 30, 2026 did not differ materially from that disclosed in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"i636f90b9a2bf4a46ad5fe64678400ed7_88"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II. Item 7A. Quantitative and Qualitative Disclosures About Market Risk in the Company’s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 evaluation was performed under the supervision and with the participation of management, including our Chief Executive Officer and Chief Financial Officer, of the effectiveness of our disclosure controls and procedures pursuant to Rule 13a-15(b) under the Exchange Act. Based upon our evaluation, our Chief Executive Officer and Chief Financial Officer have concluded that, as of June 30, 2026, our disclosure controls and procedures were effective at the reasonable assurance level.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Changes in Internal Control over Financial Reporting. </w:t>
      </w:r>
      <w:r>
        <w:rPr>
          <w:rFonts w:ascii="Times New Roman;serif" w:hAnsi="Times New Roman;serif"/>
          <w:b w:val="false"/>
          <w:color w:val="000000"/>
          <w:sz w:val="20"/>
        </w:rPr>
        <w:t>We are in the process of integrating the entities acquired in the Sitio Acquisition. As a result of these integration activities, certain controls will be evaluated and may be changed. Except as noted above, there have not been any changes in our internal control over financial reporting that occurred during the second quarter of 2026 that have materially affected, or are reasonably likely to materially affect, our internal control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ic47f36a9806d4b1abad08073353cc304_76">
        <w:r>
          <w:rPr>
            <w:rStyle w:val="InternetLink"/>
            <w:rFonts w:ascii="Times New Roman;serif" w:hAnsi="Times New Roman;serif"/>
            <w:b w:val="false"/>
            <w:color w:val="0000FF"/>
            <w:sz w:val="20"/>
            <w:u w:val="single"/>
          </w:rPr>
          <w:t>Commitments and Contingencies</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of the date of this filing, we continue to be subject to the risk factors previously disclosed in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 Item 1A. Risk Factors in our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 xml:space="preserve">for the year ended December 31, 2025, filed with the SEC on February 25, 2026. There have been no material changes in our risk factors from those described in our </w:t>
      </w:r>
      <w:hyperlink r:id="rId5">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Class A Common Stock repurchase activity for the three months ended June 30, 2026,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16"/>
        <w:gridCol w:w="366"/>
        <w:gridCol w:w="371"/>
        <w:gridCol w:w="109"/>
        <w:gridCol w:w="109"/>
        <w:gridCol w:w="109"/>
        <w:gridCol w:w="500"/>
        <w:gridCol w:w="500"/>
        <w:gridCol w:w="501"/>
        <w:gridCol w:w="109"/>
        <w:gridCol w:w="109"/>
        <w:gridCol w:w="109"/>
        <w:gridCol w:w="305"/>
        <w:gridCol w:w="891"/>
        <w:gridCol w:w="157"/>
        <w:gridCol w:w="109"/>
        <w:gridCol w:w="109"/>
        <w:gridCol w:w="109"/>
        <w:gridCol w:w="746"/>
        <w:gridCol w:w="746"/>
        <w:gridCol w:w="749"/>
        <w:gridCol w:w="109"/>
        <w:gridCol w:w="109"/>
        <w:gridCol w:w="109"/>
        <w:gridCol w:w="566"/>
        <w:gridCol w:w="1658"/>
        <w:gridCol w:w="425"/>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Approximate Dollar Value of Shares that May Yet Be Purchased Under the Plan</w:t>
            </w:r>
            <w:r>
              <w:rPr>
                <w:rFonts w:ascii="Times New Roman;serif" w:hAnsi="Times New Roman;serif"/>
                <w:b/>
                <w:color w:val="000000"/>
                <w:sz w:val="12"/>
              </w:rPr>
              <w:t>(1)(3)</w:t>
            </w:r>
          </w:p>
        </w:tc>
      </w:tr>
      <w:tr>
        <w:trPr/>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and shares in ones)</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On December 10, 2025, our</w:t>
      </w:r>
      <w:r>
        <w:rPr>
          <w:color w:val="000000"/>
        </w:rPr>
        <w:t xml:space="preserve"> </w:t>
      </w:r>
      <w:r>
        <w:rPr>
          <w:rFonts w:ascii="Times New Roman;serif" w:hAnsi="Times New Roman;serif"/>
          <w:b w:val="false"/>
          <w:color w:val="000000"/>
          <w:sz w:val="20"/>
        </w:rPr>
        <w:t>board of directors approved expanding the repurc</w:t>
      </w:r>
      <w:r>
        <w:rPr>
          <w:rFonts w:ascii="Times New Roman;serif" w:hAnsi="Times New Roman;serif"/>
          <w:b w:val="false"/>
          <w:color w:val="000000"/>
          <w:sz w:val="20"/>
          <w:shd w:fill="FFFFFF" w:val="clear"/>
        </w:rPr>
        <w:t xml:space="preserve">hase program to include repurchases of </w:t>
      </w:r>
      <w:r>
        <w:rPr>
          <w:rFonts w:ascii="Times New Roman;serif" w:hAnsi="Times New Roman;serif"/>
          <w:b w:val="false"/>
          <w:color w:val="000000"/>
          <w:sz w:val="20"/>
        </w:rPr>
        <w:t>Class B Common Stock and OpCo Units. The Class B Common Stock and OpCo Units are not registered securities pursuant to Section 12 of the Exchange Act and as such repurchases of such unregistered securities are excluded from the shares listed in the table above. During March 2026, we repurchased 1,000,000 OpCo Units for an aggregate purchase price of approximately $46 million, or $45.69 per OpCo Unit, and canceled an equal number of shares of Class B Common Stock. The approximately $1.01 billion remaining under the repurchase program for future repurchases at June 30, 2026 in the table above gives effect to such repurchase of OpCo Units.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(3)On July 26, 2022, our board of directors increased the authorization under our then-in-effect repurchase program from $250 million to $750 million. On February 18, 2026, the board further increased the authorization to $1.75 billion. This repurchase program has no expiration date and remains subject to market conditions, applicable legal requirements, contractual obligations and other factors and may be suspended, modified or extended, from time to time, or may be discontinued at any time, in each case, by our board of directors.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adopted or terminated a Rule 10b5-1 trading arrangement or a non-Rule 10b5-1 trading arrangement during our fiscal quarter ended June 30,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Diamondback Executive Retirement Policy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maintains an Executive Retirement Policy (the “Policy”) pursuant to which participants are entitled to receive certain payments and benefits upon the qualifying retirement of the participant. On August 1, 2026, the compensation committee of the Company’s board of directors approved the Policy solely as it relates to the treatment of Company equity awards, such that upon a qualifying retirement the participant will be entitled to: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full accelerated vesting of all outstanding and unvested Company restricted stock units held by the participant that were granted on or after the effective date of the Policy;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continued eligibility to vest in all outstanding Company performance stock units held by the participant, based on actual achievement of applicable performance goals, for up to 12 months following the participant’s retirement date (or 24 months for participants with at least 15 years of employment).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foregoing qualifying retirement payments and benefits are subject to the participant’s execution of a general release of claims and continued compliance with applicable restrictive covenants. Eligible participants include the following named executive officers of the Company who currently are officers:</w:t>
      </w:r>
      <w:r>
        <w:rPr>
          <w:color w:val="000000"/>
        </w:rPr>
        <w:t xml:space="preserve"> </w:t>
      </w:r>
      <w:r>
        <w:rPr>
          <w:rFonts w:ascii="Times New Roman;serif" w:hAnsi="Times New Roman;serif"/>
          <w:b w:val="false"/>
          <w:color w:val="000000"/>
          <w:sz w:val="20"/>
        </w:rPr>
        <w:t>Kaes Van’t Hof (Chief Executive Officer), Teresa Dick (Chief Financial Officer), Al Barkmann (Chief Engineer) and Austen Gilfillian (President).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25"/>
        <w:gridCol w:w="286"/>
        <w:gridCol w:w="287"/>
        <w:gridCol w:w="109"/>
        <w:gridCol w:w="109"/>
        <w:gridCol w:w="109"/>
        <w:gridCol w:w="2678"/>
        <w:gridCol w:w="2596"/>
        <w:gridCol w:w="3706"/>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8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80"/>
                  <w:sz w:val="20"/>
                  <w:u w:val="single"/>
                </w:rPr>
                <w:t>Second Amended and Restated Certificate of Incorporation of New Viper (incorporated by reference to Exhibit 3.1 of New Viper’s Current Report on Form 8-K</w:t>
              </w:r>
            </w:hyperlink>
            <w:hyperlink r:id="rId7">
              <w:r>
                <w:rPr>
                  <w:rStyle w:val="InternetLink"/>
                  <w:rFonts w:ascii="Times New Roman;serif" w:hAnsi="Times New Roman;serif"/>
                  <w:b w:val="false"/>
                  <w:color w:val="000080"/>
                  <w:sz w:val="20"/>
                  <w:u w:val="single"/>
                </w:rPr>
                <w:t xml:space="preserve"> (File No. 001-42807), filed on </w:t>
              </w:r>
            </w:hyperlink>
            <w:hyperlink r:id="rId8">
              <w:r>
                <w:rPr>
                  <w:rStyle w:val="InternetLink"/>
                  <w:rFonts w:ascii="Times New Roman;serif" w:hAnsi="Times New Roman;serif"/>
                  <w:b w:val="false"/>
                  <w:color w:val="000080"/>
                  <w:sz w:val="20"/>
                  <w:u w:val="single"/>
                </w:rPr>
                <w:t>May</w:t>
              </w:r>
            </w:hyperlink>
            <w:hyperlink r:id="rId9">
              <w:r>
                <w:rPr>
                  <w:rStyle w:val="InternetLink"/>
                  <w:rFonts w:ascii="Times New Roman;serif" w:hAnsi="Times New Roman;serif"/>
                  <w:b w:val="false"/>
                  <w:color w:val="000080"/>
                  <w:sz w:val="20"/>
                  <w:u w:val="single"/>
                </w:rPr>
                <w:t xml:space="preserve"> 19, 202</w:t>
              </w:r>
            </w:hyperlink>
            <w:hyperlink r:id="rId10">
              <w:r>
                <w:rPr>
                  <w:rStyle w:val="InternetLink"/>
                  <w:rFonts w:ascii="Times New Roman;serif" w:hAnsi="Times New Roman;serif"/>
                  <w:b w:val="false"/>
                  <w:color w:val="000080"/>
                  <w:sz w:val="20"/>
                  <w:u w:val="single"/>
                </w:rPr>
                <w:t>6</w:t>
              </w:r>
            </w:hyperlink>
            <w:hyperlink r:id="rId11">
              <w:r>
                <w:rPr>
                  <w:rStyle w:val="InternetLink"/>
                  <w:rFonts w:ascii="Times New Roman;serif" w:hAnsi="Times New Roman;serif"/>
                  <w:b w:val="false"/>
                  <w:color w:val="000080"/>
                  <w:sz w:val="20"/>
                  <w:u w:val="single"/>
                </w:rPr>
                <w:t>).</w:t>
              </w:r>
            </w:hyperlink>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20"/>
                  <w:u w:val="single"/>
                </w:rPr>
                <w:t>Certificate of Amendment to the Certificate of Incorporation of New Viper (incorporated by reference to Exhibit 3.2 of New Viper’s Current Report on Form 8-K12B (File No. 001-42807), filed on August 19, 2025).</w:t>
              </w:r>
            </w:hyperlink>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erif" w:hAnsi="Times New Roman;serif"/>
                  <w:b w:val="false"/>
                  <w:color w:val="000080"/>
                  <w:sz w:val="20"/>
                  <w:u w:val="single"/>
                </w:rPr>
                <w:t>S</w:t>
              </w:r>
            </w:hyperlink>
            <w:hyperlink r:id="rId14">
              <w:r>
                <w:rPr>
                  <w:rStyle w:val="InternetLink"/>
                  <w:rFonts w:ascii="Times New Roman;serif" w:hAnsi="Times New Roman;serif"/>
                  <w:b w:val="false"/>
                  <w:color w:val="000080"/>
                  <w:sz w:val="20"/>
                  <w:u w:val="single"/>
                </w:rPr>
                <w:t>econd Amended and Restated Certificate of Incorporation of New Viper (incorporated by reference to Exhibit 3.1 of New Viper</w:t>
              </w:r>
            </w:hyperlink>
            <w:hyperlink r:id="rId15">
              <w:r>
                <w:rPr>
                  <w:rStyle w:val="InternetLink"/>
                  <w:rFonts w:ascii="Times New Roman;serif" w:hAnsi="Times New Roman;serif"/>
                  <w:b w:val="false"/>
                  <w:color w:val="000080"/>
                  <w:sz w:val="20"/>
                  <w:u w:val="single"/>
                </w:rPr>
                <w:t>’</w:t>
              </w:r>
            </w:hyperlink>
            <w:hyperlink r:id="rId16">
              <w:r>
                <w:rPr>
                  <w:rStyle w:val="InternetLink"/>
                  <w:rFonts w:ascii="Times New Roman;serif" w:hAnsi="Times New Roman;serif"/>
                  <w:b w:val="false"/>
                  <w:color w:val="000080"/>
                  <w:sz w:val="20"/>
                  <w:u w:val="single"/>
                </w:rPr>
                <w:t>s Current Report on Form 8-K (File No. 001-42807), filed on May 19, 2026).</w:t>
              </w:r>
            </w:hyperlink>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erif" w:hAnsi="Times New Roman;serif"/>
                  <w:b w:val="false"/>
                  <w:color w:val="0000FF"/>
                  <w:sz w:val="20"/>
                  <w:u w:val="single"/>
                </w:rPr>
                <w:t>Second Amended and Restated Bylaws of New Viper (incorporated by reference to Exhibit 3.3 of New Viper’s Quarterly Report on Form 10-Q (File No. 001-42807), filed on November 5, 2025).</w:t>
              </w:r>
            </w:hyperlink>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80"/>
                  <w:sz w:val="20"/>
                  <w:u w:val="single"/>
                </w:rPr>
                <w:t xml:space="preserve">First Amendment to Credit Agreement, dated as of June 12, 2026, by and among </w:t>
              </w:r>
            </w:hyperlink>
            <w:hyperlink r:id="rId19">
              <w:r>
                <w:rPr>
                  <w:rStyle w:val="InternetLink"/>
                  <w:rFonts w:ascii="Times New Roman;serif" w:hAnsi="Times New Roman;serif"/>
                  <w:b w:val="false"/>
                  <w:color w:val="000080"/>
                  <w:sz w:val="20"/>
                  <w:u w:val="single"/>
                </w:rPr>
                <w:t>New Viper</w:t>
              </w:r>
            </w:hyperlink>
            <w:hyperlink r:id="rId20">
              <w:r>
                <w:rPr>
                  <w:rStyle w:val="InternetLink"/>
                  <w:rFonts w:ascii="Times New Roman;serif" w:hAnsi="Times New Roman;serif"/>
                  <w:b w:val="false"/>
                  <w:color w:val="000080"/>
                  <w:sz w:val="20"/>
                  <w:u w:val="single"/>
                </w:rPr>
                <w:t xml:space="preserve">, VNOM Sub, Inc., </w:t>
              </w:r>
            </w:hyperlink>
            <w:hyperlink r:id="rId21">
              <w:r>
                <w:rPr>
                  <w:rStyle w:val="InternetLink"/>
                  <w:rFonts w:ascii="Times New Roman;serif" w:hAnsi="Times New Roman;serif"/>
                  <w:b w:val="false"/>
                  <w:color w:val="000080"/>
                  <w:sz w:val="20"/>
                  <w:u w:val="single"/>
                </w:rPr>
                <w:t>Viper Energy Partners LP, as borrower</w:t>
              </w:r>
            </w:hyperlink>
            <w:hyperlink r:id="rId22">
              <w:r>
                <w:rPr>
                  <w:rStyle w:val="InternetLink"/>
                  <w:rFonts w:ascii="Times New Roman;serif" w:hAnsi="Times New Roman;serif"/>
                  <w:b w:val="false"/>
                  <w:color w:val="000080"/>
                  <w:sz w:val="20"/>
                  <w:u w:val="single"/>
                </w:rPr>
                <w:t>, the lenders and guarantors party thereto, and Wells Fargo Bank, National Association, as Administrative Agent</w:t>
              </w:r>
            </w:hyperlink>
            <w:hyperlink r:id="rId23">
              <w:r>
                <w:rPr>
                  <w:rStyle w:val="InternetLink"/>
                  <w:rFonts w:ascii="Times New Roman;serif" w:hAnsi="Times New Roman;serif"/>
                  <w:b w:val="false"/>
                  <w:color w:val="000080"/>
                  <w:sz w:val="20"/>
                  <w:u w:val="single"/>
                </w:rPr>
                <w:t xml:space="preserve"> (incorporated by reference to Exhibit 10.1 of </w:t>
              </w:r>
            </w:hyperlink>
            <w:hyperlink r:id="rId24">
              <w:r>
                <w:rPr>
                  <w:rStyle w:val="InternetLink"/>
                  <w:rFonts w:ascii="Times New Roman;serif" w:hAnsi="Times New Roman;serif"/>
                  <w:b w:val="false"/>
                  <w:color w:val="000080"/>
                  <w:sz w:val="20"/>
                  <w:u w:val="single"/>
                </w:rPr>
                <w:t>New</w:t>
              </w:r>
            </w:hyperlink>
            <w:hyperlink r:id="rId25">
              <w:r>
                <w:rPr>
                  <w:rStyle w:val="InternetLink"/>
                  <w:rFonts w:ascii="Times New Roman;serif" w:hAnsi="Times New Roman;serif"/>
                  <w:b w:val="false"/>
                  <w:color w:val="000080"/>
                  <w:sz w:val="20"/>
                  <w:u w:val="single"/>
                </w:rPr>
                <w:t xml:space="preserve"> Viper’s Current Report on Form 8-K (File No. 001-</w:t>
              </w:r>
            </w:hyperlink>
            <w:hyperlink r:id="rId26">
              <w:r>
                <w:rPr>
                  <w:rStyle w:val="InternetLink"/>
                  <w:rFonts w:ascii="Times New Roman;serif" w:hAnsi="Times New Roman;serif"/>
                  <w:b w:val="false"/>
                  <w:color w:val="000080"/>
                  <w:sz w:val="20"/>
                  <w:u w:val="single"/>
                </w:rPr>
                <w:t>42807</w:t>
              </w:r>
            </w:hyperlink>
            <w:hyperlink r:id="rId27">
              <w:r>
                <w:rPr>
                  <w:rStyle w:val="InternetLink"/>
                  <w:rFonts w:ascii="Times New Roman;serif" w:hAnsi="Times New Roman;serif"/>
                  <w:b w:val="false"/>
                  <w:color w:val="000080"/>
                  <w:sz w:val="20"/>
                  <w:u w:val="single"/>
                </w:rPr>
                <w:t>) filed on June 1</w:t>
              </w:r>
            </w:hyperlink>
            <w:hyperlink r:id="rId28">
              <w:r>
                <w:rPr>
                  <w:rStyle w:val="InternetLink"/>
                  <w:rFonts w:ascii="Times New Roman;serif" w:hAnsi="Times New Roman;serif"/>
                  <w:b w:val="false"/>
                  <w:color w:val="000080"/>
                  <w:sz w:val="20"/>
                  <w:u w:val="single"/>
                </w:rPr>
                <w:t>5</w:t>
              </w:r>
            </w:hyperlink>
            <w:hyperlink r:id="rId29">
              <w:r>
                <w:rPr>
                  <w:rStyle w:val="InternetLink"/>
                  <w:rFonts w:ascii="Times New Roman;serif" w:hAnsi="Times New Roman;serif"/>
                  <w:b w:val="false"/>
                  <w:color w:val="000080"/>
                  <w:sz w:val="20"/>
                  <w:u w:val="single"/>
                </w:rPr>
                <w:t>, 202</w:t>
              </w:r>
            </w:hyperlink>
            <w:hyperlink r:id="rId30">
              <w:r>
                <w:rPr>
                  <w:rStyle w:val="InternetLink"/>
                  <w:rFonts w:ascii="Times New Roman;serif" w:hAnsi="Times New Roman;serif"/>
                  <w:b w:val="false"/>
                  <w:color w:val="000080"/>
                  <w:sz w:val="20"/>
                  <w:u w:val="single"/>
                </w:rPr>
                <w:t>6</w:t>
              </w:r>
            </w:hyperlink>
            <w:hyperlink r:id="rId31">
              <w:r>
                <w:rPr>
                  <w:rStyle w:val="InternetLink"/>
                  <w:rFonts w:ascii="Times New Roman;serif" w:hAnsi="Times New Roman;serif"/>
                  <w:b w:val="false"/>
                  <w:color w:val="000080"/>
                  <w:sz w:val="20"/>
                  <w:u w:val="single"/>
                </w:rPr>
                <w:t>).</w:t>
              </w:r>
            </w:hyperlink>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erif" w:hAnsi="Times New Roman;serif"/>
                  <w:b w:val="false"/>
                  <w:color w:val="0000FF"/>
                  <w:sz w:val="20"/>
                  <w:u w:val="single"/>
                </w:rPr>
                <w:t>List of Issuers and Subsidiary Guarantors (incorporated by reference to Exhibit 22.1 of New Viper’s Annual Report on Form 10-K (File No. 001-42807), filed on February 25, 2026.)</w:t>
              </w:r>
            </w:hyperlink>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both"/>
              <w:rPr/>
            </w:pPr>
            <w:hyperlink w:anchor="q22026viper10-qxex311.htm">
              <w:r>
                <w:rPr>
                  <w:rStyle w:val="InternetLink"/>
                  <w:rFonts w:ascii="Times New Roman;serif" w:hAnsi="Times New Roman;serif"/>
                  <w:b w:val="false"/>
                  <w:color w:val="0000FF"/>
                  <w:sz w:val="20"/>
                  <w:u w:val="single"/>
                </w:rPr>
                <w:t>Certification of Chief Executive Officer pursuant to Rule 13a-14(a) promulgated under the Securities Exchange Act of 1934, as amended.</w:t>
              </w:r>
            </w:hyperlink>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pPr>
            <w:hyperlink w:anchor="q22026viper10-qxex312.htm">
              <w:r>
                <w:rPr>
                  <w:rStyle w:val="InternetLink"/>
                  <w:rFonts w:ascii="Times New Roman;serif" w:hAnsi="Times New Roman;serif"/>
                  <w:b w:val="false"/>
                  <w:color w:val="0000FF"/>
                  <w:sz w:val="20"/>
                  <w:u w:val="single"/>
                </w:rPr>
                <w:t>Certification of Chief Financial Officer pursuant to Rule 13a-14(a) promulgated under the Securities Exchange Act of 1934, as amended.</w:t>
              </w:r>
            </w:hyperlink>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both"/>
              <w:rPr/>
            </w:pPr>
            <w:hyperlink w:anchor="q22026viper10-qxex321.htm">
              <w:r>
                <w:rPr>
                  <w:rStyle w:val="InternetLink"/>
                  <w:rFonts w:ascii="Times New Roman;serif" w:hAnsi="Times New Roman;serif"/>
                  <w:b w:val="false"/>
                  <w:color w:val="0000FF"/>
                  <w:sz w:val="20"/>
                  <w:u w:val="single"/>
                </w:rPr>
                <w:t>Certification of Chief Executive Officer and Chief Financial Officer pursuant to Rule 13a-14(b) promulgated under the Securities Exchange Act of 1934, as amended, and Section 1350 of Chapter 63 of Title 18 of the United States Code.</w:t>
              </w:r>
            </w:hyperlink>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Registrant’s Quarterly Report on Form 10-Q for the quarter ended June 30, 2026, formatted in Inline XBRL: (i) Condensed Consolidated Statements of Operations, (ii) Condensed Consolidated Balance Sheets, (iii) Condensed Consolidated Statements of Cash Flows, (iv) Condensed Consolidated Statements of Stockholders’ Equity, and (v) Notes to the Condensed Consolidated Financial Statements.</w:t>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19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Schedules have been omitted pursuant to Item 601(a)(5) of Regulation S-K promulgated by the SEC. The Company agrees to furnish supplementally a copy of any omitted schedule or exhibit to the SEC upon request.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47f36a9806d4b1abad08073353cc304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495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327"/>
        <w:gridCol w:w="327"/>
        <w:gridCol w:w="327"/>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Kaes Van’t Hof,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Viper Energy, Inc. (the “registrant”);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345"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Teresa L. Dick,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Viper Energy, Inc. (the “registrant”);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284"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586"/>
        <w:gridCol w:w="586"/>
        <w:gridCol w:w="83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 REPORT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Viper Energy, Inc. (the “Company”), as filed with the Securities and Exchange Commission on the date hereof (the “Report”), the undersigned, Kaes Van’t Hof, Chief Executive Officer of Viper Energy, Inc., and Teresa L. Dick, Chief Financial Officer of Viper Energy, Inc., certify, pursuant to 18 U.S.C. Section 1350, as adopted pursuant to Section 906 of the Sarbanes-Oxley Act of 2002, that, to their knowledge: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(15 U.S.C. 78m or 78o(d)); and </w:t>
      </w:r>
    </w:p>
    <w:p>
      <w:pPr>
        <w:pStyle w:val="TextBody"/>
        <w:bidi w:val="0"/>
        <w:spacing w:lineRule="auto" w:line="288" w:before="18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both"/>
        <w:rPr>
          <w:color w:val="000000"/>
        </w:rPr>
      </w:pPr>
      <w:r>
        <w:rPr>
          <w:color w:val="000000"/>
        </w:rPr>
        <w:t> </w:t>
      </w:r>
    </w:p>
    <w:tbl>
      <w:tblPr>
        <w:tblW w:w="4345"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2074176/000207417626000010/vnom-20251231.htm" TargetMode="External"/><Relationship Id="rId3" Type="http://schemas.openxmlformats.org/officeDocument/2006/relationships/hyperlink" Target="https://www.sec.gov/ix?doc=/Archives/edgar/data/0002074176/000207417626000010/vnom-20251231.htm" TargetMode="External"/><Relationship Id="rId4" Type="http://schemas.openxmlformats.org/officeDocument/2006/relationships/hyperlink" Target="https://www.sec.gov/ix?doc=/Archives/edgar/data/0002074176/000207417626000010/vnom-20251231.htm" TargetMode="External"/><Relationship Id="rId5" Type="http://schemas.openxmlformats.org/officeDocument/2006/relationships/hyperlink" Target="https://www.sec.gov/ix?doc=/Archives/edgar/data/0002074176/000207417626000010/vnom-20251231.htm" TargetMode="External"/><Relationship Id="rId6" Type="http://schemas.openxmlformats.org/officeDocument/2006/relationships/hyperlink" Target="https://www.sec.gov/Archives/edgar/data/2074176/000207417626000033/viperex31-51926xsecondamen.htm" TargetMode="External"/><Relationship Id="rId7" Type="http://schemas.openxmlformats.org/officeDocument/2006/relationships/hyperlink" Target="https://www.sec.gov/Archives/edgar/data/2074176/000207417626000033/viperex31-51926xsecondamen.htm" TargetMode="External"/><Relationship Id="rId8" Type="http://schemas.openxmlformats.org/officeDocument/2006/relationships/hyperlink" Target="https://www.sec.gov/Archives/edgar/data/2074176/000207417626000033/viperex31-51926xsecondamen.htm" TargetMode="External"/><Relationship Id="rId9" Type="http://schemas.openxmlformats.org/officeDocument/2006/relationships/hyperlink" Target="https://www.sec.gov/Archives/edgar/data/2074176/000207417626000033/viperex31-51926xsecondamen.htm" TargetMode="External"/><Relationship Id="rId10" Type="http://schemas.openxmlformats.org/officeDocument/2006/relationships/hyperlink" Target="https://www.sec.gov/Archives/edgar/data/2074176/000207417626000033/viperex31-51926xsecondamen.htm" TargetMode="External"/><Relationship Id="rId11" Type="http://schemas.openxmlformats.org/officeDocument/2006/relationships/hyperlink" Target="https://www.sec.gov/Archives/edgar/data/2074176/000207417626000033/viperex31-51926xsecondamen.htm" TargetMode="External"/><Relationship Id="rId12" Type="http://schemas.openxmlformats.org/officeDocument/2006/relationships/hyperlink" Target="https://www.sec.gov/Archives/edgar/data/2074176/000119312525183036/d66098dex32.htm" TargetMode="External"/><Relationship Id="rId13" Type="http://schemas.openxmlformats.org/officeDocument/2006/relationships/hyperlink" Target="https://www.sec.gov/Archives/edgar/data/2074176/000207417626000033/viperex31-51926xsecondamen.htm" TargetMode="External"/><Relationship Id="rId14" Type="http://schemas.openxmlformats.org/officeDocument/2006/relationships/hyperlink" Target="https://www.sec.gov/Archives/edgar/data/2074176/000207417626000033/viperex31-51926xsecondamen.htm" TargetMode="External"/><Relationship Id="rId15" Type="http://schemas.openxmlformats.org/officeDocument/2006/relationships/hyperlink" Target="https://www.sec.gov/Archives/edgar/data/2074176/000207417626000033/viperex31-51926xsecondamen.htm" TargetMode="External"/><Relationship Id="rId16" Type="http://schemas.openxmlformats.org/officeDocument/2006/relationships/hyperlink" Target="https://www.sec.gov/Archives/edgar/data/2074176/000207417626000033/viperex31-51926xsecondamen.htm" TargetMode="External"/><Relationship Id="rId17" Type="http://schemas.openxmlformats.org/officeDocument/2006/relationships/hyperlink" Target="https://www.sec.gov/Archives/edgar/data/2074176/000207417625000053/q32025viper10-qxex33.htm" TargetMode="External"/><Relationship Id="rId18" Type="http://schemas.openxmlformats.org/officeDocument/2006/relationships/hyperlink" Target="https://www.sec.gov/Archives/edgar/data/2074176/000110465926074042/tm2617785d1_ex10-1.htm" TargetMode="External"/><Relationship Id="rId19" Type="http://schemas.openxmlformats.org/officeDocument/2006/relationships/hyperlink" Target="https://www.sec.gov/Archives/edgar/data/2074176/000110465926074042/tm2617785d1_ex10-1.htm" TargetMode="External"/><Relationship Id="rId20" Type="http://schemas.openxmlformats.org/officeDocument/2006/relationships/hyperlink" Target="https://www.sec.gov/Archives/edgar/data/2074176/000110465926074042/tm2617785d1_ex10-1.htm" TargetMode="External"/><Relationship Id="rId21" Type="http://schemas.openxmlformats.org/officeDocument/2006/relationships/hyperlink" Target="https://www.sec.gov/Archives/edgar/data/2074176/000110465926074042/tm2617785d1_ex10-1.htm" TargetMode="External"/><Relationship Id="rId22" Type="http://schemas.openxmlformats.org/officeDocument/2006/relationships/hyperlink" Target="https://www.sec.gov/Archives/edgar/data/2074176/000110465926074042/tm2617785d1_ex10-1.htm" TargetMode="External"/><Relationship Id="rId23" Type="http://schemas.openxmlformats.org/officeDocument/2006/relationships/hyperlink" Target="https://www.sec.gov/Archives/edgar/data/2074176/000110465926074042/tm2617785d1_ex10-1.htm" TargetMode="External"/><Relationship Id="rId24" Type="http://schemas.openxmlformats.org/officeDocument/2006/relationships/hyperlink" Target="https://www.sec.gov/Archives/edgar/data/2074176/000110465926074042/tm2617785d1_ex10-1.htm" TargetMode="External"/><Relationship Id="rId25" Type="http://schemas.openxmlformats.org/officeDocument/2006/relationships/hyperlink" Target="https://www.sec.gov/Archives/edgar/data/2074176/000110465926074042/tm2617785d1_ex10-1.htm" TargetMode="External"/><Relationship Id="rId26" Type="http://schemas.openxmlformats.org/officeDocument/2006/relationships/hyperlink" Target="https://www.sec.gov/Archives/edgar/data/2074176/000110465926074042/tm2617785d1_ex10-1.htm" TargetMode="External"/><Relationship Id="rId27" Type="http://schemas.openxmlformats.org/officeDocument/2006/relationships/hyperlink" Target="https://www.sec.gov/Archives/edgar/data/2074176/000110465926074042/tm2617785d1_ex10-1.htm" TargetMode="External"/><Relationship Id="rId28" Type="http://schemas.openxmlformats.org/officeDocument/2006/relationships/hyperlink" Target="https://www.sec.gov/Archives/edgar/data/2074176/000110465926074042/tm2617785d1_ex10-1.htm" TargetMode="External"/><Relationship Id="rId29" Type="http://schemas.openxmlformats.org/officeDocument/2006/relationships/hyperlink" Target="https://www.sec.gov/Archives/edgar/data/2074176/000110465926074042/tm2617785d1_ex10-1.htm" TargetMode="External"/><Relationship Id="rId30" Type="http://schemas.openxmlformats.org/officeDocument/2006/relationships/hyperlink" Target="https://www.sec.gov/Archives/edgar/data/2074176/000110465926074042/tm2617785d1_ex10-1.htm" TargetMode="External"/><Relationship Id="rId31" Type="http://schemas.openxmlformats.org/officeDocument/2006/relationships/hyperlink" Target="https://www.sec.gov/Archives/edgar/data/2074176/000110465926074042/tm2617785d1_ex10-1.htm" TargetMode="External"/><Relationship Id="rId32" Type="http://schemas.openxmlformats.org/officeDocument/2006/relationships/hyperlink" Target="https://www.sec.gov/Archives/edgar/data/2074176/000207417626000010/viper202510-kxex221.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20643</Words>
  <Characters>112226</Characters>
  <CharactersWithSpaces>131256</CharactersWithSpaces>
  <Paragraphs>2891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