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00" w:right="1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22860</wp:posOffset>
            </wp:positionH>
            <wp:positionV relativeFrom="paragraph">
              <wp:posOffset>-167005</wp:posOffset>
            </wp:positionV>
            <wp:extent cx="107950" cy="1079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" cy="10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0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22860</wp:posOffset>
            </wp:positionH>
            <wp:positionV relativeFrom="paragraph">
              <wp:posOffset>-433705</wp:posOffset>
            </wp:positionV>
            <wp:extent cx="107950" cy="1079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" cy="10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5920" w:type="dxa"/>
            <w:vAlign w:val="bottom"/>
          </w:tcPr>
          <w:p>
            <w:pPr>
              <w:jc w:val="center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5920" w:type="dxa"/>
            <w:vAlign w:val="bottom"/>
            <w:vMerge w:val="restart"/>
          </w:tcPr>
          <w:p>
            <w:pPr>
              <w:jc w:val="center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5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5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920" w:type="dxa"/>
            <w:vAlign w:val="bottom"/>
            <w:vMerge w:val="restart"/>
          </w:tcPr>
          <w:p>
            <w:pPr>
              <w:jc w:val="center"/>
              <w:ind w:right="547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5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OMB Number: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5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Estimated average burden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5920" w:type="dxa"/>
            <w:vAlign w:val="bottom"/>
            <w:vMerge w:val="restart"/>
          </w:tcPr>
          <w:p>
            <w:pPr>
              <w:jc w:val="center"/>
              <w:ind w:righ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hours per response: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5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9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5041265</wp:posOffset>
            </wp:positionH>
            <wp:positionV relativeFrom="paragraph">
              <wp:posOffset>-550545</wp:posOffset>
            </wp:positionV>
            <wp:extent cx="53975" cy="5638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" cy="56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3749040</wp:posOffset>
            </wp:positionH>
            <wp:positionV relativeFrom="paragraph">
              <wp:posOffset>-550545</wp:posOffset>
            </wp:positionV>
            <wp:extent cx="53975" cy="563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" cy="56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-1885315</wp:posOffset>
            </wp:positionH>
            <wp:positionV relativeFrom="paragraph">
              <wp:posOffset>581025</wp:posOffset>
            </wp:positionV>
            <wp:extent cx="7009765" cy="36722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9765" cy="3672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640"/>
            <w:col w:w="8040"/>
          </w:cols>
          <w:pgMar w:left="460" w:top="207" w:right="4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vertAlign w:val="superscript"/>
              </w:rPr>
              <w:t>*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 xml:space="preserve"> Ticker or Trading Symbol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5. Relationship of Reporting Person(s) to Issuer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8"/>
                  <w:szCs w:val="18"/>
                  <w:color w:val="0000EE"/>
                </w:rPr>
                <w:t>Rubin James L.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ind w:left="60"/>
              <w:spacing w:after="0" w:line="91" w:lineRule="exact"/>
              <w:rPr>
                <w:rFonts w:ascii="Times New Roman" w:cs="Times New Roman" w:eastAsia="Times New Roman" w:hAnsi="Times New Roman"/>
                <w:sz w:val="10"/>
                <w:szCs w:val="1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0"/>
                  <w:szCs w:val="10"/>
                  <w:color w:val="0000EE"/>
                </w:rPr>
                <w:t xml:space="preserve">Viper Energy, Inc. </w:t>
              </w:r>
            </w:hyperlink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VNOM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00"/>
              </w:rPr>
              <w:t>]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(Check all applicable)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3. Date of Earliest Transaction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500 WEST TEXAS AVENUE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05/19/2026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SUITE 100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(Street)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Form filed by One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MIDLAND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TX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79701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(City)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(State)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gridSpan w:val="17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Transaction(s) (Instr.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Class A 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A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3,612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16,119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980" w:type="dxa"/>
            <w:vAlign w:val="bottom"/>
            <w:gridSpan w:val="13"/>
          </w:tcPr>
          <w:p>
            <w:pPr>
              <w:jc w:val="center"/>
              <w:ind w:left="8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8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6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2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4"/>
              </w:rPr>
              <w:t>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8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20" w:right="40" w:firstLine="4"/>
        <w:spacing w:after="0" w:line="274" w:lineRule="auto"/>
        <w:tabs>
          <w:tab w:leader="none" w:pos="13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These securities are restricted stock units, each representing a contingent right to receive one share of Class A Common Stock, par value $0.000001 per share, of the issuer. These restricted stock units were granted to the reporting person as an annual non-employee director grant under the issuer's long term incentive plan and will vest on the earlier of the one-year anniversary of the date of grant and the date of the 2027 annual meeting of stockholders of the issuer.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Exhibit List: Exhibit 24.1 - Limited Power of Attorney</w:t>
      </w:r>
    </w:p>
    <w:p>
      <w:pPr>
        <w:spacing w:after="0" w:line="3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5"/>
              </w:rPr>
              <w:t>/s/ William F. Krueger, as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3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1540" w:type="dxa"/>
            <w:vAlign w:val="bottom"/>
            <w:vMerge w:val="restart"/>
          </w:tcPr>
          <w:p>
            <w:pPr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6"/>
              </w:rPr>
              <w:t>in-fact for James L. Rubin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15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20" w:right="4440" w:firstLine="4"/>
        <w:spacing w:after="0" w:line="321" w:lineRule="auto"/>
        <w:tabs>
          <w:tab w:leader="none" w:pos="139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0980"/>
          </w:cols>
          <w:pgMar w:left="460" w:top="207" w:right="4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398145</wp:posOffset>
            </wp:positionH>
            <wp:positionV relativeFrom="page">
              <wp:posOffset>318770</wp:posOffset>
            </wp:positionV>
            <wp:extent cx="6929755" cy="99377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9755" cy="993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398145</wp:posOffset>
            </wp:positionH>
            <wp:positionV relativeFrom="page">
              <wp:posOffset>447675</wp:posOffset>
            </wp:positionV>
            <wp:extent cx="6929755" cy="9930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9755" cy="9930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10187" TargetMode="External"/><Relationship Id="rId14" Type="http://schemas.openxmlformats.org/officeDocument/2006/relationships/hyperlink" Target="http://www.sec.gov/cgi-bin/browse-edgar?action=getcompany&amp;CIK=00020741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2026-05-21T15:05:26Z</dcterms:created>
  <dcterms:modified xsi:type="dcterms:W3CDTF">2026-05-21T15:05:26Z</dcterms:modified>
</cp:coreProperties>
</file>