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August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333-205432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 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 NO. 333-205432</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VNOM Sub,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Viper Energy,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1820" w:type="dxa"/>
        <w:tblCellMar>
          <w:top w:w="0" w:type="dxa"/>
          <w:left w:w="0" w:type="dxa"/>
          <w:bottom w:w="0" w:type="dxa"/>
          <w:right w:w="0" w:type="dxa"/>
        </w:tblCellMar>
      </w:tblPr>
      <w:tr>
        <w:trPr>
          <w:trHeight w:val="214"/>
        </w:trPr>
        <w:tc>
          <w:tcPr>
            <w:tcW w:w="394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46-5001985</w:t>
            </w:r>
          </w:p>
        </w:tc>
      </w:tr>
      <w:tr>
        <w:trPr>
          <w:trHeight w:val="148"/>
        </w:trPr>
        <w:tc>
          <w:tcPr>
            <w:tcW w:w="3940" w:type="dxa"/>
            <w:vAlign w:val="bottom"/>
          </w:tcPr>
          <w:p>
            <w:pPr>
              <w:jc w:val="center"/>
              <w:ind w:right="19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West Texas Ave.,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Midland, Texas 79701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Teresa L. Dick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Assistant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West Texas Ave.,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Midland, Texas 79701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R. Green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Not applicable. Removal from registration of securities that were not sold pursuant to the above referenced registration statement.</w:t>
      </w:r>
    </w:p>
    <w:p>
      <w:pPr>
        <w:spacing w:after="0" w:line="162"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136" w:gutter="0" w:footer="0" w:header="0"/>
        </w:sectPr>
      </w:pPr>
    </w:p>
    <w:bookmarkStart w:id="1" w:name="page2"/>
    <w:bookmarkEnd w:id="1"/>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Post-Effective Amendment (this “Post-Effective Amendment”) relates to the Registration Statement on Form S-3 (File No. 333-205432) filed by Viper Energy Partners LP, a Delaware partnership, the predecessor to VNOM Sub, Inc. (f/k/a Viper Energy, Inc.), a Delaware corporation, prior to its conversion from a limited partnership to a corporation (the “Company”), with the U.S. Securities and Exchange Commission on July 1, 2015 (the “Registration Statement”), registering (i) up to $1,000,000,000 maximum offering price of common units representing limited partner interests in the Company offered on a primary basis and (ii) up to 70,950,000 common units representing limited partner interests in the Company offered on a secondary basis by the selling unitholders named in the Registration Statement.</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19, 2025 (the “Closing Date”), the transactions contemplated by that certain Agreement and Plan of Merger (as amended from time to time, the “Merger Agreement”), dated June 2, 2025, by and among the Company, Sitio Royalties Operating Partnership, LP, Sitio Royalties Corp., Viper Energy Partners LLC, New Cobra Pubco, Inc. (“New Viper”), Cobra Merger Sub, Inc., and Scorpion Merger Sub, Inc. were consummated. On the Closing Date, the Company became a direct wholly owned subsidiary of New Viper, a new holding company that was subsequently renamed “Viper Energy, Inc.”</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Company has terminated all offerings of securities pursuant to the Registration Statement. In accordance with the undertakings made by the Company in the Registration Statement to remove from registration, by means of a post-effective amendment, any of the securities that had been registered for issuance that remain unsold at the termination of such offerings, the Company hereby removes from registration by means of this Post-Effective Amendment all such securities registered but unsold under the Registration Statement as of the date hereof. The Registration Statement is hereby amended, as appropriate, to reflect the deregistration of such securities and the Company hereby terminates the effectiveness of the Registration Statement.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 on Form S-3 to be signed on its behalf by the undersigned, thereunto duly authorized, in Midland, Texas on the 19th day of August,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VNOM SUB,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(formerly Viper Energy,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Teresa L. Dick</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 and Assistant Secretary</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Note: No other person is required to sign this Post-Effective Amendment to the Registration Statement on Form S-3 in reliance on Rule 478 under the Securities Act of 1933, as amended.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800"/>
      </w:cols>
      <w:pgMar w:left="440" w:top="26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2025-08-19T06:42:55Z</dcterms:created>
  <dcterms:modified xsi:type="dcterms:W3CDTF">2025-08-19T06:42:55Z</dcterms:modified>
</cp:coreProperties>
</file>