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85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85445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Gilfillian Austen</w:t>
              </w:r>
            </w:hyperlink>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Viper Energy,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VNOM</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0000EE"/>
            </w:tcBorders>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ind w:left="40"/>
              <w:spacing w:after="0" w:line="113" w:lineRule="exact"/>
              <w:rPr>
                <w:sz w:val="20"/>
                <w:szCs w:val="20"/>
                <w:color w:val="auto"/>
              </w:rPr>
            </w:pPr>
            <w:r>
              <w:rPr>
                <w:rFonts w:ascii="Arial" w:cs="Arial" w:eastAsia="Arial" w:hAnsi="Arial"/>
                <w:sz w:val="10"/>
                <w:szCs w:val="10"/>
                <w:color w:val="auto"/>
              </w:rPr>
              <w:t>Officer (give title</w:t>
            </w:r>
          </w:p>
        </w:tc>
        <w:tc>
          <w:tcPr>
            <w:tcW w:w="30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top w:val="single" w:sz="8" w:color="EEEEEE"/>
            </w:tcBorders>
          </w:tcPr>
          <w:p>
            <w:pPr>
              <w:spacing w:after="0"/>
              <w:rPr>
                <w:sz w:val="6"/>
                <w:szCs w:val="6"/>
                <w:color w:val="auto"/>
              </w:rPr>
            </w:pPr>
          </w:p>
        </w:tc>
        <w:tc>
          <w:tcPr>
            <w:tcW w:w="20" w:type="dxa"/>
            <w:vAlign w:val="bottom"/>
            <w:tcBorders>
              <w:top w:val="single" w:sz="8" w:color="EEEEEE"/>
            </w:tcBorders>
          </w:tcPr>
          <w:p>
            <w:pPr>
              <w:spacing w:after="0"/>
              <w:rPr>
                <w:sz w:val="6"/>
                <w:szCs w:val="6"/>
                <w:color w:val="auto"/>
              </w:rPr>
            </w:pPr>
          </w:p>
        </w:tc>
        <w:tc>
          <w:tcPr>
            <w:tcW w:w="60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20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restart"/>
          </w:tcPr>
          <w:p>
            <w:pPr>
              <w:ind w:left="40"/>
              <w:spacing w:after="0" w:line="85" w:lineRule="exact"/>
              <w:rPr>
                <w:sz w:val="20"/>
                <w:szCs w:val="20"/>
                <w:color w:val="auto"/>
              </w:rPr>
            </w:pPr>
            <w:r>
              <w:rPr>
                <w:rFonts w:ascii="Arial" w:cs="Arial" w:eastAsia="Arial" w:hAnsi="Arial"/>
                <w:sz w:val="9"/>
                <w:szCs w:val="9"/>
                <w:color w:val="auto"/>
              </w:rPr>
              <w:t>below)</w:t>
            </w: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00" w:type="dxa"/>
            <w:vAlign w:val="bottom"/>
            <w:vMerge w:val="restart"/>
          </w:tcPr>
          <w:p>
            <w:pPr>
              <w:ind w:left="8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President</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500 WEST TEXAS AVENUE</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700" w:type="dxa"/>
            <w:vAlign w:val="bottom"/>
            <w:gridSpan w:val="7"/>
            <w:vMerge w:val="continue"/>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03/01/2026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100</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20" w:type="dxa"/>
            <w:vAlign w:val="bottom"/>
            <w:tcBorders>
              <w:bottom w:val="single" w:sz="8" w:color="808080"/>
            </w:tcBorders>
            <w:gridSpan w:val="3"/>
          </w:tcPr>
          <w:p>
            <w:pPr>
              <w:spacing w:after="0"/>
              <w:rPr>
                <w:sz w:val="15"/>
                <w:szCs w:val="15"/>
                <w:color w:val="auto"/>
              </w:rPr>
            </w:pPr>
          </w:p>
        </w:tc>
        <w:tc>
          <w:tcPr>
            <w:tcW w:w="1480" w:type="dxa"/>
            <w:vAlign w:val="bottom"/>
            <w:tcBorders>
              <w:bottom w:val="single" w:sz="8" w:color="808080"/>
            </w:tcBorders>
            <w:gridSpan w:val="4"/>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gridSpan w:val="2"/>
          </w:tcPr>
          <w:p>
            <w:pPr>
              <w:spacing w:after="0"/>
              <w:rPr>
                <w:sz w:val="15"/>
                <w:szCs w:val="15"/>
                <w:color w:val="auto"/>
              </w:rPr>
            </w:pPr>
          </w:p>
        </w:tc>
        <w:tc>
          <w:tcPr>
            <w:tcW w:w="2760" w:type="dxa"/>
            <w:vAlign w:val="bottom"/>
            <w:tcBorders>
              <w:bottom w:val="single" w:sz="8" w:color="808080"/>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2700" w:type="dxa"/>
            <w:vAlign w:val="bottom"/>
            <w:tcBorders>
              <w:top w:val="single" w:sz="8" w:color="2C2C2C"/>
            </w:tcBorders>
            <w:gridSpan w:val="7"/>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Borders>
              <w:top w:val="single" w:sz="8" w:color="2C2C2C"/>
            </w:tcBorders>
          </w:tcPr>
          <w:p>
            <w:pPr>
              <w:spacing w:after="0"/>
              <w:rPr>
                <w:sz w:val="12"/>
                <w:szCs w:val="12"/>
                <w:color w:val="auto"/>
              </w:rPr>
            </w:pPr>
          </w:p>
        </w:tc>
        <w:tc>
          <w:tcPr>
            <w:tcW w:w="540" w:type="dxa"/>
            <w:vAlign w:val="bottom"/>
            <w:tcBorders>
              <w:top w:val="single" w:sz="8" w:color="2C2C2C"/>
            </w:tcBorders>
          </w:tcPr>
          <w:p>
            <w:pPr>
              <w:spacing w:after="0"/>
              <w:rPr>
                <w:sz w:val="12"/>
                <w:szCs w:val="12"/>
                <w:color w:val="auto"/>
              </w:rPr>
            </w:pPr>
          </w:p>
        </w:tc>
        <w:tc>
          <w:tcPr>
            <w:tcW w:w="220" w:type="dxa"/>
            <w:vAlign w:val="bottom"/>
            <w:tcBorders>
              <w:top w:val="single" w:sz="8" w:color="2C2C2C"/>
            </w:tcBorders>
          </w:tcPr>
          <w:p>
            <w:pPr>
              <w:spacing w:after="0"/>
              <w:rPr>
                <w:sz w:val="12"/>
                <w:szCs w:val="12"/>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MIDLAND</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TX</w:t>
            </w:r>
          </w:p>
        </w:tc>
        <w:tc>
          <w:tcPr>
            <w:tcW w:w="70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79701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0"/>
                <w:szCs w:val="10"/>
                <w:color w:val="auto"/>
              </w:rPr>
              <w:t>(City)</w:t>
            </w:r>
          </w:p>
        </w:tc>
        <w:tc>
          <w:tcPr>
            <w:tcW w:w="600" w:type="dxa"/>
            <w:vAlign w:val="bottom"/>
          </w:tcPr>
          <w:p>
            <w:pPr>
              <w:ind w:left="8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1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5"/>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jc w:val="center"/>
              <w:ind w:left="22"/>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5"/>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center"/>
              <w:ind w:left="2"/>
              <w:spacing w:after="0"/>
              <w:rPr>
                <w:sz w:val="20"/>
                <w:szCs w:val="20"/>
                <w:color w:val="auto"/>
              </w:rPr>
            </w:pPr>
            <w:r>
              <w:rPr>
                <w:rFonts w:ascii="Times New Roman" w:cs="Times New Roman" w:eastAsia="Times New Roman" w:hAnsi="Times New Roman"/>
                <w:sz w:val="13"/>
                <w:szCs w:val="13"/>
                <w:color w:val="0000FF"/>
              </w:rPr>
              <w:t>03/01/2026</w:t>
            </w:r>
          </w:p>
        </w:tc>
        <w:tc>
          <w:tcPr>
            <w:tcW w:w="4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23"/>
              <w:spacing w:after="0"/>
              <w:rPr>
                <w:sz w:val="20"/>
                <w:szCs w:val="20"/>
                <w:color w:val="auto"/>
              </w:rPr>
            </w:pPr>
            <w:r>
              <w:rPr>
                <w:rFonts w:ascii="Times New Roman" w:cs="Times New Roman" w:eastAsia="Times New Roman" w:hAnsi="Times New Roman"/>
                <w:sz w:val="13"/>
                <w:szCs w:val="13"/>
                <w:color w:val="0000FF"/>
                <w:w w:val="97"/>
              </w:rPr>
              <w:t>12,302</w:t>
            </w:r>
            <w:r>
              <w:rPr>
                <w:rFonts w:ascii="Times New Roman" w:cs="Times New Roman" w:eastAsia="Times New Roman" w:hAnsi="Times New Roman"/>
                <w:sz w:val="17"/>
                <w:szCs w:val="17"/>
                <w:color w:val="008000"/>
                <w:w w:val="97"/>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55,777</w:t>
            </w:r>
          </w:p>
        </w:tc>
        <w:tc>
          <w:tcPr>
            <w:tcW w:w="4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center"/>
              <w:ind w:left="2"/>
              <w:spacing w:after="0"/>
              <w:rPr>
                <w:sz w:val="20"/>
                <w:szCs w:val="20"/>
                <w:color w:val="auto"/>
              </w:rPr>
            </w:pPr>
            <w:r>
              <w:rPr>
                <w:rFonts w:ascii="Times New Roman" w:cs="Times New Roman" w:eastAsia="Times New Roman" w:hAnsi="Times New Roman"/>
                <w:sz w:val="13"/>
                <w:szCs w:val="13"/>
                <w:color w:val="0000FF"/>
              </w:rPr>
              <w:t>03/01/2026</w:t>
            </w:r>
          </w:p>
        </w:tc>
        <w:tc>
          <w:tcPr>
            <w:tcW w:w="4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F</w:t>
            </w: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23"/>
              <w:spacing w:after="0"/>
              <w:rPr>
                <w:sz w:val="20"/>
                <w:szCs w:val="20"/>
                <w:color w:val="auto"/>
              </w:rPr>
            </w:pPr>
            <w:r>
              <w:rPr>
                <w:rFonts w:ascii="Times New Roman" w:cs="Times New Roman" w:eastAsia="Times New Roman" w:hAnsi="Times New Roman"/>
                <w:sz w:val="13"/>
                <w:szCs w:val="13"/>
                <w:color w:val="0000FF"/>
                <w:w w:val="97"/>
              </w:rPr>
              <w:t>829</w:t>
            </w:r>
            <w:r>
              <w:rPr>
                <w:rFonts w:ascii="Times New Roman" w:cs="Times New Roman" w:eastAsia="Times New Roman" w:hAnsi="Times New Roman"/>
                <w:sz w:val="17"/>
                <w:szCs w:val="17"/>
                <w:color w:val="008000"/>
                <w:w w:val="97"/>
                <w:vertAlign w:val="superscript"/>
              </w:rPr>
              <w:t>(2)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46.54</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54,948</w:t>
            </w:r>
          </w:p>
        </w:tc>
        <w:tc>
          <w:tcPr>
            <w:tcW w:w="4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center"/>
              <w:ind w:left="2"/>
              <w:spacing w:after="0"/>
              <w:rPr>
                <w:sz w:val="20"/>
                <w:szCs w:val="20"/>
                <w:color w:val="auto"/>
              </w:rPr>
            </w:pPr>
            <w:r>
              <w:rPr>
                <w:rFonts w:ascii="Times New Roman" w:cs="Times New Roman" w:eastAsia="Times New Roman" w:hAnsi="Times New Roman"/>
                <w:sz w:val="13"/>
                <w:szCs w:val="13"/>
                <w:color w:val="0000FF"/>
              </w:rPr>
              <w:t>03/01/2026</w:t>
            </w:r>
          </w:p>
        </w:tc>
        <w:tc>
          <w:tcPr>
            <w:tcW w:w="4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F</w:t>
            </w: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23"/>
              <w:spacing w:after="0"/>
              <w:rPr>
                <w:sz w:val="20"/>
                <w:szCs w:val="20"/>
                <w:color w:val="auto"/>
              </w:rPr>
            </w:pPr>
            <w:r>
              <w:rPr>
                <w:rFonts w:ascii="Times New Roman" w:cs="Times New Roman" w:eastAsia="Times New Roman" w:hAnsi="Times New Roman"/>
                <w:sz w:val="13"/>
                <w:szCs w:val="13"/>
                <w:color w:val="0000FF"/>
                <w:w w:val="94"/>
              </w:rPr>
              <w:t>2,645</w:t>
            </w:r>
            <w:r>
              <w:rPr>
                <w:rFonts w:ascii="Times New Roman" w:cs="Times New Roman" w:eastAsia="Times New Roman" w:hAnsi="Times New Roman"/>
                <w:sz w:val="17"/>
                <w:szCs w:val="17"/>
                <w:color w:val="008000"/>
                <w:w w:val="94"/>
                <w:vertAlign w:val="superscript"/>
              </w:rPr>
              <w:t>(3)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46.54</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52,303</w:t>
            </w:r>
          </w:p>
        </w:tc>
        <w:tc>
          <w:tcPr>
            <w:tcW w:w="4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center"/>
              <w:ind w:left="2"/>
              <w:spacing w:after="0"/>
              <w:rPr>
                <w:sz w:val="20"/>
                <w:szCs w:val="20"/>
                <w:color w:val="auto"/>
              </w:rPr>
            </w:pPr>
            <w:r>
              <w:rPr>
                <w:rFonts w:ascii="Times New Roman" w:cs="Times New Roman" w:eastAsia="Times New Roman" w:hAnsi="Times New Roman"/>
                <w:sz w:val="13"/>
                <w:szCs w:val="13"/>
                <w:color w:val="0000FF"/>
              </w:rPr>
              <w:t>03/01/2026</w:t>
            </w:r>
          </w:p>
        </w:tc>
        <w:tc>
          <w:tcPr>
            <w:tcW w:w="4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F</w:t>
            </w: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23"/>
              <w:spacing w:after="0"/>
              <w:rPr>
                <w:sz w:val="20"/>
                <w:szCs w:val="20"/>
                <w:color w:val="auto"/>
              </w:rPr>
            </w:pPr>
            <w:r>
              <w:rPr>
                <w:rFonts w:ascii="Times New Roman" w:cs="Times New Roman" w:eastAsia="Times New Roman" w:hAnsi="Times New Roman"/>
                <w:sz w:val="13"/>
                <w:szCs w:val="13"/>
                <w:color w:val="0000FF"/>
                <w:w w:val="94"/>
              </w:rPr>
              <w:t>1,421</w:t>
            </w:r>
            <w:r>
              <w:rPr>
                <w:rFonts w:ascii="Times New Roman" w:cs="Times New Roman" w:eastAsia="Times New Roman" w:hAnsi="Times New Roman"/>
                <w:sz w:val="17"/>
                <w:szCs w:val="17"/>
                <w:color w:val="008000"/>
                <w:w w:val="94"/>
                <w:vertAlign w:val="superscript"/>
              </w:rPr>
              <w:t>(4)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46.54</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50,882</w:t>
            </w:r>
          </w:p>
        </w:tc>
        <w:tc>
          <w:tcPr>
            <w:tcW w:w="4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jc w:val="center"/>
              <w:ind w:left="2"/>
              <w:spacing w:after="0"/>
              <w:rPr>
                <w:sz w:val="20"/>
                <w:szCs w:val="20"/>
                <w:color w:val="auto"/>
              </w:rPr>
            </w:pPr>
            <w:r>
              <w:rPr>
                <w:rFonts w:ascii="Times New Roman" w:cs="Times New Roman" w:eastAsia="Times New Roman" w:hAnsi="Times New Roman"/>
                <w:sz w:val="13"/>
                <w:szCs w:val="13"/>
                <w:color w:val="0000FF"/>
              </w:rPr>
              <w:t>03/01/2026</w:t>
            </w: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F</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left="23"/>
              <w:spacing w:after="0"/>
              <w:rPr>
                <w:sz w:val="20"/>
                <w:szCs w:val="20"/>
                <w:color w:val="auto"/>
              </w:rPr>
            </w:pPr>
            <w:r>
              <w:rPr>
                <w:rFonts w:ascii="Times New Roman" w:cs="Times New Roman" w:eastAsia="Times New Roman" w:hAnsi="Times New Roman"/>
                <w:sz w:val="13"/>
                <w:szCs w:val="13"/>
                <w:color w:val="0000FF"/>
                <w:w w:val="94"/>
              </w:rPr>
              <w:t>1,614</w:t>
            </w:r>
            <w:r>
              <w:rPr>
                <w:rFonts w:ascii="Times New Roman" w:cs="Times New Roman" w:eastAsia="Times New Roman" w:hAnsi="Times New Roman"/>
                <w:sz w:val="17"/>
                <w:szCs w:val="17"/>
                <w:color w:val="008000"/>
                <w:w w:val="94"/>
                <w:vertAlign w:val="superscript"/>
              </w:rPr>
              <w:t>(5)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46.54</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49,268</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30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00" w:type="dxa"/>
            <w:vAlign w:val="bottom"/>
          </w:tcPr>
          <w:p>
            <w:pPr>
              <w:ind w:left="4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00" w:type="dxa"/>
            <w:vAlign w:val="bottom"/>
          </w:tcPr>
          <w:p>
            <w:pPr>
              <w:ind w:left="4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ind w:left="4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ind w:left="4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9"/>
                <w:szCs w:val="9"/>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are restricted stock units, each representing a contingent right to receive one share of Class A Common Stock, par value $0.000001 per share, of the issuer. These restricted stock units were granted under the issuer's equity incentive plan and will vest in three equal installments beginning on March 1, 2026.</w:t>
      </w:r>
    </w:p>
    <w:p>
      <w:pPr>
        <w:spacing w:after="0" w:line="3" w:lineRule="exact"/>
        <w:rPr>
          <w:rFonts w:ascii="Times New Roman" w:cs="Times New Roman" w:eastAsia="Times New Roman" w:hAnsi="Times New Roman"/>
          <w:sz w:val="10"/>
          <w:szCs w:val="10"/>
          <w:color w:val="008000"/>
        </w:rPr>
      </w:pPr>
    </w:p>
    <w:p>
      <w:pPr>
        <w:ind w:left="40" w:right="1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issuer withheld shares of Class A Common Stock that would have otherwise been issuable to the reporting person to satisfy the issuer's tax withholding obligations in connection with the vesting and settlement on March 1, 2026 of the third tranche of the time-based restricted stock units granted to the reporting person on March 1, 2024. The number of shares of Class A Common Stock withheld was determined based on the closing price per share of the issuer's Class A Common Stock on February 27, 2026.</w:t>
      </w:r>
    </w:p>
    <w:p>
      <w:pPr>
        <w:spacing w:after="0" w:line="3" w:lineRule="exact"/>
        <w:rPr>
          <w:rFonts w:ascii="Times New Roman" w:cs="Times New Roman" w:eastAsia="Times New Roman" w:hAnsi="Times New Roman"/>
          <w:sz w:val="10"/>
          <w:szCs w:val="10"/>
          <w:color w:val="008000"/>
        </w:rPr>
      </w:pPr>
    </w:p>
    <w:p>
      <w:pPr>
        <w:ind w:left="40" w:right="1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issuer withheld shares of Class A Common Stock that would have otherwise been issuable to the reporting person to satisfy the issuer's tax withholding obligations in connection with the vesting and settlement on March 1, 2026 of the second tranche of the time-based restricted stock units granted to the reporting person on December 20, 2024. The number of shares of Class A Common Stock withheld was determined based on the closing price per share of the issuer's Class A Common Stock on February 27, 2026.</w:t>
      </w:r>
    </w:p>
    <w:p>
      <w:pPr>
        <w:spacing w:after="0" w:line="3" w:lineRule="exact"/>
        <w:rPr>
          <w:rFonts w:ascii="Times New Roman" w:cs="Times New Roman" w:eastAsia="Times New Roman" w:hAnsi="Times New Roman"/>
          <w:sz w:val="10"/>
          <w:szCs w:val="10"/>
          <w:color w:val="008000"/>
        </w:rPr>
      </w:pPr>
    </w:p>
    <w:p>
      <w:pPr>
        <w:ind w:left="40" w:right="1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issuer withheld shares of Class A Common Stock that would have otherwise been issuable to the reporting person to satisfy the issuer's tax withholding obligations in connection with the vesting and settlement on March 1, 2026 of the second tranche of the time-based restricted stock units granted to the reporting person on March 1, 2025. The number of shares of Class A Common Stock withheld was determined based on the closing price per share of the issuer's Class A Common Stock on February 27, 2026.</w:t>
      </w:r>
    </w:p>
    <w:p>
      <w:pPr>
        <w:spacing w:after="0" w:line="3" w:lineRule="exact"/>
        <w:rPr>
          <w:rFonts w:ascii="Times New Roman" w:cs="Times New Roman" w:eastAsia="Times New Roman" w:hAnsi="Times New Roman"/>
          <w:sz w:val="10"/>
          <w:szCs w:val="10"/>
          <w:color w:val="008000"/>
        </w:rPr>
      </w:pPr>
    </w:p>
    <w:p>
      <w:pPr>
        <w:ind w:left="40" w:right="2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issuer withheld shares of Class A Common Stock that would have otherwise been issuable to the reporting person to satisfy the issuer's tax withholding obligations in connection with the vesting and settlement on March 1, 2026 of the first tranche of the time-based restricted stock units granted to the reporting person on March 1, 2026. The number of shares of Class A Common Stock withheld was determined based on the closing price per share of the issuer's Class A Common Stock on February 27, 2026.</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List: Exhibit 24.1 - Limited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William F. Krueger, as attorney-in-</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03/03/2026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tcBorders>
              <w:top w:val="single" w:sz="8" w:color="auto"/>
            </w:tcBorders>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fact for Austen Gilfillian</w:t>
            </w:r>
          </w:p>
        </w:tc>
        <w:tc>
          <w:tcPr>
            <w:tcW w:w="80" w:type="dxa"/>
            <w:vAlign w:val="bottom"/>
            <w:vMerge w:val="restart"/>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tcBorders>
              <w:top w:val="single" w:sz="8" w:color="auto"/>
            </w:tcBorders>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212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0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9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58447" TargetMode="External"/><Relationship Id="rId14" Type="http://schemas.openxmlformats.org/officeDocument/2006/relationships/hyperlink" Target="http://www.sec.gov/cgi-bin/browse-edgar?action=getcompany&amp;CIK=00020741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2026-03-03T15:05:30Z</dcterms:created>
  <dcterms:modified xsi:type="dcterms:W3CDTF">2026-03-03T15:05:30Z</dcterms:modified>
</cp:coreProperties>
</file>