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768985</wp:posOffset>
            </wp:positionH>
            <wp:positionV relativeFrom="page">
              <wp:posOffset>480060</wp:posOffset>
            </wp:positionV>
            <wp:extent cx="5339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9715" cy="8255"/>
                    </a:xfrm>
                    <a:prstGeom prst="rect">
                      <a:avLst/>
                    </a:prstGeom>
                    <a:noFill/>
                  </pic:spPr>
                </pic:pic>
              </a:graphicData>
            </a:graphic>
          </wp:anchor>
        </w:drawing>
        <w:drawing>
          <wp:anchor simplePos="0" relativeHeight="251657728" behindDoc="1" locked="0" layoutInCell="0" allowOverlap="1">
            <wp:simplePos x="0" y="0"/>
            <wp:positionH relativeFrom="page">
              <wp:posOffset>768985</wp:posOffset>
            </wp:positionH>
            <wp:positionV relativeFrom="page">
              <wp:posOffset>437515</wp:posOffset>
            </wp:positionV>
            <wp:extent cx="5339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9715" cy="171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106680</wp:posOffset>
            </wp:positionV>
            <wp:extent cx="2618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80645</wp:posOffset>
            </wp:positionV>
            <wp:extent cx="2618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263" w:lineRule="exact"/>
        <w:rPr>
          <w:sz w:val="24"/>
          <w:szCs w:val="24"/>
          <w:color w:val="auto"/>
        </w:rPr>
      </w:pPr>
    </w:p>
    <w:p>
      <w:pPr>
        <w:ind w:left="640" w:hanging="615"/>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UNDER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240" w:right="2580" w:hanging="4215"/>
        <w:spacing w:after="0" w:line="353" w:lineRule="auto"/>
        <w:tabs>
          <w:tab w:leader="none" w:pos="6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SECURITIES EXCHANGE ACT OF 1934 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41910</wp:posOffset>
            </wp:positionV>
            <wp:extent cx="2618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Viper Energy Partners LP</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65405</wp:posOffset>
            </wp:positionV>
            <wp:extent cx="261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880" w:type="dxa"/>
            <w:vAlign w:val="bottom"/>
          </w:tcPr>
          <w:p>
            <w:pPr>
              <w:spacing w:after="0"/>
              <w:rPr>
                <w:sz w:val="18"/>
                <w:szCs w:val="18"/>
                <w:color w:val="auto"/>
              </w:rPr>
            </w:pPr>
          </w:p>
        </w:tc>
        <w:tc>
          <w:tcPr>
            <w:tcW w:w="208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8"/>
              </w:rPr>
              <w:t>DE</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2"/>
          </w:tcPr>
          <w:p>
            <w:pPr>
              <w:jc w:val="right"/>
              <w:ind w:right="1784"/>
              <w:spacing w:after="0"/>
              <w:rPr>
                <w:sz w:val="20"/>
                <w:szCs w:val="20"/>
                <w:color w:val="auto"/>
              </w:rPr>
            </w:pPr>
            <w:r>
              <w:rPr>
                <w:rFonts w:ascii="Arial" w:cs="Arial" w:eastAsia="Arial" w:hAnsi="Arial"/>
                <w:sz w:val="16"/>
                <w:szCs w:val="16"/>
                <w:b w:val="1"/>
                <w:bCs w:val="1"/>
                <w:color w:val="auto"/>
              </w:rPr>
              <w:t>46-5001985</w:t>
            </w:r>
          </w:p>
        </w:tc>
      </w:tr>
      <w:tr>
        <w:trPr>
          <w:trHeight w:val="354"/>
        </w:trPr>
        <w:tc>
          <w:tcPr>
            <w:tcW w:w="4960" w:type="dxa"/>
            <w:vAlign w:val="bottom"/>
            <w:gridSpan w:val="3"/>
          </w:tcPr>
          <w:p>
            <w:pPr>
              <w:jc w:val="center"/>
              <w:ind w:left="1869"/>
              <w:spacing w:after="0"/>
              <w:rPr>
                <w:sz w:val="20"/>
                <w:szCs w:val="20"/>
                <w:color w:val="auto"/>
              </w:rPr>
            </w:pPr>
            <w:r>
              <w:rPr>
                <w:rFonts w:ascii="Arial" w:cs="Arial" w:eastAsia="Arial" w:hAnsi="Arial"/>
                <w:sz w:val="14"/>
                <w:szCs w:val="14"/>
                <w:b w:val="1"/>
                <w:bCs w:val="1"/>
                <w:color w:val="auto"/>
                <w:w w:val="93"/>
              </w:rPr>
              <w:t>(State or Other Jurisdiction of Incorporation or</w:t>
            </w:r>
          </w:p>
        </w:tc>
        <w:tc>
          <w:tcPr>
            <w:tcW w:w="1260" w:type="dxa"/>
            <w:vAlign w:val="bottom"/>
          </w:tcPr>
          <w:p>
            <w:pPr>
              <w:spacing w:after="0"/>
              <w:rPr>
                <w:sz w:val="24"/>
                <w:szCs w:val="24"/>
                <w:color w:val="auto"/>
              </w:rPr>
            </w:pPr>
          </w:p>
        </w:tc>
        <w:tc>
          <w:tcPr>
            <w:tcW w:w="3820" w:type="dxa"/>
            <w:vAlign w:val="bottom"/>
            <w:gridSpan w:val="5"/>
          </w:tcPr>
          <w:p>
            <w:pPr>
              <w:jc w:val="center"/>
              <w:ind w:right="584"/>
              <w:spacing w:after="0"/>
              <w:rPr>
                <w:sz w:val="20"/>
                <w:szCs w:val="20"/>
                <w:color w:val="auto"/>
              </w:rPr>
            </w:pPr>
            <w:r>
              <w:rPr>
                <w:rFonts w:ascii="Arial" w:cs="Arial" w:eastAsia="Arial" w:hAnsi="Arial"/>
                <w:sz w:val="14"/>
                <w:szCs w:val="14"/>
                <w:b w:val="1"/>
                <w:bCs w:val="1"/>
                <w:color w:val="auto"/>
                <w:w w:val="95"/>
              </w:rPr>
              <w:t>(I.R.S. Employer Identification Number)</w:t>
            </w:r>
          </w:p>
        </w:tc>
      </w:tr>
      <w:tr>
        <w:trPr>
          <w:trHeight w:val="185"/>
        </w:trPr>
        <w:tc>
          <w:tcPr>
            <w:tcW w:w="2880" w:type="dxa"/>
            <w:vAlign w:val="bottom"/>
          </w:tcPr>
          <w:p>
            <w:pPr>
              <w:spacing w:after="0"/>
              <w:rPr>
                <w:sz w:val="16"/>
                <w:szCs w:val="16"/>
                <w:color w:val="auto"/>
              </w:rPr>
            </w:pPr>
          </w:p>
        </w:tc>
        <w:tc>
          <w:tcPr>
            <w:tcW w:w="20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Organization)</w:t>
            </w: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98"/>
        </w:trPr>
        <w:tc>
          <w:tcPr>
            <w:tcW w:w="2880" w:type="dxa"/>
            <w:vAlign w:val="bottom"/>
          </w:tcPr>
          <w:p>
            <w:pPr>
              <w:spacing w:after="0"/>
              <w:rPr>
                <w:sz w:val="24"/>
                <w:szCs w:val="24"/>
                <w:color w:val="auto"/>
              </w:rPr>
            </w:pPr>
          </w:p>
        </w:tc>
        <w:tc>
          <w:tcPr>
            <w:tcW w:w="208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88"/>
              </w:rPr>
              <w:t>500 West Texas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4"/>
        </w:trPr>
        <w:tc>
          <w:tcPr>
            <w:tcW w:w="2880" w:type="dxa"/>
            <w:vAlign w:val="bottom"/>
          </w:tcPr>
          <w:p>
            <w:pPr>
              <w:spacing w:after="0"/>
              <w:rPr>
                <w:sz w:val="18"/>
                <w:szCs w:val="18"/>
                <w:color w:val="auto"/>
              </w:rPr>
            </w:pPr>
          </w:p>
        </w:tc>
        <w:tc>
          <w:tcPr>
            <w:tcW w:w="208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88"/>
              </w:rPr>
              <w:t>Suite 1200</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4"/>
        </w:trPr>
        <w:tc>
          <w:tcPr>
            <w:tcW w:w="288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Arial" w:cs="Arial" w:eastAsia="Arial" w:hAnsi="Arial"/>
                <w:sz w:val="16"/>
                <w:szCs w:val="16"/>
                <w:b w:val="1"/>
                <w:bCs w:val="1"/>
                <w:color w:val="auto"/>
              </w:rPr>
              <w:t>Midland, TX</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jc w:val="right"/>
              <w:ind w:right="1964"/>
              <w:spacing w:after="0"/>
              <w:rPr>
                <w:sz w:val="20"/>
                <w:szCs w:val="20"/>
                <w:color w:val="auto"/>
              </w:rPr>
            </w:pPr>
            <w:r>
              <w:rPr>
                <w:rFonts w:ascii="Arial" w:cs="Arial" w:eastAsia="Arial" w:hAnsi="Arial"/>
                <w:sz w:val="16"/>
                <w:szCs w:val="16"/>
                <w:b w:val="1"/>
                <w:bCs w:val="1"/>
                <w:color w:val="auto"/>
                <w:w w:val="98"/>
              </w:rPr>
              <w:t>79701</w:t>
            </w:r>
          </w:p>
        </w:tc>
      </w:tr>
      <w:tr>
        <w:trPr>
          <w:trHeight w:val="396"/>
        </w:trPr>
        <w:tc>
          <w:tcPr>
            <w:tcW w:w="4960" w:type="dxa"/>
            <w:vAlign w:val="bottom"/>
            <w:gridSpan w:val="3"/>
          </w:tcPr>
          <w:p>
            <w:pPr>
              <w:jc w:val="center"/>
              <w:ind w:left="184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2"/>
          </w:tcPr>
          <w:p>
            <w:pPr>
              <w:jc w:val="center"/>
              <w:ind w:right="1624"/>
              <w:spacing w:after="0"/>
              <w:rPr>
                <w:sz w:val="20"/>
                <w:szCs w:val="20"/>
                <w:color w:val="auto"/>
              </w:rPr>
            </w:pPr>
            <w:r>
              <w:rPr>
                <w:rFonts w:ascii="Arial" w:cs="Arial" w:eastAsia="Arial" w:hAnsi="Arial"/>
                <w:sz w:val="14"/>
                <w:szCs w:val="14"/>
                <w:b w:val="1"/>
                <w:bCs w:val="1"/>
                <w:color w:val="auto"/>
                <w:w w:val="95"/>
              </w:rPr>
              <w:t>(Zip code)</w:t>
            </w:r>
          </w:p>
        </w:tc>
      </w:tr>
      <w:tr>
        <w:trPr>
          <w:trHeight w:val="524"/>
        </w:trPr>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(432) 221-7400</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5"/>
        </w:trPr>
        <w:tc>
          <w:tcPr>
            <w:tcW w:w="2880" w:type="dxa"/>
            <w:vAlign w:val="bottom"/>
          </w:tcPr>
          <w:p>
            <w:pPr>
              <w:spacing w:after="0"/>
              <w:rPr>
                <w:sz w:val="16"/>
                <w:szCs w:val="16"/>
                <w:color w:val="auto"/>
              </w:rPr>
            </w:pPr>
          </w:p>
        </w:tc>
        <w:tc>
          <w:tcPr>
            <w:tcW w:w="4380" w:type="dxa"/>
            <w:vAlign w:val="bottom"/>
            <w:gridSpan w:val="6"/>
          </w:tcPr>
          <w:p>
            <w:pPr>
              <w:jc w:val="center"/>
              <w:ind w:left="1042"/>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08"/>
        </w:trPr>
        <w:tc>
          <w:tcPr>
            <w:tcW w:w="2880" w:type="dxa"/>
            <w:vAlign w:val="bottom"/>
          </w:tcPr>
          <w:p>
            <w:pPr>
              <w:spacing w:after="0"/>
              <w:rPr>
                <w:sz w:val="24"/>
                <w:szCs w:val="24"/>
                <w:color w:val="auto"/>
              </w:rPr>
            </w:pPr>
          </w:p>
        </w:tc>
        <w:tc>
          <w:tcPr>
            <w:tcW w:w="7160" w:type="dxa"/>
            <w:vAlign w:val="bottom"/>
            <w:gridSpan w:val="8"/>
          </w:tcPr>
          <w:p>
            <w:pPr>
              <w:jc w:val="center"/>
              <w:ind w:right="1604"/>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r>
      <w:tr>
        <w:trPr>
          <w:trHeight w:val="279"/>
        </w:trPr>
        <w:tc>
          <w:tcPr>
            <w:tcW w:w="2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60" w:type="dxa"/>
            <w:vAlign w:val="bottom"/>
          </w:tcPr>
          <w:p>
            <w:pPr>
              <w:spacing w:after="0"/>
              <w:rPr>
                <w:sz w:val="24"/>
                <w:szCs w:val="24"/>
                <w:color w:val="auto"/>
              </w:rPr>
            </w:pPr>
          </w:p>
        </w:tc>
        <w:tc>
          <w:tcPr>
            <w:tcW w:w="1880" w:type="dxa"/>
            <w:vAlign w:val="bottom"/>
            <w:gridSpan w:val="2"/>
          </w:tcPr>
          <w:p>
            <w:pPr>
              <w:jc w:val="center"/>
              <w:ind w:right="549"/>
              <w:spacing w:after="0"/>
              <w:rPr>
                <w:sz w:val="20"/>
                <w:szCs w:val="20"/>
                <w:color w:val="auto"/>
              </w:rPr>
            </w:pPr>
            <w:r>
              <w:rPr>
                <w:rFonts w:ascii="Arial" w:cs="Arial" w:eastAsia="Arial" w:hAnsi="Arial"/>
                <w:sz w:val="16"/>
                <w:szCs w:val="16"/>
                <w:b w:val="1"/>
                <w:bCs w:val="1"/>
                <w:color w:val="auto"/>
                <w:w w:val="89"/>
              </w:rPr>
              <w:t>Trading Symbol(s)</w:t>
            </w:r>
          </w:p>
        </w:tc>
        <w:tc>
          <w:tcPr>
            <w:tcW w:w="220" w:type="dxa"/>
            <w:vAlign w:val="bottom"/>
          </w:tcPr>
          <w:p>
            <w:pPr>
              <w:spacing w:after="0"/>
              <w:rPr>
                <w:sz w:val="24"/>
                <w:szCs w:val="24"/>
                <w:color w:val="auto"/>
              </w:rPr>
            </w:pPr>
          </w:p>
        </w:tc>
        <w:tc>
          <w:tcPr>
            <w:tcW w:w="2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29"/>
        </w:trPr>
        <w:tc>
          <w:tcPr>
            <w:tcW w:w="28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Units</w:t>
            </w:r>
          </w:p>
        </w:tc>
        <w:tc>
          <w:tcPr>
            <w:tcW w:w="86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VNOM</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jc w:val="center"/>
              <w:ind w:right="404"/>
              <w:spacing w:after="0"/>
              <w:rPr>
                <w:sz w:val="20"/>
                <w:szCs w:val="20"/>
                <w:color w:val="auto"/>
              </w:rPr>
            </w:pPr>
            <w:r>
              <w:rPr>
                <w:rFonts w:ascii="Arial" w:cs="Arial" w:eastAsia="Arial" w:hAnsi="Arial"/>
                <w:sz w:val="16"/>
                <w:szCs w:val="16"/>
                <w:color w:val="auto"/>
                <w:w w:val="92"/>
              </w:rPr>
              <w:t>The Nasdaq Stock Market LLC</w:t>
            </w:r>
          </w:p>
        </w:tc>
      </w:tr>
      <w:tr>
        <w:trPr>
          <w:trHeight w:val="214"/>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2"/>
          </w:tcPr>
          <w:p>
            <w:pPr>
              <w:jc w:val="center"/>
              <w:ind w:right="124"/>
              <w:spacing w:after="0"/>
              <w:rPr>
                <w:sz w:val="20"/>
                <w:szCs w:val="20"/>
                <w:color w:val="auto"/>
              </w:rPr>
            </w:pPr>
            <w:r>
              <w:rPr>
                <w:rFonts w:ascii="Arial" w:cs="Arial" w:eastAsia="Arial" w:hAnsi="Arial"/>
                <w:sz w:val="16"/>
                <w:szCs w:val="16"/>
                <w:color w:val="auto"/>
                <w:w w:val="94"/>
              </w:rPr>
              <w:t>(NASDAQ Global Select Market)</w:t>
            </w:r>
          </w:p>
        </w:tc>
      </w:tr>
      <w:tr>
        <w:trPr>
          <w:trHeight w:val="268"/>
        </w:trPr>
        <w:tc>
          <w:tcPr>
            <w:tcW w:w="2880" w:type="dxa"/>
            <w:vAlign w:val="bottom"/>
          </w:tcPr>
          <w:p>
            <w:pPr>
              <w:spacing w:after="0"/>
              <w:rPr>
                <w:sz w:val="23"/>
                <w:szCs w:val="23"/>
                <w:color w:val="auto"/>
              </w:rPr>
            </w:pPr>
          </w:p>
        </w:tc>
        <w:tc>
          <w:tcPr>
            <w:tcW w:w="7160" w:type="dxa"/>
            <w:vAlign w:val="bottom"/>
            <w:gridSpan w:val="8"/>
          </w:tcPr>
          <w:p>
            <w:pPr>
              <w:jc w:val="center"/>
              <w:ind w:right="1584"/>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r>
      <w:tr>
        <w:trPr>
          <w:trHeight w:val="214"/>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gridSpan w:val="2"/>
          </w:tcPr>
          <w:p>
            <w:pPr>
              <w:jc w:val="center"/>
              <w:ind w:right="489"/>
              <w:spacing w:after="0"/>
              <w:rPr>
                <w:sz w:val="20"/>
                <w:szCs w:val="20"/>
                <w:color w:val="auto"/>
              </w:rPr>
            </w:pPr>
            <w:r>
              <w:rPr>
                <w:rFonts w:ascii="Arial" w:cs="Arial" w:eastAsia="Arial" w:hAnsi="Arial"/>
                <w:sz w:val="16"/>
                <w:szCs w:val="16"/>
                <w:color w:val="auto"/>
                <w:w w:val="93"/>
              </w:rPr>
              <w:t>None.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68"/>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2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25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r>
      <w:tr>
        <w:trPr>
          <w:trHeight w:val="224"/>
        </w:trPr>
        <w:tc>
          <w:tcPr>
            <w:tcW w:w="684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7"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20"/>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1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1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3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1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77"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7" w:lineRule="exact"/>
        <w:rPr>
          <w:sz w:val="24"/>
          <w:szCs w:val="24"/>
          <w:color w:val="auto"/>
        </w:rPr>
      </w:pPr>
    </w:p>
    <w:p>
      <w:pPr>
        <w:jc w:val="both"/>
        <w:spacing w:after="0" w:line="223" w:lineRule="auto"/>
        <w:rPr>
          <w:sz w:val="20"/>
          <w:szCs w:val="20"/>
          <w:color w:val="auto"/>
        </w:rPr>
      </w:pPr>
      <w:r>
        <w:rPr>
          <w:rFonts w:ascii="Arial" w:cs="Arial" w:eastAsia="Arial" w:hAnsi="Arial"/>
          <w:sz w:val="14"/>
          <w:szCs w:val="14"/>
          <w:color w:val="auto"/>
        </w:rPr>
        <w:t>The aggregate market value of the common units held by non-affiliates was approximately $1.2 billion on June 30, 2021, the last business day of the registrant’s most recently completed second fiscal quarter, based on closing prices in the daily composite list for transactions on the Nasdaq Global Select Market on such date. As of February 18, 2022, 76,966,203 common units representing limited partner interests and 90,709,946 Class B units representing limited partner interests were outstanding.</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560070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232410</wp:posOffset>
            </wp:positionV>
            <wp:extent cx="682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75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190500</wp:posOffset>
            </wp:positionV>
            <wp:extent cx="68275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7520"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80" w:type="dxa"/>
            <w:vAlign w:val="bottom"/>
            <w:gridSpan w:val="5"/>
          </w:tcPr>
          <w:p>
            <w:pPr>
              <w:jc w:val="center"/>
              <w:ind w:right="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gridSpan w:val="13"/>
            <w:shd w:val="clear" w:color="auto" w:fill="CCEEFF"/>
          </w:tcPr>
          <w:p>
            <w:pPr>
              <w:spacing w:after="0" w:line="148" w:lineRule="exact"/>
              <w:rPr>
                <w:rFonts w:ascii="Arial" w:cs="Arial" w:eastAsia="Arial" w:hAnsi="Arial"/>
                <w:sz w:val="17"/>
                <w:szCs w:val="17"/>
                <w:color w:val="0000FF"/>
                <w:w w:val="94"/>
              </w:rPr>
            </w:pPr>
            <w:hyperlink w:anchor="page2">
              <w:r>
                <w:rPr>
                  <w:rFonts w:ascii="Arial" w:cs="Arial" w:eastAsia="Arial" w:hAnsi="Arial"/>
                  <w:sz w:val="17"/>
                  <w:szCs w:val="17"/>
                  <w:color w:val="0000FF"/>
                  <w:w w:val="94"/>
                </w:rPr>
                <w:t>Glossary of Oil and Natural Gas Terms</w:t>
              </w:r>
            </w:hyperlink>
          </w:p>
        </w:tc>
        <w:tc>
          <w:tcPr>
            <w:tcW w:w="7740" w:type="dxa"/>
            <w:vAlign w:val="bottom"/>
            <w:tcBorders>
              <w:top w:val="single" w:sz="8" w:color="CCEEFF"/>
            </w:tcBorders>
            <w:gridSpan w:val="20"/>
            <w:shd w:val="clear" w:color="auto" w:fill="CCEEFF"/>
          </w:tcPr>
          <w:p>
            <w:pPr>
              <w:spacing w:after="0"/>
              <w:rPr>
                <w:sz w:val="16"/>
                <w:szCs w:val="16"/>
                <w:color w:val="auto"/>
              </w:rPr>
            </w:pPr>
          </w:p>
        </w:tc>
        <w:tc>
          <w:tcPr>
            <w:tcW w:w="280" w:type="dxa"/>
            <w:vAlign w:val="bottom"/>
            <w:tcBorders>
              <w:top w:val="single" w:sz="8" w:color="auto"/>
              <w:right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3"/>
            <w:shd w:val="clear" w:color="auto" w:fill="CCEEFF"/>
          </w:tcPr>
          <w:p>
            <w:pPr>
              <w:jc w:val="center"/>
              <w:ind w:right="280"/>
              <w:spacing w:after="0" w:line="154" w:lineRule="exact"/>
              <w:rPr>
                <w:rFonts w:ascii="Arial" w:cs="Arial" w:eastAsia="Arial" w:hAnsi="Arial"/>
                <w:sz w:val="17"/>
                <w:szCs w:val="17"/>
                <w:color w:val="0000FF"/>
              </w:rPr>
            </w:pPr>
            <w:hyperlink w:anchor="page2">
              <w:r>
                <w:rPr>
                  <w:rFonts w:ascii="Arial" w:cs="Arial" w:eastAsia="Arial" w:hAnsi="Arial"/>
                  <w:sz w:val="17"/>
                  <w:szCs w:val="17"/>
                  <w:color w:val="0000FF"/>
                </w:rPr>
                <w:t>ii</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gridSpan w:val="13"/>
          </w:tcPr>
          <w:p>
            <w:pPr>
              <w:spacing w:after="0" w:line="181" w:lineRule="exact"/>
              <w:rPr>
                <w:rFonts w:ascii="Arial" w:cs="Arial" w:eastAsia="Arial" w:hAnsi="Arial"/>
                <w:sz w:val="18"/>
                <w:szCs w:val="18"/>
                <w:color w:val="0000FF"/>
              </w:rPr>
            </w:pPr>
            <w:hyperlink w:anchor="page4">
              <w:r>
                <w:rPr>
                  <w:rFonts w:ascii="Arial" w:cs="Arial" w:eastAsia="Arial" w:hAnsi="Arial"/>
                  <w:sz w:val="18"/>
                  <w:szCs w:val="18"/>
                  <w:color w:val="0000FF"/>
                </w:rPr>
                <w:t>Glossary of Certain Other Terms</w:t>
              </w:r>
            </w:hyperlink>
          </w:p>
        </w:tc>
        <w:tc>
          <w:tcPr>
            <w:tcW w:w="7740" w:type="dxa"/>
            <w:vAlign w:val="bottom"/>
            <w:gridSpan w:val="20"/>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1"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rFonts w:ascii="Arial" w:cs="Arial" w:eastAsia="Arial" w:hAnsi="Arial"/>
                <w:sz w:val="18"/>
                <w:szCs w:val="18"/>
                <w:color w:val="0000FF"/>
              </w:rPr>
            </w:pPr>
            <w:hyperlink w:anchor="page5">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8" w:lineRule="exact"/>
              <w:rPr>
                <w:rFonts w:ascii="Arial" w:cs="Arial" w:eastAsia="Arial" w:hAnsi="Arial"/>
                <w:sz w:val="18"/>
                <w:szCs w:val="18"/>
                <w:color w:val="0000FF"/>
              </w:rPr>
            </w:pPr>
            <w:hyperlink w:anchor="page5">
              <w:r>
                <w:rPr>
                  <w:rFonts w:ascii="Arial" w:cs="Arial" w:eastAsia="Arial" w:hAnsi="Arial"/>
                  <w:sz w:val="18"/>
                  <w:szCs w:val="18"/>
                  <w:color w:val="0000FF"/>
                </w:rPr>
                <w:t>v</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40" w:type="dxa"/>
            <w:vAlign w:val="bottom"/>
            <w:gridSpan w:val="11"/>
            <w:shd w:val="clear" w:color="auto" w:fill="CCEEFF"/>
          </w:tcPr>
          <w:p>
            <w:pPr>
              <w:jc w:val="center"/>
              <w:ind w:right="4660"/>
              <w:spacing w:after="0" w:line="188" w:lineRule="exact"/>
              <w:rPr>
                <w:rFonts w:ascii="Arial" w:cs="Arial" w:eastAsia="Arial" w:hAnsi="Arial"/>
                <w:sz w:val="18"/>
                <w:szCs w:val="18"/>
                <w:b w:val="1"/>
                <w:bCs w:val="1"/>
                <w:color w:val="0000FF"/>
                <w:w w:val="98"/>
              </w:rPr>
            </w:pPr>
            <w:hyperlink w:anchor="page7">
              <w:r>
                <w:rPr>
                  <w:rFonts w:ascii="Arial" w:cs="Arial" w:eastAsia="Arial" w:hAnsi="Arial"/>
                  <w:sz w:val="18"/>
                  <w:szCs w:val="18"/>
                  <w:b w:val="1"/>
                  <w:bCs w:val="1"/>
                  <w:color w:val="0000FF"/>
                  <w:w w:val="98"/>
                </w:rPr>
                <w:t>PART I</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320" w:type="dxa"/>
            <w:vAlign w:val="bottom"/>
            <w:tcBorders>
              <w:top w:val="single" w:sz="8" w:color="CCEEFF"/>
            </w:tcBorders>
            <w:gridSpan w:val="23"/>
          </w:tcPr>
          <w:p>
            <w:pPr>
              <w:ind w:left="20"/>
              <w:spacing w:after="0" w:line="188" w:lineRule="exact"/>
              <w:rPr>
                <w:rFonts w:ascii="Arial" w:cs="Arial" w:eastAsia="Arial" w:hAnsi="Arial"/>
                <w:sz w:val="18"/>
                <w:szCs w:val="18"/>
                <w:color w:val="0000FF"/>
              </w:rPr>
            </w:pPr>
            <w:hyperlink w:anchor="page8">
              <w:r>
                <w:rPr>
                  <w:rFonts w:ascii="Arial" w:cs="Arial" w:eastAsia="Arial" w:hAnsi="Arial"/>
                  <w:sz w:val="18"/>
                  <w:szCs w:val="18"/>
                  <w:color w:val="0000FF"/>
                </w:rPr>
                <w:t>Items 1 and 2. Business and Properties</w:t>
              </w:r>
            </w:hyperlink>
          </w:p>
        </w:tc>
        <w:tc>
          <w:tcPr>
            <w:tcW w:w="580" w:type="dxa"/>
            <w:vAlign w:val="bottom"/>
            <w:tcBorders>
              <w:top w:val="single" w:sz="8" w:color="0000FF"/>
            </w:tcBorders>
            <w:gridSpan w:val="2"/>
          </w:tcPr>
          <w:p>
            <w:pPr>
              <w:spacing w:after="0"/>
              <w:rPr>
                <w:sz w:val="16"/>
                <w:szCs w:val="16"/>
                <w:color w:val="auto"/>
              </w:rPr>
            </w:pPr>
          </w:p>
        </w:tc>
        <w:tc>
          <w:tcPr>
            <w:tcW w:w="4660" w:type="dxa"/>
            <w:vAlign w:val="bottom"/>
            <w:tcBorders>
              <w:top w:val="single" w:sz="8" w:color="CCEEFF"/>
            </w:tcBorders>
            <w:gridSpan w:val="9"/>
          </w:tcPr>
          <w:p>
            <w:pPr>
              <w:spacing w:after="0"/>
              <w:rPr>
                <w:sz w:val="16"/>
                <w:szCs w:val="16"/>
                <w:color w:val="auto"/>
              </w:rPr>
            </w:pPr>
          </w:p>
        </w:tc>
        <w:tc>
          <w:tcPr>
            <w:tcW w:w="380" w:type="dxa"/>
            <w:vAlign w:val="bottom"/>
            <w:tcBorders>
              <w:top w:val="single" w:sz="8" w:color="CCEEFF"/>
            </w:tcBorders>
            <w:gridSpan w:val="2"/>
          </w:tcPr>
          <w:p>
            <w:pPr>
              <w:jc w:val="center"/>
              <w:ind w:left="191"/>
              <w:spacing w:after="0" w:line="188"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FF"/>
            </w:tcBorders>
            <w:gridSpan w:val="3"/>
            <w:shd w:val="clear" w:color="auto" w:fill="CCEEFF"/>
          </w:tcPr>
          <w:p>
            <w:pPr>
              <w:spacing w:after="0" w:line="181"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Item 1A. Risk Factors</w:t>
              </w:r>
            </w:hyperlink>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gridSpan w:val="3"/>
            <w:shd w:val="clear" w:color="auto" w:fill="CCEEFF"/>
          </w:tcPr>
          <w:p>
            <w:pPr>
              <w:jc w:val="center"/>
              <w:ind w:left="131"/>
              <w:spacing w:after="0" w:line="195"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15</w:t>
              </w:r>
            </w:hyperlink>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60" w:type="dxa"/>
            <w:vAlign w:val="bottom"/>
            <w:tcBorders>
              <w:top w:val="single" w:sz="8" w:color="CCEEFF"/>
              <w:right w:val="single" w:sz="8" w:color="0000FF"/>
            </w:tcBorders>
            <w:shd w:val="clear" w:color="auto" w:fill="0000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560" w:type="dxa"/>
            <w:vAlign w:val="bottom"/>
            <w:gridSpan w:val="34"/>
          </w:tcPr>
          <w:p>
            <w:pPr>
              <w:ind w:left="20"/>
              <w:spacing w:after="0" w:line="188" w:lineRule="exact"/>
              <w:rPr>
                <w:rFonts w:ascii="Arial" w:cs="Arial" w:eastAsia="Arial" w:hAnsi="Arial"/>
                <w:sz w:val="18"/>
                <w:szCs w:val="18"/>
                <w:color w:val="0000FF"/>
              </w:rPr>
            </w:pPr>
            <w:hyperlink w:anchor="page35">
              <w:r>
                <w:rPr>
                  <w:rFonts w:ascii="Arial" w:cs="Arial" w:eastAsia="Arial" w:hAnsi="Arial"/>
                  <w:sz w:val="18"/>
                  <w:szCs w:val="18"/>
                  <w:color w:val="0000FF"/>
                </w:rPr>
                <w:t>Item 1B. Unresolved Staff Comments</w:t>
              </w:r>
            </w:hyperlink>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28</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880" w:type="dxa"/>
            <w:vAlign w:val="bottom"/>
            <w:gridSpan w:val="4"/>
            <w:shd w:val="clear" w:color="auto" w:fill="CCEEFF"/>
          </w:tcPr>
          <w:p>
            <w:pPr>
              <w:spacing w:after="0" w:line="188" w:lineRule="exact"/>
              <w:rPr>
                <w:rFonts w:ascii="Arial" w:cs="Arial" w:eastAsia="Arial" w:hAnsi="Arial"/>
                <w:sz w:val="18"/>
                <w:szCs w:val="18"/>
                <w:color w:val="0000FF"/>
                <w:w w:val="88"/>
              </w:rPr>
            </w:pPr>
            <w:hyperlink w:anchor="page35">
              <w:r>
                <w:rPr>
                  <w:rFonts w:ascii="Arial" w:cs="Arial" w:eastAsia="Arial" w:hAnsi="Arial"/>
                  <w:sz w:val="18"/>
                  <w:szCs w:val="18"/>
                  <w:color w:val="0000FF"/>
                  <w:w w:val="88"/>
                </w:rPr>
                <w:t>Item 3. Legal Proceedings</w:t>
              </w:r>
            </w:hyperlink>
          </w:p>
        </w:tc>
        <w:tc>
          <w:tcPr>
            <w:tcW w:w="8660" w:type="dxa"/>
            <w:vAlign w:val="bottom"/>
            <w:gridSpan w:val="29"/>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28</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rFonts w:ascii="Arial" w:cs="Arial" w:eastAsia="Arial" w:hAnsi="Arial"/>
                <w:sz w:val="18"/>
                <w:szCs w:val="18"/>
                <w:color w:val="0000FF"/>
              </w:rPr>
            </w:pPr>
            <w:hyperlink w:anchor="page35">
              <w:r>
                <w:rPr>
                  <w:rFonts w:ascii="Arial" w:cs="Arial" w:eastAsia="Arial" w:hAnsi="Arial"/>
                  <w:sz w:val="18"/>
                  <w:szCs w:val="18"/>
                  <w:color w:val="0000FF"/>
                </w:rPr>
                <w:t>Item 4. Mine Safety Disclosures</w:t>
              </w:r>
            </w:hyperlink>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29</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12"/>
          </w:tcPr>
          <w:p>
            <w:pPr>
              <w:jc w:val="center"/>
              <w:ind w:right="4620"/>
              <w:spacing w:after="0" w:line="188"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8460" w:type="dxa"/>
            <w:vAlign w:val="bottom"/>
            <w:gridSpan w:val="32"/>
            <w:shd w:val="clear" w:color="auto" w:fill="CCEEFF"/>
          </w:tcPr>
          <w:p>
            <w:pPr>
              <w:spacing w:after="0" w:line="188"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Item 5. Market for Registrant's Common Equity, Related Unitholder Matters and Issuer Purchases of Equity Securities</w:t>
              </w:r>
            </w:hyperlink>
          </w:p>
        </w:tc>
        <w:tc>
          <w:tcPr>
            <w:tcW w:w="208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30</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gridSpan w:val="32"/>
          </w:tcPr>
          <w:p>
            <w:pPr>
              <w:spacing w:after="0" w:line="188" w:lineRule="exact"/>
              <w:rPr>
                <w:rFonts w:ascii="Arial" w:cs="Arial" w:eastAsia="Arial" w:hAnsi="Arial"/>
                <w:sz w:val="18"/>
                <w:szCs w:val="18"/>
                <w:color w:val="0000FF"/>
              </w:rPr>
            </w:pPr>
            <w:hyperlink w:anchor="page37">
              <w:r>
                <w:rPr>
                  <w:rFonts w:ascii="Arial" w:cs="Arial" w:eastAsia="Arial" w:hAnsi="Arial"/>
                  <w:sz w:val="18"/>
                  <w:szCs w:val="18"/>
                  <w:color w:val="0000FF"/>
                </w:rPr>
                <w:t>Item 6. [Reserved]</w:t>
              </w:r>
            </w:hyperlink>
          </w:p>
        </w:tc>
        <w:tc>
          <w:tcPr>
            <w:tcW w:w="2080" w:type="dxa"/>
            <w:vAlign w:val="bottom"/>
          </w:tcPr>
          <w:p>
            <w:pPr>
              <w:spacing w:after="0"/>
              <w:rPr>
                <w:sz w:val="16"/>
                <w:szCs w:val="16"/>
                <w:color w:val="auto"/>
              </w:rPr>
            </w:pPr>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30</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rFonts w:ascii="Arial" w:cs="Arial" w:eastAsia="Arial" w:hAnsi="Arial"/>
                <w:sz w:val="18"/>
                <w:szCs w:val="18"/>
                <w:color w:val="0000FF"/>
              </w:rPr>
            </w:pPr>
            <w:hyperlink w:anchor="page37">
              <w:r>
                <w:rPr>
                  <w:rFonts w:ascii="Arial" w:cs="Arial" w:eastAsia="Arial" w:hAnsi="Arial"/>
                  <w:sz w:val="18"/>
                  <w:szCs w:val="18"/>
                  <w:color w:val="0000FF"/>
                </w:rPr>
                <w:t>Item 7. Management's Discussion and Analysis of Financial Condition and Results of Operations</w:t>
              </w:r>
            </w:hyperlink>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31</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940" w:type="dxa"/>
            <w:vAlign w:val="bottom"/>
            <w:gridSpan w:val="29"/>
          </w:tcPr>
          <w:p>
            <w:pPr>
              <w:spacing w:after="0" w:line="188" w:lineRule="exact"/>
              <w:rPr>
                <w:rFonts w:ascii="Arial" w:cs="Arial" w:eastAsia="Arial" w:hAnsi="Arial"/>
                <w:sz w:val="18"/>
                <w:szCs w:val="18"/>
                <w:color w:val="0000FF"/>
              </w:rPr>
            </w:pPr>
            <w:hyperlink w:anchor="page49">
              <w:r>
                <w:rPr>
                  <w:rFonts w:ascii="Arial" w:cs="Arial" w:eastAsia="Arial" w:hAnsi="Arial"/>
                  <w:sz w:val="18"/>
                  <w:szCs w:val="18"/>
                  <w:color w:val="0000FF"/>
                </w:rPr>
                <w:t>Item 7A. Quantitative and Qualitative Disclosures about Market Risk</w:t>
              </w:r>
            </w:hyperlink>
          </w:p>
        </w:tc>
        <w:tc>
          <w:tcPr>
            <w:tcW w:w="3600" w:type="dxa"/>
            <w:vAlign w:val="bottom"/>
            <w:gridSpan w:val="4"/>
          </w:tcPr>
          <w:p>
            <w:pPr>
              <w:spacing w:after="0"/>
              <w:rPr>
                <w:sz w:val="16"/>
                <w:szCs w:val="16"/>
                <w:color w:val="auto"/>
              </w:rPr>
            </w:pPr>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42</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860" w:type="dxa"/>
            <w:vAlign w:val="bottom"/>
            <w:gridSpan w:val="16"/>
            <w:shd w:val="clear" w:color="auto" w:fill="CCEEFF"/>
          </w:tcPr>
          <w:p>
            <w:pPr>
              <w:spacing w:after="0" w:line="188" w:lineRule="exact"/>
              <w:rPr>
                <w:rFonts w:ascii="Arial" w:cs="Arial" w:eastAsia="Arial" w:hAnsi="Arial"/>
                <w:sz w:val="18"/>
                <w:szCs w:val="18"/>
                <w:color w:val="0000FF"/>
                <w:w w:val="88"/>
              </w:rPr>
            </w:pPr>
            <w:hyperlink w:anchor="page50">
              <w:r>
                <w:rPr>
                  <w:rFonts w:ascii="Arial" w:cs="Arial" w:eastAsia="Arial" w:hAnsi="Arial"/>
                  <w:sz w:val="18"/>
                  <w:szCs w:val="18"/>
                  <w:color w:val="0000FF"/>
                  <w:w w:val="88"/>
                </w:rPr>
                <w:t>Item 8. Financial Statements and Supplementary Data</w:t>
              </w:r>
            </w:hyperlink>
          </w:p>
        </w:tc>
        <w:tc>
          <w:tcPr>
            <w:tcW w:w="6680" w:type="dxa"/>
            <w:vAlign w:val="bottom"/>
            <w:gridSpan w:val="17"/>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43</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rFonts w:ascii="Arial" w:cs="Arial" w:eastAsia="Arial" w:hAnsi="Arial"/>
                <w:sz w:val="18"/>
                <w:szCs w:val="18"/>
                <w:color w:val="0000FF"/>
              </w:rPr>
            </w:pPr>
            <w:hyperlink w:anchor="page50">
              <w:r>
                <w:rPr>
                  <w:rFonts w:ascii="Arial" w:cs="Arial" w:eastAsia="Arial" w:hAnsi="Arial"/>
                  <w:sz w:val="18"/>
                  <w:szCs w:val="18"/>
                  <w:color w:val="0000FF"/>
                </w:rPr>
                <w:t>Item 9. Changes in and Disagreements with Accountants on Accounting and Financial Disclosure</w:t>
              </w:r>
            </w:hyperlink>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43</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440" w:type="dxa"/>
            <w:vAlign w:val="bottom"/>
            <w:gridSpan w:val="10"/>
            <w:shd w:val="clear" w:color="auto" w:fill="CCEEFF"/>
          </w:tcPr>
          <w:p>
            <w:pPr>
              <w:spacing w:after="0" w:line="188"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Item 9A. Controls and Procedures</w:t>
              </w:r>
            </w:hyperlink>
          </w:p>
        </w:tc>
        <w:tc>
          <w:tcPr>
            <w:tcW w:w="8100" w:type="dxa"/>
            <w:vAlign w:val="bottom"/>
            <w:gridSpan w:val="23"/>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43</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10"/>
          </w:tcPr>
          <w:p>
            <w:pPr>
              <w:spacing w:after="0" w:line="188" w:lineRule="exact"/>
              <w:rPr>
                <w:rFonts w:ascii="Arial" w:cs="Arial" w:eastAsia="Arial" w:hAnsi="Arial"/>
                <w:sz w:val="18"/>
                <w:szCs w:val="18"/>
                <w:color w:val="0000FF"/>
              </w:rPr>
            </w:pPr>
            <w:hyperlink w:anchor="page52">
              <w:r>
                <w:rPr>
                  <w:rFonts w:ascii="Arial" w:cs="Arial" w:eastAsia="Arial" w:hAnsi="Arial"/>
                  <w:sz w:val="18"/>
                  <w:szCs w:val="18"/>
                  <w:color w:val="0000FF"/>
                </w:rPr>
                <w:t>Item 9B. Other Information</w:t>
              </w:r>
            </w:hyperlink>
          </w:p>
        </w:tc>
        <w:tc>
          <w:tcPr>
            <w:tcW w:w="8100" w:type="dxa"/>
            <w:vAlign w:val="bottom"/>
            <w:gridSpan w:val="23"/>
          </w:tcPr>
          <w:p>
            <w:pPr>
              <w:spacing w:after="0"/>
              <w:rPr>
                <w:sz w:val="16"/>
                <w:szCs w:val="16"/>
                <w:color w:val="auto"/>
              </w:rPr>
            </w:pPr>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46</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rFonts w:ascii="Arial" w:cs="Arial" w:eastAsia="Arial" w:hAnsi="Arial"/>
                <w:sz w:val="18"/>
                <w:szCs w:val="18"/>
                <w:color w:val="0000FF"/>
              </w:rPr>
            </w:pPr>
            <w:hyperlink w:anchor="page53">
              <w:r>
                <w:rPr>
                  <w:rFonts w:ascii="Arial" w:cs="Arial" w:eastAsia="Arial" w:hAnsi="Arial"/>
                  <w:sz w:val="18"/>
                  <w:szCs w:val="18"/>
                  <w:color w:val="0000FF"/>
                </w:rPr>
                <w:t xml:space="preserve">Item </w:t>
              </w:r>
            </w:hyperlink>
            <w:r>
              <w:rPr>
                <w:rFonts w:ascii="Arial" w:cs="Arial" w:eastAsia="Arial" w:hAnsi="Arial"/>
                <w:sz w:val="18"/>
                <w:szCs w:val="18"/>
                <w:color w:val="0000FF"/>
              </w:rPr>
              <w:t xml:space="preserve">9C. </w:t>
            </w:r>
            <w:hyperlink w:anchor="page53">
              <w:r>
                <w:rPr>
                  <w:rFonts w:ascii="Arial" w:cs="Arial" w:eastAsia="Arial" w:hAnsi="Arial"/>
                  <w:sz w:val="18"/>
                  <w:szCs w:val="18"/>
                  <w:color w:val="0000FF"/>
                </w:rPr>
                <w:t>Disclosure Regarding Foreign Jurisdictions that Prevent Inspections.</w:t>
              </w:r>
            </w:hyperlink>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46</w:t>
              </w:r>
            </w:hyperlink>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7"/>
            <w:shd w:val="clear" w:color="auto" w:fill="CCEEFF"/>
          </w:tcPr>
          <w:p>
            <w:pPr>
              <w:jc w:val="center"/>
              <w:spacing w:after="0" w:line="188"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III</w:t>
              </w:r>
            </w:hyperlink>
          </w:p>
        </w:tc>
        <w:tc>
          <w:tcPr>
            <w:tcW w:w="4580" w:type="dxa"/>
            <w:vAlign w:val="bottom"/>
            <w:tcBorders>
              <w:bottom w:val="single" w:sz="8" w:color="CCEEFF"/>
            </w:tcBorders>
            <w:gridSpan w:val="6"/>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560" w:type="dxa"/>
            <w:vAlign w:val="bottom"/>
            <w:gridSpan w:val="34"/>
          </w:tcPr>
          <w:p>
            <w:pPr>
              <w:ind w:left="20"/>
              <w:spacing w:after="0" w:line="188" w:lineRule="exact"/>
              <w:rPr>
                <w:rFonts w:ascii="Arial" w:cs="Arial" w:eastAsia="Arial" w:hAnsi="Arial"/>
                <w:sz w:val="18"/>
                <w:szCs w:val="18"/>
                <w:color w:val="0000FF"/>
              </w:rPr>
            </w:pPr>
            <w:hyperlink w:anchor="page54">
              <w:r>
                <w:rPr>
                  <w:rFonts w:ascii="Arial" w:cs="Arial" w:eastAsia="Arial" w:hAnsi="Arial"/>
                  <w:sz w:val="18"/>
                  <w:szCs w:val="18"/>
                  <w:color w:val="0000FF"/>
                </w:rPr>
                <w:t>Item 10. Directors, Executive Officers and Corporate Governance</w:t>
              </w:r>
            </w:hyperlink>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47</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rFonts w:ascii="Arial" w:cs="Arial" w:eastAsia="Arial" w:hAnsi="Arial"/>
                <w:sz w:val="18"/>
                <w:szCs w:val="18"/>
                <w:color w:val="0000FF"/>
              </w:rPr>
            </w:pPr>
            <w:hyperlink w:anchor="page58">
              <w:r>
                <w:rPr>
                  <w:rFonts w:ascii="Arial" w:cs="Arial" w:eastAsia="Arial" w:hAnsi="Arial"/>
                  <w:sz w:val="18"/>
                  <w:szCs w:val="18"/>
                  <w:color w:val="0000FF"/>
                </w:rPr>
                <w:t>Item 11. Executive Compensation</w:t>
              </w:r>
            </w:hyperlink>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52</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rFonts w:ascii="Arial" w:cs="Arial" w:eastAsia="Arial" w:hAnsi="Arial"/>
                <w:sz w:val="18"/>
                <w:szCs w:val="18"/>
                <w:color w:val="0000FF"/>
              </w:rPr>
            </w:pPr>
            <w:hyperlink w:anchor="page61">
              <w:r>
                <w:rPr>
                  <w:rFonts w:ascii="Arial" w:cs="Arial" w:eastAsia="Arial" w:hAnsi="Arial"/>
                  <w:sz w:val="18"/>
                  <w:szCs w:val="18"/>
                  <w:color w:val="0000FF"/>
                </w:rPr>
                <w:t>Item 12. Security Ownership of Certain Beneficial Owners and Management and Related Unitholder Matters</w:t>
              </w:r>
            </w:hyperlink>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55</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rFonts w:ascii="Arial" w:cs="Arial" w:eastAsia="Arial" w:hAnsi="Arial"/>
                <w:sz w:val="18"/>
                <w:szCs w:val="18"/>
                <w:color w:val="0000FF"/>
              </w:rPr>
            </w:pPr>
            <w:hyperlink w:anchor="page66">
              <w:r>
                <w:rPr>
                  <w:rFonts w:ascii="Arial" w:cs="Arial" w:eastAsia="Arial" w:hAnsi="Arial"/>
                  <w:sz w:val="18"/>
                  <w:szCs w:val="18"/>
                  <w:color w:val="0000FF"/>
                </w:rPr>
                <w:t>Item 13. Certain Relationships and Related Transactions, and Director Independence</w:t>
              </w:r>
            </w:hyperlink>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60</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040" w:type="dxa"/>
            <w:vAlign w:val="bottom"/>
            <w:gridSpan w:val="28"/>
          </w:tcPr>
          <w:p>
            <w:pPr>
              <w:spacing w:after="0" w:line="188" w:lineRule="exact"/>
              <w:rPr>
                <w:rFonts w:ascii="Arial" w:cs="Arial" w:eastAsia="Arial" w:hAnsi="Arial"/>
                <w:sz w:val="18"/>
                <w:szCs w:val="18"/>
                <w:color w:val="0000FF"/>
              </w:rPr>
            </w:pPr>
            <w:hyperlink w:anchor="page68">
              <w:r>
                <w:rPr>
                  <w:rFonts w:ascii="Arial" w:cs="Arial" w:eastAsia="Arial" w:hAnsi="Arial"/>
                  <w:sz w:val="18"/>
                  <w:szCs w:val="18"/>
                  <w:color w:val="0000FF"/>
                </w:rPr>
                <w:t>Item 14. Principal Accountant Fees and Services</w:t>
              </w:r>
            </w:hyperlink>
          </w:p>
        </w:tc>
        <w:tc>
          <w:tcPr>
            <w:tcW w:w="4500" w:type="dxa"/>
            <w:vAlign w:val="bottom"/>
            <w:gridSpan w:val="5"/>
          </w:tcPr>
          <w:p>
            <w:pPr>
              <w:spacing w:after="0"/>
              <w:rPr>
                <w:sz w:val="16"/>
                <w:szCs w:val="16"/>
                <w:color w:val="auto"/>
              </w:rPr>
            </w:pPr>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61</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gridSpan w:val="13"/>
          </w:tcPr>
          <w:p>
            <w:pPr>
              <w:jc w:val="center"/>
              <w:ind w:right="4600"/>
              <w:spacing w:after="0" w:line="188" w:lineRule="exact"/>
              <w:rPr>
                <w:rFonts w:ascii="Arial" w:cs="Arial" w:eastAsia="Arial" w:hAnsi="Arial"/>
                <w:sz w:val="18"/>
                <w:szCs w:val="18"/>
                <w:b w:val="1"/>
                <w:bCs w:val="1"/>
                <w:color w:val="0000FF"/>
                <w:w w:val="98"/>
              </w:rPr>
            </w:pPr>
            <w:hyperlink w:anchor="page69">
              <w:r>
                <w:rPr>
                  <w:rFonts w:ascii="Arial" w:cs="Arial" w:eastAsia="Arial" w:hAnsi="Arial"/>
                  <w:sz w:val="18"/>
                  <w:szCs w:val="18"/>
                  <w:b w:val="1"/>
                  <w:bCs w:val="1"/>
                  <w:color w:val="0000FF"/>
                  <w:w w:val="98"/>
                </w:rPr>
                <w:t>PART IV</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780" w:type="dxa"/>
            <w:vAlign w:val="bottom"/>
            <w:gridSpan w:val="15"/>
            <w:shd w:val="clear" w:color="auto" w:fill="CCEEFF"/>
          </w:tcPr>
          <w:p>
            <w:pPr>
              <w:spacing w:after="0" w:line="188"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Item 15. Exhibits and Financial Statement Schedules</w:t>
              </w:r>
            </w:hyperlink>
          </w:p>
        </w:tc>
        <w:tc>
          <w:tcPr>
            <w:tcW w:w="6760" w:type="dxa"/>
            <w:vAlign w:val="bottom"/>
            <w:gridSpan w:val="18"/>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gridSpan w:val="15"/>
          </w:tcPr>
          <w:p>
            <w:pPr>
              <w:spacing w:after="0" w:line="188" w:lineRule="exact"/>
              <w:rPr>
                <w:rFonts w:ascii="Arial" w:cs="Arial" w:eastAsia="Arial" w:hAnsi="Arial"/>
                <w:sz w:val="18"/>
                <w:szCs w:val="18"/>
                <w:color w:val="0000FF"/>
              </w:rPr>
            </w:pPr>
            <w:hyperlink w:anchor="page72">
              <w:r>
                <w:rPr>
                  <w:rFonts w:ascii="Arial" w:cs="Arial" w:eastAsia="Arial" w:hAnsi="Arial"/>
                  <w:sz w:val="18"/>
                  <w:szCs w:val="18"/>
                  <w:color w:val="0000FF"/>
                </w:rPr>
                <w:t>Item 16. Form 10-K Summary</w:t>
              </w:r>
            </w:hyperlink>
          </w:p>
        </w:tc>
        <w:tc>
          <w:tcPr>
            <w:tcW w:w="6760" w:type="dxa"/>
            <w:vAlign w:val="bottom"/>
            <w:gridSpan w:val="18"/>
          </w:tcPr>
          <w:p>
            <w:pPr>
              <w:spacing w:after="0"/>
              <w:rPr>
                <w:sz w:val="16"/>
                <w:szCs w:val="16"/>
                <w:color w:val="auto"/>
              </w:rPr>
            </w:pPr>
          </w:p>
        </w:tc>
        <w:tc>
          <w:tcPr>
            <w:tcW w:w="440" w:type="dxa"/>
            <w:vAlign w:val="bottom"/>
            <w:gridSpan w:val="3"/>
          </w:tcPr>
          <w:p>
            <w:pPr>
              <w:jc w:val="center"/>
              <w:ind w:left="131"/>
              <w:spacing w:after="0" w:line="188"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65</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660" w:type="dxa"/>
            <w:vAlign w:val="bottom"/>
            <w:gridSpan w:val="4"/>
            <w:shd w:val="clear" w:color="auto" w:fill="CCEEFF"/>
          </w:tcPr>
          <w:p>
            <w:pPr>
              <w:jc w:val="center"/>
              <w:spacing w:after="0" w:line="188"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72">
              <w:r>
                <w:rPr>
                  <w:rFonts w:ascii="Arial" w:cs="Arial" w:eastAsia="Arial" w:hAnsi="Arial"/>
                  <w:sz w:val="18"/>
                  <w:szCs w:val="18"/>
                  <w:color w:val="0000FF"/>
                  <w:w w:val="92"/>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98"/>
        </w:trPr>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20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GLOSSARY OF OIL AND NATURAL GAS TERMS</w:t>
      </w:r>
    </w:p>
    <w:p>
      <w:pPr>
        <w:spacing w:after="0" w:line="187"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(the “Annual Report” or this “report”):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Basin</w:t>
            </w:r>
          </w:p>
        </w:tc>
        <w:tc>
          <w:tcPr>
            <w:tcW w:w="8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A large depression on the earth’s surface in which sediments accumulate.</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Bbl or barrel</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rPr>
              <w:t>One stock tank barrel, or 42 U.S. gallons liquid volume, used in this report in reference to crude oil or other liquid</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hydrocarbons.</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One barrel of oil.</w:t>
            </w:r>
          </w:p>
        </w:tc>
      </w:tr>
      <w:tr>
        <w:trPr>
          <w:trHeight w:val="214"/>
        </w:trPr>
        <w:tc>
          <w:tcPr>
            <w:tcW w:w="2420" w:type="dxa"/>
            <w:vAlign w:val="bottom"/>
          </w:tcPr>
          <w:p>
            <w:pPr>
              <w:ind w:left="20"/>
              <w:spacing w:after="0"/>
              <w:rPr>
                <w:sz w:val="20"/>
                <w:szCs w:val="20"/>
                <w:color w:val="auto"/>
              </w:rPr>
            </w:pPr>
            <w:r>
              <w:rPr>
                <w:rFonts w:ascii="Arial" w:cs="Arial" w:eastAsia="Arial" w:hAnsi="Arial"/>
                <w:sz w:val="17"/>
                <w:szCs w:val="17"/>
                <w:color w:val="auto"/>
              </w:rPr>
              <w:t>BO/d</w:t>
            </w:r>
          </w:p>
        </w:tc>
        <w:tc>
          <w:tcPr>
            <w:tcW w:w="8800" w:type="dxa"/>
            <w:vAlign w:val="bottom"/>
          </w:tcPr>
          <w:p>
            <w:pPr>
              <w:ind w:left="300"/>
              <w:spacing w:after="0"/>
              <w:rPr>
                <w:sz w:val="20"/>
                <w:szCs w:val="20"/>
                <w:color w:val="auto"/>
              </w:rPr>
            </w:pPr>
            <w:r>
              <w:rPr>
                <w:rFonts w:ascii="Arial" w:cs="Arial" w:eastAsia="Arial" w:hAnsi="Arial"/>
                <w:sz w:val="17"/>
                <w:szCs w:val="17"/>
                <w:color w:val="auto"/>
              </w:rPr>
              <w:t>BO per day.</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One barrel of oil equivalent, with six thousand cubic feet of natural gas being equivalent to one barrel of oil.</w:t>
            </w:r>
          </w:p>
        </w:tc>
      </w:tr>
      <w:tr>
        <w:trPr>
          <w:trHeight w:val="214"/>
        </w:trPr>
        <w:tc>
          <w:tcPr>
            <w:tcW w:w="2420" w:type="dxa"/>
            <w:vAlign w:val="bottom"/>
          </w:tcPr>
          <w:p>
            <w:pPr>
              <w:ind w:left="20"/>
              <w:spacing w:after="0"/>
              <w:rPr>
                <w:sz w:val="20"/>
                <w:szCs w:val="20"/>
                <w:color w:val="auto"/>
              </w:rPr>
            </w:pPr>
            <w:r>
              <w:rPr>
                <w:rFonts w:ascii="Arial" w:cs="Arial" w:eastAsia="Arial" w:hAnsi="Arial"/>
                <w:sz w:val="17"/>
                <w:szCs w:val="17"/>
                <w:color w:val="auto"/>
              </w:rPr>
              <w:t>BOE/d</w:t>
            </w:r>
          </w:p>
        </w:tc>
        <w:tc>
          <w:tcPr>
            <w:tcW w:w="8800" w:type="dxa"/>
            <w:vAlign w:val="bottom"/>
          </w:tcPr>
          <w:p>
            <w:pPr>
              <w:ind w:left="300"/>
              <w:spacing w:after="0"/>
              <w:rPr>
                <w:sz w:val="20"/>
                <w:szCs w:val="20"/>
                <w:color w:val="auto"/>
              </w:rPr>
            </w:pPr>
            <w:r>
              <w:rPr>
                <w:rFonts w:ascii="Arial" w:cs="Arial" w:eastAsia="Arial" w:hAnsi="Arial"/>
                <w:sz w:val="17"/>
                <w:szCs w:val="17"/>
                <w:color w:val="auto"/>
              </w:rPr>
              <w:t>Barrels of oil equivalent per day.</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British Thermal Unit or Btu</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Completion</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3"/>
              </w:rPr>
              <w:t>The process of treating a drilled well followed by the installation of permanent equipment for the production of natural gas</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or oil, or in the case of a dry hole, the reporting of abandonment to the appropriate agency.</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Condensate</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Liquid hydrocarbons associated with the production that is primarily natural gas.</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Deterministic method</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6"/>
              </w:rPr>
              <w:t>The method of estimating reserves or resources under which a single value for each parameter (from the geoscience,</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engineering or economic data) in the reserves calculation is used in the reserves estimation procedure.</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acreage</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Acreage allocated or assignable to productive wells.</w:t>
            </w:r>
          </w:p>
        </w:tc>
      </w:tr>
      <w:tr>
        <w:trPr>
          <w:trHeight w:val="214"/>
        </w:trPr>
        <w:tc>
          <w:tcPr>
            <w:tcW w:w="2420" w:type="dxa"/>
            <w:vAlign w:val="bottom"/>
          </w:tcPr>
          <w:p>
            <w:pPr>
              <w:ind w:left="20"/>
              <w:spacing w:after="0"/>
              <w:rPr>
                <w:sz w:val="20"/>
                <w:szCs w:val="20"/>
                <w:color w:val="auto"/>
              </w:rPr>
            </w:pPr>
            <w:r>
              <w:rPr>
                <w:rFonts w:ascii="Arial" w:cs="Arial" w:eastAsia="Arial" w:hAnsi="Arial"/>
                <w:sz w:val="17"/>
                <w:szCs w:val="17"/>
                <w:color w:val="auto"/>
              </w:rPr>
              <w:t>Development costs</w:t>
            </w:r>
          </w:p>
        </w:tc>
        <w:tc>
          <w:tcPr>
            <w:tcW w:w="8800" w:type="dxa"/>
            <w:vAlign w:val="bottom"/>
          </w:tcPr>
          <w:p>
            <w:pPr>
              <w:ind w:left="300"/>
              <w:spacing w:after="0"/>
              <w:rPr>
                <w:sz w:val="20"/>
                <w:szCs w:val="20"/>
                <w:color w:val="auto"/>
              </w:rPr>
            </w:pPr>
            <w:r>
              <w:rPr>
                <w:rFonts w:ascii="Arial" w:cs="Arial" w:eastAsia="Arial" w:hAnsi="Arial"/>
                <w:sz w:val="17"/>
                <w:szCs w:val="17"/>
                <w:color w:val="auto"/>
              </w:rPr>
              <w:t>Capital costs incurred in the acquisition, exploitation and exploration of proved oil and natural gas reserves.</w:t>
            </w:r>
          </w:p>
        </w:tc>
      </w:tr>
      <w:tr>
        <w:trPr>
          <w:trHeight w:val="161"/>
        </w:trPr>
        <w:tc>
          <w:tcPr>
            <w:tcW w:w="24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Development well</w:t>
            </w:r>
          </w:p>
        </w:tc>
        <w:tc>
          <w:tcPr>
            <w:tcW w:w="8800" w:type="dxa"/>
            <w:vAlign w:val="bottom"/>
            <w:shd w:val="clear" w:color="auto" w:fill="CCEEFF"/>
          </w:tcPr>
          <w:p>
            <w:pPr>
              <w:ind w:left="300"/>
              <w:spacing w:after="0" w:line="161" w:lineRule="exact"/>
              <w:rPr>
                <w:sz w:val="20"/>
                <w:szCs w:val="20"/>
                <w:color w:val="auto"/>
              </w:rPr>
            </w:pPr>
            <w:r>
              <w:rPr>
                <w:rFonts w:ascii="Arial" w:cs="Arial" w:eastAsia="Arial" w:hAnsi="Arial"/>
                <w:sz w:val="17"/>
                <w:szCs w:val="17"/>
                <w:color w:val="auto"/>
                <w:w w:val="95"/>
              </w:rPr>
              <w:t>A well drilled within the proved area of a natural gas or oil reservoir to the depth of a stratigraphic horizon known to be</w:t>
            </w:r>
          </w:p>
        </w:tc>
      </w:tr>
      <w:tr>
        <w:trPr>
          <w:trHeight w:val="214"/>
        </w:trPr>
        <w:tc>
          <w:tcPr>
            <w:tcW w:w="242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productive.</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Differential</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4"/>
              </w:rPr>
              <w:t>An adjustment to the price of oil or natural gas from an established spot market price to reflect differences in the quality</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and/or location of oil or natural gas.</w:t>
            </w:r>
          </w:p>
        </w:tc>
      </w:tr>
      <w:tr>
        <w:trPr>
          <w:trHeight w:val="161"/>
        </w:trPr>
        <w:tc>
          <w:tcPr>
            <w:tcW w:w="24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Dry hole or dry well</w:t>
            </w:r>
          </w:p>
        </w:tc>
        <w:tc>
          <w:tcPr>
            <w:tcW w:w="8800" w:type="dxa"/>
            <w:vAlign w:val="bottom"/>
            <w:shd w:val="clear" w:color="auto" w:fill="CCEEFF"/>
          </w:tcPr>
          <w:p>
            <w:pPr>
              <w:ind w:left="300"/>
              <w:spacing w:after="0" w:line="161" w:lineRule="exact"/>
              <w:rPr>
                <w:sz w:val="20"/>
                <w:szCs w:val="20"/>
                <w:color w:val="auto"/>
              </w:rPr>
            </w:pPr>
            <w:r>
              <w:rPr>
                <w:rFonts w:ascii="Arial" w:cs="Arial" w:eastAsia="Arial" w:hAnsi="Arial"/>
                <w:sz w:val="17"/>
                <w:szCs w:val="17"/>
                <w:color w:val="auto"/>
                <w:w w:val="94"/>
              </w:rPr>
              <w:t>A well found to be incapable of producing hydrocarbons in sufficient quantities such that proceeds from the sale of such</w:t>
            </w:r>
          </w:p>
        </w:tc>
      </w:tr>
      <w:tr>
        <w:trPr>
          <w:trHeight w:val="214"/>
        </w:trPr>
        <w:tc>
          <w:tcPr>
            <w:tcW w:w="242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production exceed production expenses and taxes.</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Exploitation</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1"/>
              </w:rPr>
              <w:t>A development or other project which may target proven or unproven reserves (such as probable or possible reserves), but</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which generally has a lower risk than that associated with exploration projects.</w:t>
            </w:r>
          </w:p>
        </w:tc>
      </w:tr>
      <w:tr>
        <w:trPr>
          <w:trHeight w:val="161"/>
        </w:trPr>
        <w:tc>
          <w:tcPr>
            <w:tcW w:w="24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Field</w:t>
            </w:r>
          </w:p>
        </w:tc>
        <w:tc>
          <w:tcPr>
            <w:tcW w:w="8800" w:type="dxa"/>
            <w:vAlign w:val="bottom"/>
            <w:shd w:val="clear" w:color="auto" w:fill="CCEEFF"/>
          </w:tcPr>
          <w:p>
            <w:pPr>
              <w:ind w:left="300"/>
              <w:spacing w:after="0" w:line="161" w:lineRule="exact"/>
              <w:rPr>
                <w:sz w:val="20"/>
                <w:szCs w:val="20"/>
                <w:color w:val="auto"/>
              </w:rPr>
            </w:pPr>
            <w:r>
              <w:rPr>
                <w:rFonts w:ascii="Arial" w:cs="Arial" w:eastAsia="Arial" w:hAnsi="Arial"/>
                <w:sz w:val="17"/>
                <w:szCs w:val="17"/>
                <w:color w:val="auto"/>
                <w:w w:val="97"/>
              </w:rPr>
              <w:t>An area consisting of either a single reservoir or multiple reservoirs, all grouped on or related to the same individual</w:t>
            </w:r>
          </w:p>
        </w:tc>
      </w:tr>
      <w:tr>
        <w:trPr>
          <w:trHeight w:val="214"/>
        </w:trPr>
        <w:tc>
          <w:tcPr>
            <w:tcW w:w="242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geological structural feature and/or stratigraphic condition.</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Finding and development costs</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6"/>
              </w:rPr>
              <w:t>Capital costs incurred in the acquisition, exploitation and exploration of proved oil and natural gas reserves divided by</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proved reserve additions and revisions to proved reserves.</w:t>
            </w:r>
          </w:p>
        </w:tc>
      </w:tr>
      <w:tr>
        <w:trPr>
          <w:trHeight w:val="161"/>
        </w:trPr>
        <w:tc>
          <w:tcPr>
            <w:tcW w:w="24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Fracturing</w:t>
            </w:r>
          </w:p>
        </w:tc>
        <w:tc>
          <w:tcPr>
            <w:tcW w:w="8800" w:type="dxa"/>
            <w:vAlign w:val="bottom"/>
            <w:shd w:val="clear" w:color="auto" w:fill="CCEEFF"/>
          </w:tcPr>
          <w:p>
            <w:pPr>
              <w:ind w:left="300"/>
              <w:spacing w:after="0" w:line="161" w:lineRule="exact"/>
              <w:rPr>
                <w:sz w:val="20"/>
                <w:szCs w:val="20"/>
                <w:color w:val="auto"/>
              </w:rPr>
            </w:pPr>
            <w:r>
              <w:rPr>
                <w:rFonts w:ascii="Arial" w:cs="Arial" w:eastAsia="Arial" w:hAnsi="Arial"/>
                <w:sz w:val="17"/>
                <w:szCs w:val="17"/>
                <w:color w:val="auto"/>
                <w:w w:val="95"/>
              </w:rPr>
              <w:t>The process of creating and preserving a fracture or system of fractures in a reservoir rock typically by injecting a fluid</w:t>
            </w:r>
          </w:p>
        </w:tc>
      </w:tr>
      <w:tr>
        <w:trPr>
          <w:trHeight w:val="214"/>
        </w:trPr>
        <w:tc>
          <w:tcPr>
            <w:tcW w:w="242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under pressure through a wellbore and into the targeted formation.</w:t>
            </w:r>
          </w:p>
        </w:tc>
      </w:tr>
      <w:tr>
        <w:trPr>
          <w:trHeight w:val="214"/>
        </w:trPr>
        <w:tc>
          <w:tcPr>
            <w:tcW w:w="2420" w:type="dxa"/>
            <w:vAlign w:val="bottom"/>
          </w:tcPr>
          <w:p>
            <w:pPr>
              <w:ind w:left="20"/>
              <w:spacing w:after="0"/>
              <w:rPr>
                <w:sz w:val="20"/>
                <w:szCs w:val="20"/>
                <w:color w:val="auto"/>
              </w:rPr>
            </w:pPr>
            <w:r>
              <w:rPr>
                <w:rFonts w:ascii="Arial" w:cs="Arial" w:eastAsia="Arial" w:hAnsi="Arial"/>
                <w:sz w:val="17"/>
                <w:szCs w:val="17"/>
                <w:color w:val="auto"/>
              </w:rPr>
              <w:t>Gross acres or gross wells</w:t>
            </w:r>
          </w:p>
        </w:tc>
        <w:tc>
          <w:tcPr>
            <w:tcW w:w="8800" w:type="dxa"/>
            <w:vAlign w:val="bottom"/>
          </w:tcPr>
          <w:p>
            <w:pPr>
              <w:ind w:left="30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r>
      <w:tr>
        <w:trPr>
          <w:trHeight w:val="161"/>
        </w:trPr>
        <w:tc>
          <w:tcPr>
            <w:tcW w:w="24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Horizontal drilling</w:t>
            </w:r>
          </w:p>
        </w:tc>
        <w:tc>
          <w:tcPr>
            <w:tcW w:w="880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2"/>
              </w:rPr>
              <w:t>A drilling technique used in certain formations where a well is drilled vertically to a certain depth and then drilled at a right</w:t>
            </w:r>
          </w:p>
        </w:tc>
      </w:tr>
      <w:tr>
        <w:trPr>
          <w:trHeight w:val="214"/>
        </w:trPr>
        <w:tc>
          <w:tcPr>
            <w:tcW w:w="242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angle with a specified interval.</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Horizontal wells</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2"/>
              </w:rPr>
              <w:t>Wells drilled directionally horizontal to allow for development of structures not reachable through traditional vertical drilling</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mechanisms.</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MBbls</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Thousand barrels of crude oil or other liquid hydrocarbons.</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MBOE</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5"/>
              </w:rPr>
              <w:t>One thousand barrels of crude oil equivalent, determined using a ratio of six Mcf of natural gas to one Bbl of crude oil,</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condensate or natural gas liquids.</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Mcf</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One thousand cubic feet of natural gas.</w:t>
            </w: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7"/>
                <w:szCs w:val="17"/>
                <w:color w:val="auto"/>
              </w:rPr>
              <w:t>Mineral interests</w:t>
            </w:r>
          </w:p>
        </w:tc>
        <w:tc>
          <w:tcPr>
            <w:tcW w:w="8800" w:type="dxa"/>
            <w:vAlign w:val="bottom"/>
          </w:tcPr>
          <w:p>
            <w:pPr>
              <w:ind w:left="300"/>
              <w:spacing w:after="0" w:line="161" w:lineRule="exact"/>
              <w:rPr>
                <w:sz w:val="20"/>
                <w:szCs w:val="20"/>
                <w:color w:val="auto"/>
              </w:rPr>
            </w:pPr>
            <w:r>
              <w:rPr>
                <w:rFonts w:ascii="Arial" w:cs="Arial" w:eastAsia="Arial" w:hAnsi="Arial"/>
                <w:sz w:val="17"/>
                <w:szCs w:val="17"/>
                <w:color w:val="auto"/>
                <w:w w:val="99"/>
              </w:rPr>
              <w:t>The interests in ownership of the resource and mineral rights, giving an owner the right to profit from the extracted</w:t>
            </w:r>
          </w:p>
        </w:tc>
      </w:tr>
      <w:tr>
        <w:trPr>
          <w:trHeight w:val="214"/>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resources.</w:t>
            </w:r>
          </w:p>
        </w:tc>
      </w:tr>
      <w:tr>
        <w:trPr>
          <w:trHeight w:val="21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MMBtu</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One million British Thermal Units.</w:t>
            </w:r>
          </w:p>
        </w:tc>
      </w:tr>
      <w:tr>
        <w:trPr>
          <w:trHeight w:val="214"/>
        </w:trPr>
        <w:tc>
          <w:tcPr>
            <w:tcW w:w="2420" w:type="dxa"/>
            <w:vAlign w:val="bottom"/>
          </w:tcPr>
          <w:p>
            <w:pPr>
              <w:ind w:left="20"/>
              <w:spacing w:after="0"/>
              <w:rPr>
                <w:sz w:val="20"/>
                <w:szCs w:val="20"/>
                <w:color w:val="auto"/>
              </w:rPr>
            </w:pPr>
            <w:r>
              <w:rPr>
                <w:rFonts w:ascii="Arial" w:cs="Arial" w:eastAsia="Arial" w:hAnsi="Arial"/>
                <w:sz w:val="17"/>
                <w:szCs w:val="17"/>
                <w:color w:val="auto"/>
              </w:rPr>
              <w:t>MMcf</w:t>
            </w:r>
          </w:p>
        </w:tc>
        <w:tc>
          <w:tcPr>
            <w:tcW w:w="8800" w:type="dxa"/>
            <w:vAlign w:val="bottom"/>
          </w:tcPr>
          <w:p>
            <w:pPr>
              <w:ind w:left="300"/>
              <w:spacing w:after="0"/>
              <w:rPr>
                <w:sz w:val="20"/>
                <w:szCs w:val="20"/>
                <w:color w:val="auto"/>
              </w:rPr>
            </w:pPr>
            <w:r>
              <w:rPr>
                <w:rFonts w:ascii="Arial" w:cs="Arial" w:eastAsia="Arial" w:hAnsi="Arial"/>
                <w:sz w:val="17"/>
                <w:szCs w:val="17"/>
                <w:color w:val="auto"/>
              </w:rPr>
              <w:t>Million cubic feet of natural gas.</w:t>
            </w:r>
          </w:p>
        </w:tc>
      </w:tr>
      <w:tr>
        <w:trPr>
          <w:trHeight w:val="214"/>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royalty acres</w:t>
            </w:r>
          </w:p>
        </w:tc>
        <w:tc>
          <w:tcPr>
            <w:tcW w:w="88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mineral acres multiplied by the average lease royalty interest and other burdens.</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Oil and natural gas properties</w:t>
            </w:r>
          </w:p>
        </w:tc>
        <w:tc>
          <w:tcPr>
            <w:tcW w:w="884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214"/>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Operator</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The individual or company responsible for the exploration and/or production of an oil or natural gas well or lease.</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Play</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2"/>
              </w:rPr>
              <w:t>A set of discovered or prospective oil and/or natural gas accumulations sharing similar geologic, geographic and temporal</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properties, such as source rock, reservoir structure, timing, trapping mechanism and hydrocarbon type.</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Plugging and abandonment</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3"/>
              </w:rPr>
              <w:t>Refers to the sealing off of fluids in the strata penetrated by a well so that the fluids from one stratum will not escape into</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another or to the surface. Regulations of all states require plugging of abandoned wells.</w:t>
            </w:r>
          </w:p>
        </w:tc>
      </w:tr>
      <w:tr>
        <w:trPr>
          <w:trHeight w:val="214"/>
        </w:trPr>
        <w:tc>
          <w:tcPr>
            <w:tcW w:w="2380" w:type="dxa"/>
            <w:vAlign w:val="bottom"/>
          </w:tcPr>
          <w:p>
            <w:pPr>
              <w:ind w:left="20"/>
              <w:spacing w:after="0"/>
              <w:rPr>
                <w:sz w:val="20"/>
                <w:szCs w:val="20"/>
                <w:color w:val="auto"/>
              </w:rPr>
            </w:pPr>
            <w:r>
              <w:rPr>
                <w:rFonts w:ascii="Arial" w:cs="Arial" w:eastAsia="Arial" w:hAnsi="Arial"/>
                <w:sz w:val="17"/>
                <w:szCs w:val="17"/>
                <w:color w:val="auto"/>
              </w:rPr>
              <w:t>PUD</w:t>
            </w:r>
          </w:p>
        </w:tc>
        <w:tc>
          <w:tcPr>
            <w:tcW w:w="8840" w:type="dxa"/>
            <w:vAlign w:val="bottom"/>
          </w:tcPr>
          <w:p>
            <w:pPr>
              <w:ind w:left="340"/>
              <w:spacing w:after="0"/>
              <w:rPr>
                <w:sz w:val="20"/>
                <w:szCs w:val="20"/>
                <w:color w:val="auto"/>
              </w:rPr>
            </w:pPr>
            <w:r>
              <w:rPr>
                <w:rFonts w:ascii="Arial" w:cs="Arial" w:eastAsia="Arial" w:hAnsi="Arial"/>
                <w:sz w:val="17"/>
                <w:szCs w:val="17"/>
                <w:color w:val="auto"/>
              </w:rPr>
              <w:t>Proved undeveloped.</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Productive well</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2"/>
              </w:rPr>
              <w:t>A well that is found to be capable of producing hydrocarbons in sufficient quantities such that proceeds from the sale of the</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production exceed production expenses and taxes.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Prospect</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1"/>
              </w:rPr>
              <w:t>A specific geographic area which, based on supporting geological, geophysical or other data and also preliminary economic</w:t>
            </w:r>
          </w:p>
        </w:tc>
      </w:tr>
      <w:tr>
        <w:trPr>
          <w:trHeight w:val="161"/>
        </w:trPr>
        <w:tc>
          <w:tcPr>
            <w:tcW w:w="2380" w:type="dxa"/>
            <w:vAlign w:val="bottom"/>
          </w:tcPr>
          <w:p>
            <w:pPr>
              <w:spacing w:after="0"/>
              <w:rPr>
                <w:sz w:val="13"/>
                <w:szCs w:val="13"/>
                <w:color w:val="auto"/>
              </w:rPr>
            </w:pP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7"/>
              </w:rPr>
              <w:t>analysis using reasonably anticipated prices and costs, is deemed to have potential for the discovery of commercial</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hydrocarbons.</w:t>
            </w:r>
          </w:p>
        </w:tc>
      </w:tr>
      <w:tr>
        <w:trPr>
          <w:trHeight w:val="214"/>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Proved developed reserves</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Reserves that can be expected to be recovered through existing wells with existing equipment and operating methods.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Proved reserves</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1"/>
              </w:rPr>
              <w:t>The estimated quantities of oil, natural gas and natural gas liquids which geological and engineering data demonstrate with</w:t>
            </w:r>
          </w:p>
        </w:tc>
      </w:tr>
      <w:tr>
        <w:trPr>
          <w:trHeight w:val="161"/>
        </w:trPr>
        <w:tc>
          <w:tcPr>
            <w:tcW w:w="2380" w:type="dxa"/>
            <w:vAlign w:val="bottom"/>
          </w:tcPr>
          <w:p>
            <w:pPr>
              <w:spacing w:after="0"/>
              <w:rPr>
                <w:sz w:val="13"/>
                <w:szCs w:val="13"/>
                <w:color w:val="auto"/>
              </w:rPr>
            </w:pP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4"/>
              </w:rPr>
              <w:t>reasonable certainty to be commercially recoverable in future years from known reservoirs under existing economic and</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operating conditions.</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Proved undeveloped reserves</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5"/>
              </w:rPr>
              <w:t>Proved reserves that are expected to be recovered from new wells on undrilled acreage or from existing wells where a</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relatively major expenditure is required for recompletion.</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Recompletion</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3"/>
              </w:rPr>
              <w:t>The process of re-entering an existing wellbore that is either producing or not producing and completing new reservoirs in</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an attempt to establish or increase existing production.</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Reserves</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2"/>
              </w:rPr>
              <w:t>Reserves are estimated remaining quantities of oil and natural gas and related substances anticipated to be economically</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1"/>
              </w:rPr>
              <w:t>producible, as of a given date, by application of development projects to known accumulations. In addition, there must exist,</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7"/>
              </w:rPr>
              <w:t>or there must be a reasonable expectation that there will exist, the legal right to produce or a revenue interest in the</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0"/>
              </w:rPr>
              <w:t>production, installed means of delivering oil and natural gas or related substances to the market and all permits and financing</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4"/>
              </w:rPr>
              <w:t>required to implement the project. Reserves should not be assigned to adjacent reservoirs isolated by major, potentially</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5"/>
              </w:rPr>
              <w:t>sealing, faults until those reservoirs are penetrated and evaluated as economically producible. Reserves should not be</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4"/>
              </w:rPr>
              <w:t>assigned to areas that are clearly separated from a known accumulation by a non-productive reservoir (i.e., absence of</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1"/>
              </w:rPr>
              <w:t>reservoir, structurally low reservoir or negative test results). Such areas may contain prospective resources (i.e., potentially</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recoverable resources from undiscovered accumulations).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Reservoir</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0"/>
              </w:rPr>
              <w:t>A porous and permeable underground formation containing a natural accumulation of producible natural gas and/or crude oil</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that is confined by impermeable rock or water barriers and is separate from other reservoirs.</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Resource play</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2"/>
              </w:rPr>
              <w:t>A set of discovered or prospective oil and/or natural gas accumulations sharing similar geologic, geographic and temporal</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properties, such as source rock, reservoir structure, timing, trapping mechanism and hydrocarbon type.</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Royalty interest</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2"/>
              </w:rPr>
              <w:t>An interest that gives an owner the right to receive a portion of the resources or revenues without having to carry any costs</w:t>
            </w:r>
          </w:p>
        </w:tc>
      </w:tr>
      <w:tr>
        <w:trPr>
          <w:trHeight w:val="214"/>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of development, which may be subject to expiration.</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Spacing</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1"/>
              </w:rPr>
              <w:t>The distance between wells producing from the same reservoir. Spacing is often expressed in terms of acres (e.g., 40-acre</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spacing) and is often established by regulatory agencies.</w:t>
            </w:r>
          </w:p>
        </w:tc>
      </w:tr>
      <w:tr>
        <w:trPr>
          <w:trHeight w:val="214"/>
        </w:trPr>
        <w:tc>
          <w:tcPr>
            <w:tcW w:w="2380" w:type="dxa"/>
            <w:vAlign w:val="bottom"/>
          </w:tcPr>
          <w:p>
            <w:pPr>
              <w:ind w:left="20"/>
              <w:spacing w:after="0"/>
              <w:rPr>
                <w:sz w:val="20"/>
                <w:szCs w:val="20"/>
                <w:color w:val="auto"/>
              </w:rPr>
            </w:pPr>
            <w:r>
              <w:rPr>
                <w:rFonts w:ascii="Arial" w:cs="Arial" w:eastAsia="Arial" w:hAnsi="Arial"/>
                <w:sz w:val="17"/>
                <w:szCs w:val="17"/>
                <w:color w:val="auto"/>
              </w:rPr>
              <w:t>Spud</w:t>
            </w:r>
          </w:p>
        </w:tc>
        <w:tc>
          <w:tcPr>
            <w:tcW w:w="8840" w:type="dxa"/>
            <w:vAlign w:val="bottom"/>
          </w:tcPr>
          <w:p>
            <w:pPr>
              <w:ind w:left="340"/>
              <w:spacing w:after="0"/>
              <w:rPr>
                <w:sz w:val="20"/>
                <w:szCs w:val="20"/>
                <w:color w:val="auto"/>
              </w:rPr>
            </w:pPr>
            <w:r>
              <w:rPr>
                <w:rFonts w:ascii="Arial" w:cs="Arial" w:eastAsia="Arial" w:hAnsi="Arial"/>
                <w:sz w:val="17"/>
                <w:szCs w:val="17"/>
                <w:color w:val="auto"/>
              </w:rPr>
              <w:t>Commencement of actual drilling operations.</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Standardized measure</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3"/>
              </w:rPr>
              <w:t>The present value of estimated future net revenue to be generated from the production of proved reserves, determined in</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4"/>
              </w:rPr>
              <w:t>accordance with the rules and regulations of the SEC (using prices and costs in effect as of the date of estimation), less</w:t>
            </w:r>
          </w:p>
        </w:tc>
      </w:tr>
      <w:tr>
        <w:trPr>
          <w:trHeight w:val="161"/>
        </w:trPr>
        <w:tc>
          <w:tcPr>
            <w:tcW w:w="2380" w:type="dxa"/>
            <w:vAlign w:val="bottom"/>
            <w:shd w:val="clear" w:color="auto" w:fill="CCEEFF"/>
          </w:tcPr>
          <w:p>
            <w:pPr>
              <w:spacing w:after="0"/>
              <w:rPr>
                <w:sz w:val="13"/>
                <w:szCs w:val="13"/>
                <w:color w:val="auto"/>
              </w:rPr>
            </w:pP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2"/>
              </w:rPr>
              <w:t>future development, production and income tax expenses, and discounted at 10% per annum to reflect the timing of future</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w:t>
            </w:r>
          </w:p>
        </w:tc>
      </w:tr>
      <w:tr>
        <w:trPr>
          <w:trHeight w:val="214"/>
        </w:trPr>
        <w:tc>
          <w:tcPr>
            <w:tcW w:w="2380" w:type="dxa"/>
            <w:vAlign w:val="bottom"/>
          </w:tcPr>
          <w:p>
            <w:pPr>
              <w:ind w:left="20"/>
              <w:spacing w:after="0"/>
              <w:rPr>
                <w:sz w:val="20"/>
                <w:szCs w:val="20"/>
                <w:color w:val="auto"/>
              </w:rPr>
            </w:pPr>
            <w:r>
              <w:rPr>
                <w:rFonts w:ascii="Arial" w:cs="Arial" w:eastAsia="Arial" w:hAnsi="Arial"/>
                <w:sz w:val="17"/>
                <w:szCs w:val="17"/>
                <w:color w:val="auto"/>
              </w:rPr>
              <w:t>Tight formation</w:t>
            </w:r>
          </w:p>
        </w:tc>
        <w:tc>
          <w:tcPr>
            <w:tcW w:w="8840" w:type="dxa"/>
            <w:vAlign w:val="bottom"/>
          </w:tcPr>
          <w:p>
            <w:pPr>
              <w:ind w:left="340"/>
              <w:spacing w:after="0"/>
              <w:rPr>
                <w:sz w:val="20"/>
                <w:szCs w:val="20"/>
                <w:color w:val="auto"/>
              </w:rPr>
            </w:pPr>
            <w:r>
              <w:rPr>
                <w:rFonts w:ascii="Arial" w:cs="Arial" w:eastAsia="Arial" w:hAnsi="Arial"/>
                <w:sz w:val="17"/>
                <w:szCs w:val="17"/>
                <w:color w:val="auto"/>
              </w:rPr>
              <w:t>A formation with low permeability that produces natural gas with very low flow rates for long periods of time.</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Undeveloped acreage</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3"/>
              </w:rPr>
              <w:t>Lease acreage on which wells have not been drilled or completed to a point that would permit the production of economic</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quantities of oil and natural gas regardless of whether such acreage contains proved reserves.</w:t>
            </w:r>
          </w:p>
        </w:tc>
      </w:tr>
      <w:tr>
        <w:trPr>
          <w:trHeight w:val="214"/>
        </w:trPr>
        <w:tc>
          <w:tcPr>
            <w:tcW w:w="2380" w:type="dxa"/>
            <w:vAlign w:val="bottom"/>
          </w:tcPr>
          <w:p>
            <w:pPr>
              <w:ind w:left="20"/>
              <w:spacing w:after="0"/>
              <w:rPr>
                <w:sz w:val="20"/>
                <w:szCs w:val="20"/>
                <w:color w:val="auto"/>
              </w:rPr>
            </w:pPr>
            <w:r>
              <w:rPr>
                <w:rFonts w:ascii="Arial" w:cs="Arial" w:eastAsia="Arial" w:hAnsi="Arial"/>
                <w:sz w:val="17"/>
                <w:szCs w:val="17"/>
                <w:color w:val="auto"/>
              </w:rPr>
              <w:t>Wellbore</w:t>
            </w:r>
          </w:p>
        </w:tc>
        <w:tc>
          <w:tcPr>
            <w:tcW w:w="8840" w:type="dxa"/>
            <w:vAlign w:val="bottom"/>
          </w:tcPr>
          <w:p>
            <w:pPr>
              <w:ind w:left="340"/>
              <w:spacing w:after="0"/>
              <w:rPr>
                <w:sz w:val="20"/>
                <w:szCs w:val="20"/>
                <w:color w:val="auto"/>
              </w:rPr>
            </w:pPr>
            <w:r>
              <w:rPr>
                <w:rFonts w:ascii="Arial" w:cs="Arial" w:eastAsia="Arial" w:hAnsi="Arial"/>
                <w:sz w:val="17"/>
                <w:szCs w:val="17"/>
                <w:color w:val="auto"/>
              </w:rPr>
              <w:t>The hole drilled by the bit that is equipped for oil or natural gas production on a completed well.</w:t>
            </w:r>
          </w:p>
        </w:tc>
      </w:tr>
      <w:tr>
        <w:trPr>
          <w:trHeight w:val="161"/>
        </w:trPr>
        <w:tc>
          <w:tcPr>
            <w:tcW w:w="238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Working interest</w:t>
            </w:r>
          </w:p>
        </w:tc>
        <w:tc>
          <w:tcPr>
            <w:tcW w:w="8840" w:type="dxa"/>
            <w:vAlign w:val="bottom"/>
            <w:shd w:val="clear" w:color="auto" w:fill="CCEEFF"/>
          </w:tcPr>
          <w:p>
            <w:pPr>
              <w:ind w:left="340"/>
              <w:spacing w:after="0" w:line="161" w:lineRule="exact"/>
              <w:rPr>
                <w:sz w:val="20"/>
                <w:szCs w:val="20"/>
                <w:color w:val="auto"/>
              </w:rPr>
            </w:pPr>
            <w:r>
              <w:rPr>
                <w:rFonts w:ascii="Arial" w:cs="Arial" w:eastAsia="Arial" w:hAnsi="Arial"/>
                <w:sz w:val="17"/>
                <w:szCs w:val="17"/>
                <w:color w:val="auto"/>
                <w:w w:val="94"/>
              </w:rPr>
              <w:t>An operating interest that gives the owner the right to drill, produce and conduct operating activities on the property and</w:t>
            </w:r>
          </w:p>
        </w:tc>
      </w:tr>
      <w:tr>
        <w:trPr>
          <w:trHeight w:val="214"/>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receive a share of production and requires the owner to pay a share of the costs of drilling and production operations.</w:t>
            </w:r>
          </w:p>
        </w:tc>
      </w:tr>
      <w:tr>
        <w:trPr>
          <w:trHeight w:val="214"/>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w:t>
            </w:r>
          </w:p>
        </w:tc>
        <w:tc>
          <w:tcPr>
            <w:tcW w:w="88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20" w:type="dxa"/>
            <w:vAlign w:val="bottom"/>
          </w:tcPr>
          <w:p>
            <w:pPr>
              <w:spacing w:after="0"/>
              <w:rPr>
                <w:sz w:val="20"/>
                <w:szCs w:val="20"/>
                <w:color w:val="auto"/>
              </w:rPr>
            </w:pPr>
          </w:p>
        </w:tc>
        <w:tc>
          <w:tcPr>
            <w:tcW w:w="9000" w:type="dxa"/>
            <w:vAlign w:val="bottom"/>
          </w:tcPr>
          <w:p>
            <w:pPr>
              <w:ind w:left="16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5"/>
        </w:trPr>
        <w:tc>
          <w:tcPr>
            <w:tcW w:w="11220" w:type="dxa"/>
            <w:vAlign w:val="bottom"/>
            <w:gridSpan w:val="2"/>
          </w:tcPr>
          <w:p>
            <w:pPr>
              <w:ind w:left="64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22"/>
        </w:trPr>
        <w:tc>
          <w:tcPr>
            <w:tcW w:w="222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Accounting Standards Update.</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Delaware Act</w:t>
            </w:r>
          </w:p>
        </w:tc>
        <w:tc>
          <w:tcPr>
            <w:tcW w:w="9000" w:type="dxa"/>
            <w:vAlign w:val="bottom"/>
          </w:tcPr>
          <w:p>
            <w:pPr>
              <w:ind w:left="500"/>
              <w:spacing w:after="0"/>
              <w:rPr>
                <w:sz w:val="20"/>
                <w:szCs w:val="20"/>
                <w:color w:val="auto"/>
              </w:rPr>
            </w:pPr>
            <w:r>
              <w:rPr>
                <w:rFonts w:ascii="Arial" w:cs="Arial" w:eastAsia="Arial" w:hAnsi="Arial"/>
                <w:sz w:val="17"/>
                <w:szCs w:val="17"/>
                <w:color w:val="auto"/>
              </w:rPr>
              <w:t>Delaware Revised Uniform Limited Partnership Act.</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Diamondback</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Diamondback Energy, Inc., a Delaware corporation.</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Diamondback E&amp;P LLC</w:t>
            </w:r>
          </w:p>
        </w:tc>
        <w:tc>
          <w:tcPr>
            <w:tcW w:w="9000" w:type="dxa"/>
            <w:vAlign w:val="bottom"/>
          </w:tcPr>
          <w:p>
            <w:pPr>
              <w:ind w:left="500"/>
              <w:spacing w:after="0"/>
              <w:rPr>
                <w:sz w:val="20"/>
                <w:szCs w:val="20"/>
                <w:color w:val="auto"/>
              </w:rPr>
            </w:pPr>
            <w:r>
              <w:rPr>
                <w:rFonts w:ascii="Arial" w:cs="Arial" w:eastAsia="Arial" w:hAnsi="Arial"/>
                <w:sz w:val="17"/>
                <w:szCs w:val="17"/>
                <w:color w:val="auto"/>
              </w:rPr>
              <w:t>A subsidiary of Diamondback.</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EPA</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U.S. Environmental Protection Agency.</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9000" w:type="dxa"/>
            <w:vAlign w:val="bottom"/>
          </w:tcPr>
          <w:p>
            <w:pPr>
              <w:ind w:left="500"/>
              <w:spacing w:after="0"/>
              <w:rPr>
                <w:sz w:val="20"/>
                <w:szCs w:val="20"/>
                <w:color w:val="auto"/>
              </w:rPr>
            </w:pPr>
            <w:r>
              <w:rPr>
                <w:rFonts w:ascii="Arial" w:cs="Arial" w:eastAsia="Arial" w:hAnsi="Arial"/>
                <w:sz w:val="17"/>
                <w:szCs w:val="17"/>
                <w:color w:val="auto"/>
              </w:rPr>
              <w:t>The Securities Exchange Act of 1934, as amended.</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FERC</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Federal Energy Regulatory Commission.</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GAAP</w:t>
            </w:r>
          </w:p>
        </w:tc>
        <w:tc>
          <w:tcPr>
            <w:tcW w:w="9000" w:type="dxa"/>
            <w:vAlign w:val="bottom"/>
          </w:tcPr>
          <w:p>
            <w:pPr>
              <w:ind w:left="50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161"/>
        </w:trPr>
        <w:tc>
          <w:tcPr>
            <w:tcW w:w="22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General Partner</w:t>
            </w:r>
          </w:p>
        </w:tc>
        <w:tc>
          <w:tcPr>
            <w:tcW w:w="9000" w:type="dxa"/>
            <w:vAlign w:val="bottom"/>
            <w:shd w:val="clear" w:color="auto" w:fill="CCEEFF"/>
          </w:tcPr>
          <w:p>
            <w:pPr>
              <w:ind w:left="500"/>
              <w:spacing w:after="0" w:line="161" w:lineRule="exact"/>
              <w:rPr>
                <w:sz w:val="20"/>
                <w:szCs w:val="20"/>
                <w:color w:val="auto"/>
              </w:rPr>
            </w:pPr>
            <w:r>
              <w:rPr>
                <w:rFonts w:ascii="Arial" w:cs="Arial" w:eastAsia="Arial" w:hAnsi="Arial"/>
                <w:sz w:val="17"/>
                <w:szCs w:val="17"/>
                <w:color w:val="auto"/>
                <w:w w:val="93"/>
              </w:rPr>
              <w:t>Viper Energy Partners GP LLC, a Delaware limited liability company; the general partner of the Partnership and a wholly-</w:t>
            </w:r>
          </w:p>
        </w:tc>
      </w:tr>
      <w:tr>
        <w:trPr>
          <w:trHeight w:val="214"/>
        </w:trPr>
        <w:tc>
          <w:tcPr>
            <w:tcW w:w="2220" w:type="dxa"/>
            <w:vAlign w:val="bottom"/>
            <w:shd w:val="clear" w:color="auto" w:fill="CCEEFF"/>
          </w:tcPr>
          <w:p>
            <w:pPr>
              <w:spacing w:after="0"/>
              <w:rPr>
                <w:sz w:val="18"/>
                <w:szCs w:val="18"/>
                <w:color w:val="auto"/>
              </w:rPr>
            </w:pP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owned subsidiary of Diamondback.</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IPO</w:t>
            </w:r>
          </w:p>
        </w:tc>
        <w:tc>
          <w:tcPr>
            <w:tcW w:w="9000" w:type="dxa"/>
            <w:vAlign w:val="bottom"/>
          </w:tcPr>
          <w:p>
            <w:pPr>
              <w:ind w:left="500"/>
              <w:spacing w:after="0"/>
              <w:rPr>
                <w:sz w:val="20"/>
                <w:szCs w:val="20"/>
                <w:color w:val="auto"/>
              </w:rPr>
            </w:pPr>
            <w:r>
              <w:rPr>
                <w:rFonts w:ascii="Arial" w:cs="Arial" w:eastAsia="Arial" w:hAnsi="Arial"/>
                <w:sz w:val="17"/>
                <w:szCs w:val="17"/>
                <w:color w:val="auto"/>
              </w:rPr>
              <w:t>The partnership’s initial public offering of common units.</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LIBOR</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London interbank offered rate.</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LTIP</w:t>
            </w:r>
          </w:p>
        </w:tc>
        <w:tc>
          <w:tcPr>
            <w:tcW w:w="9000" w:type="dxa"/>
            <w:vAlign w:val="bottom"/>
          </w:tcPr>
          <w:p>
            <w:pPr>
              <w:ind w:left="500"/>
              <w:spacing w:after="0"/>
              <w:rPr>
                <w:sz w:val="20"/>
                <w:szCs w:val="20"/>
                <w:color w:val="auto"/>
              </w:rPr>
            </w:pPr>
            <w:r>
              <w:rPr>
                <w:rFonts w:ascii="Arial" w:cs="Arial" w:eastAsia="Arial" w:hAnsi="Arial"/>
                <w:sz w:val="17"/>
                <w:szCs w:val="17"/>
                <w:color w:val="auto"/>
              </w:rPr>
              <w:t>Viper Energy Partners LP Long Term Incentive Plan.</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OPEC</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Organization of the Petroleum Exporting Countries.</w:t>
            </w:r>
          </w:p>
        </w:tc>
      </w:tr>
      <w:tr>
        <w:trPr>
          <w:trHeight w:val="161"/>
        </w:trPr>
        <w:tc>
          <w:tcPr>
            <w:tcW w:w="2220" w:type="dxa"/>
            <w:vAlign w:val="bottom"/>
          </w:tcPr>
          <w:p>
            <w:pPr>
              <w:ind w:left="20"/>
              <w:spacing w:after="0" w:line="161" w:lineRule="exact"/>
              <w:rPr>
                <w:sz w:val="20"/>
                <w:szCs w:val="20"/>
                <w:color w:val="auto"/>
              </w:rPr>
            </w:pPr>
            <w:r>
              <w:rPr>
                <w:rFonts w:ascii="Arial" w:cs="Arial" w:eastAsia="Arial" w:hAnsi="Arial"/>
                <w:sz w:val="17"/>
                <w:szCs w:val="17"/>
                <w:color w:val="auto"/>
              </w:rPr>
              <w:t>Operating Company</w:t>
            </w:r>
          </w:p>
        </w:tc>
        <w:tc>
          <w:tcPr>
            <w:tcW w:w="9000" w:type="dxa"/>
            <w:vAlign w:val="bottom"/>
          </w:tcPr>
          <w:p>
            <w:pPr>
              <w:ind w:left="500"/>
              <w:spacing w:after="0" w:line="161" w:lineRule="exact"/>
              <w:rPr>
                <w:sz w:val="20"/>
                <w:szCs w:val="20"/>
                <w:color w:val="auto"/>
              </w:rPr>
            </w:pPr>
            <w:r>
              <w:rPr>
                <w:rFonts w:ascii="Arial" w:cs="Arial" w:eastAsia="Arial" w:hAnsi="Arial"/>
                <w:sz w:val="17"/>
                <w:szCs w:val="17"/>
                <w:color w:val="auto"/>
                <w:w w:val="94"/>
              </w:rPr>
              <w:t>Viper Energy Partners LLC, a Delaware limited liability company and a consolidated subsidiary of Viper Energy Partners</w:t>
            </w:r>
          </w:p>
        </w:tc>
      </w:tr>
      <w:tr>
        <w:trPr>
          <w:trHeight w:val="214"/>
        </w:trPr>
        <w:tc>
          <w:tcPr>
            <w:tcW w:w="2220" w:type="dxa"/>
            <w:vAlign w:val="bottom"/>
          </w:tcPr>
          <w:p>
            <w:pPr>
              <w:spacing w:after="0"/>
              <w:rPr>
                <w:sz w:val="18"/>
                <w:szCs w:val="18"/>
                <w:color w:val="auto"/>
              </w:rPr>
            </w:pPr>
          </w:p>
        </w:tc>
        <w:tc>
          <w:tcPr>
            <w:tcW w:w="9000" w:type="dxa"/>
            <w:vAlign w:val="bottom"/>
          </w:tcPr>
          <w:p>
            <w:pPr>
              <w:ind w:left="500"/>
              <w:spacing w:after="0"/>
              <w:rPr>
                <w:sz w:val="20"/>
                <w:szCs w:val="20"/>
                <w:color w:val="auto"/>
              </w:rPr>
            </w:pPr>
            <w:r>
              <w:rPr>
                <w:rFonts w:ascii="Arial" w:cs="Arial" w:eastAsia="Arial" w:hAnsi="Arial"/>
                <w:sz w:val="17"/>
                <w:szCs w:val="17"/>
                <w:color w:val="auto"/>
              </w:rPr>
              <w:t>LP.</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Partnership</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Viper Energy Partners LP, a Delaware limited partnership.</w:t>
            </w:r>
          </w:p>
        </w:tc>
      </w:tr>
      <w:tr>
        <w:trPr>
          <w:trHeight w:val="161"/>
        </w:trPr>
        <w:tc>
          <w:tcPr>
            <w:tcW w:w="2220" w:type="dxa"/>
            <w:vAlign w:val="bottom"/>
          </w:tcPr>
          <w:p>
            <w:pPr>
              <w:ind w:left="20"/>
              <w:spacing w:after="0" w:line="161" w:lineRule="exact"/>
              <w:rPr>
                <w:sz w:val="20"/>
                <w:szCs w:val="20"/>
                <w:color w:val="auto"/>
              </w:rPr>
            </w:pPr>
            <w:r>
              <w:rPr>
                <w:rFonts w:ascii="Arial" w:cs="Arial" w:eastAsia="Arial" w:hAnsi="Arial"/>
                <w:sz w:val="17"/>
                <w:szCs w:val="17"/>
                <w:color w:val="auto"/>
              </w:rPr>
              <w:t>Partnership agreement</w:t>
            </w:r>
          </w:p>
        </w:tc>
        <w:tc>
          <w:tcPr>
            <w:tcW w:w="9000" w:type="dxa"/>
            <w:vAlign w:val="bottom"/>
          </w:tcPr>
          <w:p>
            <w:pPr>
              <w:ind w:left="500"/>
              <w:spacing w:after="0" w:line="161" w:lineRule="exact"/>
              <w:rPr>
                <w:sz w:val="20"/>
                <w:szCs w:val="20"/>
                <w:color w:val="auto"/>
              </w:rPr>
            </w:pPr>
            <w:r>
              <w:rPr>
                <w:rFonts w:ascii="Arial" w:cs="Arial" w:eastAsia="Arial" w:hAnsi="Arial"/>
                <w:sz w:val="17"/>
                <w:szCs w:val="17"/>
                <w:color w:val="auto"/>
                <w:w w:val="92"/>
              </w:rPr>
              <w:t>The second amended and restated agreement of limited partnership, dated as of May 9, 2018, as amended as of May 10,</w:t>
            </w:r>
          </w:p>
        </w:tc>
      </w:tr>
      <w:tr>
        <w:trPr>
          <w:trHeight w:val="214"/>
        </w:trPr>
        <w:tc>
          <w:tcPr>
            <w:tcW w:w="2220" w:type="dxa"/>
            <w:vAlign w:val="bottom"/>
          </w:tcPr>
          <w:p>
            <w:pPr>
              <w:spacing w:after="0"/>
              <w:rPr>
                <w:sz w:val="18"/>
                <w:szCs w:val="18"/>
                <w:color w:val="auto"/>
              </w:rPr>
            </w:pPr>
          </w:p>
        </w:tc>
        <w:tc>
          <w:tcPr>
            <w:tcW w:w="9000" w:type="dxa"/>
            <w:vAlign w:val="bottom"/>
          </w:tcPr>
          <w:p>
            <w:pPr>
              <w:ind w:left="500"/>
              <w:spacing w:after="0"/>
              <w:rPr>
                <w:sz w:val="20"/>
                <w:szCs w:val="20"/>
                <w:color w:val="auto"/>
              </w:rPr>
            </w:pPr>
            <w:r>
              <w:rPr>
                <w:rFonts w:ascii="Arial" w:cs="Arial" w:eastAsia="Arial" w:hAnsi="Arial"/>
                <w:sz w:val="17"/>
                <w:szCs w:val="17"/>
                <w:color w:val="auto"/>
              </w:rPr>
              <w:t>2018.</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Ryder Scott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Ryder Scott Company, L.P.</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SEC</w:t>
            </w:r>
          </w:p>
        </w:tc>
        <w:tc>
          <w:tcPr>
            <w:tcW w:w="9000" w:type="dxa"/>
            <w:vAlign w:val="bottom"/>
          </w:tcPr>
          <w:p>
            <w:pPr>
              <w:ind w:left="500"/>
              <w:spacing w:after="0"/>
              <w:rPr>
                <w:sz w:val="20"/>
                <w:szCs w:val="20"/>
                <w:color w:val="auto"/>
              </w:rPr>
            </w:pPr>
            <w:r>
              <w:rPr>
                <w:rFonts w:ascii="Arial" w:cs="Arial" w:eastAsia="Arial" w:hAnsi="Arial"/>
                <w:sz w:val="17"/>
                <w:szCs w:val="17"/>
                <w:color w:val="auto"/>
              </w:rPr>
              <w:t>Securities and Exchange Commission.</w:t>
            </w:r>
          </w:p>
        </w:tc>
      </w:tr>
      <w:tr>
        <w:trPr>
          <w:trHeight w:val="21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 Act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Securities Act of 1933, as amended.</w:t>
            </w:r>
          </w:p>
        </w:tc>
      </w:tr>
      <w:tr>
        <w:trPr>
          <w:trHeight w:val="214"/>
        </w:trPr>
        <w:tc>
          <w:tcPr>
            <w:tcW w:w="2220" w:type="dxa"/>
            <w:vAlign w:val="bottom"/>
          </w:tcPr>
          <w:p>
            <w:pPr>
              <w:ind w:left="20"/>
              <w:spacing w:after="0"/>
              <w:rPr>
                <w:sz w:val="20"/>
                <w:szCs w:val="20"/>
                <w:color w:val="auto"/>
              </w:rPr>
            </w:pPr>
            <w:r>
              <w:rPr>
                <w:rFonts w:ascii="Arial" w:cs="Arial" w:eastAsia="Arial" w:hAnsi="Arial"/>
                <w:sz w:val="17"/>
                <w:szCs w:val="17"/>
                <w:color w:val="auto"/>
              </w:rPr>
              <w:t>The Notes</w:t>
            </w:r>
          </w:p>
        </w:tc>
        <w:tc>
          <w:tcPr>
            <w:tcW w:w="9000" w:type="dxa"/>
            <w:vAlign w:val="bottom"/>
          </w:tcPr>
          <w:p>
            <w:pPr>
              <w:ind w:left="500"/>
              <w:spacing w:after="0"/>
              <w:rPr>
                <w:sz w:val="20"/>
                <w:szCs w:val="20"/>
                <w:color w:val="auto"/>
              </w:rPr>
            </w:pPr>
            <w:r>
              <w:rPr>
                <w:rFonts w:ascii="Arial" w:cs="Arial" w:eastAsia="Arial" w:hAnsi="Arial"/>
                <w:sz w:val="17"/>
                <w:szCs w:val="17"/>
                <w:color w:val="auto"/>
              </w:rPr>
              <w:t>The 5.375% Senior Notes due 2027 issued on October 16, 2019.</w:t>
            </w:r>
          </w:p>
        </w:tc>
      </w:tr>
      <w:tr>
        <w:trPr>
          <w:trHeight w:val="214"/>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Wells Fargo</w:t>
            </w:r>
          </w:p>
        </w:tc>
        <w:tc>
          <w:tcPr>
            <w:tcW w:w="9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CAUTIONARY STATEMENT REGARDING FORWARD-LOOKING STATEMENTS</w:t>
      </w:r>
    </w:p>
    <w:p>
      <w:pPr>
        <w:spacing w:after="0" w:line="240"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common unit repurchase program)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75" w:lineRule="exact"/>
        <w:rPr>
          <w:sz w:val="20"/>
          <w:szCs w:val="20"/>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8"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8"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8"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w:t>
      </w:r>
    </w:p>
    <w:p>
      <w:pPr>
        <w:spacing w:after="0" w:line="68"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8" w:lineRule="exact"/>
        <w:rPr>
          <w:rFonts w:ascii="Arial" w:cs="Arial" w:eastAsia="Arial" w:hAnsi="Arial"/>
          <w:sz w:val="18"/>
          <w:szCs w:val="18"/>
          <w:color w:val="auto"/>
        </w:rPr>
      </w:pPr>
    </w:p>
    <w:p>
      <w:pPr>
        <w:ind w:left="1220" w:right="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8" w:lineRule="exact"/>
        <w:rPr>
          <w:rFonts w:ascii="Arial" w:cs="Arial" w:eastAsia="Arial" w:hAnsi="Arial"/>
          <w:sz w:val="18"/>
          <w:szCs w:val="18"/>
          <w:color w:val="auto"/>
        </w:rPr>
      </w:pPr>
    </w:p>
    <w:p>
      <w:pPr>
        <w:ind w:left="1220" w:hanging="329"/>
        <w:spacing w:after="0" w:line="300" w:lineRule="auto"/>
        <w:tabs>
          <w:tab w:leader="none" w:pos="1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22"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10"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87" w:lineRule="exact"/>
        <w:rPr>
          <w:rFonts w:ascii="Arial" w:cs="Arial" w:eastAsia="Arial" w:hAnsi="Arial"/>
          <w:sz w:val="18"/>
          <w:szCs w:val="18"/>
          <w:color w:val="auto"/>
        </w:rPr>
      </w:pPr>
    </w:p>
    <w:p>
      <w:pPr>
        <w:ind w:left="1220" w:hanging="329"/>
        <w:spacing w:after="0" w:line="268"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45" w:lineRule="exact"/>
        <w:rPr>
          <w:rFonts w:ascii="Arial" w:cs="Arial" w:eastAsia="Arial" w:hAnsi="Arial"/>
          <w:sz w:val="17"/>
          <w:szCs w:val="17"/>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oilfield services impacting our operators;</w:t>
      </w:r>
    </w:p>
    <w:p>
      <w:pPr>
        <w:spacing w:after="0" w:line="87"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8"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from breaches of our information technology systems, or from breaches of information technology systems of third parties with whom we transact business;</w:t>
      </w:r>
    </w:p>
    <w:p>
      <w:pPr>
        <w:spacing w:after="0" w:line="68" w:lineRule="exact"/>
        <w:rPr>
          <w:rFonts w:ascii="Arial" w:cs="Arial" w:eastAsia="Arial" w:hAnsi="Arial"/>
          <w:sz w:val="18"/>
          <w:szCs w:val="18"/>
          <w:color w:val="auto"/>
        </w:rPr>
      </w:pPr>
    </w:p>
    <w:p>
      <w:pPr>
        <w:ind w:left="1200" w:hanging="309"/>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110"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87" w:lineRule="exact"/>
        <w:rPr>
          <w:rFonts w:ascii="Arial" w:cs="Arial" w:eastAsia="Arial" w:hAnsi="Arial"/>
          <w:sz w:val="18"/>
          <w:szCs w:val="18"/>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87" w:lineRule="exact"/>
        <w:rPr>
          <w:rFonts w:ascii="Arial" w:cs="Arial" w:eastAsia="Arial" w:hAnsi="Arial"/>
          <w:sz w:val="18"/>
          <w:szCs w:val="18"/>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87" w:lineRule="exact"/>
        <w:rPr>
          <w:rFonts w:ascii="Arial" w:cs="Arial" w:eastAsia="Arial" w:hAnsi="Arial"/>
          <w:sz w:val="18"/>
          <w:szCs w:val="18"/>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35"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i w:val="1"/>
          <w:iCs w:val="1"/>
          <w:color w:val="auto"/>
        </w:rPr>
        <w:t>References in this Annual Report to (i) “Viper Energy Partners,” “Viper,” “the Partnership,” “our partnership,” “we,” “our,” “us” or like terms refer to Viper Energy Partners LP individually and collectively with its subsidiary, Viper Energy Partners LLC, as the context requires; (ii) “our General Partner” refers to Viper Energy Partners GP LLC, our General Partner and a wholly owned subsidiary of Diamondback Energy, Inc.; and (iii) the “Operating Company” or “OpCo” refers to Viper Energy Partners LLC, and (iv) “Diamondback” refers collectively to Diamondback Energy, Inc. and its subsidiaries other than the Partnership and its subsidiary.</w:t>
      </w:r>
    </w:p>
    <w:p>
      <w:pPr>
        <w:spacing w:after="0" w:line="21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are treated as a corporation for U.S. federal income tax purposes.</w:t>
      </w:r>
    </w:p>
    <w:p>
      <w:pPr>
        <w:spacing w:after="0" w:line="21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primary business objective is to provide an attractive return to our unitholders by focusing on business results, generating robust free cash flow, reducing debt and protecting our balance sheet, while maintaining a best-in-class cost structure. Our initial assets consisted of mineral interests in oil and natural gas properties in the Permian Basin in West Texas, substantially all of which are leased to working interest owners who bear the costs of operation and development.</w:t>
      </w:r>
    </w:p>
    <w:p>
      <w:pPr>
        <w:spacing w:after="0" w:line="215"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We are currently focused primarily on oil and natural gas properties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2021 Acquisitions</w:t>
      </w:r>
    </w:p>
    <w:p>
      <w:pPr>
        <w:spacing w:after="0" w:line="25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On October 1, 2021, we completed the acquisition of certain mineral and royalty interests from Swallowtail Royalties LLC and Swallowtail Royalties II LLC for approximately 15.25 million of our common units and approximately $225.3 million in cash, which we refer to as the Swallowtail Acquisition. The mineral and royalty interests acquired in the Swallowtail Acquisition represent approximately 2,313 net royalty acres primarily in the Northern Midland Basin, of which approximately 62% are operated by Diamondback. The Swallowtail Acquisition has an effective date of August 1, 2021. We funded the cash portion of the purchase price for the Swallowtail Acquisition through a combination of cash on hand and approximately $190.0 million of borrowings under the Operating Company’s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52"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As of December 31, 2021, our assets consisted of mineral interests underlying 930,871 gross acres and 27,027 net royalty acres in the Permian Basin and Eagle Ford Shale. Diamondback is the operator of approximately 54% of our net royalty acreage. As of December 31, 2021, there were 9,095 wells producing on this acreage, of which Diamondback was the operator of 2,386 wells. Net production during the fourth quarter of 2021 was approximately 31,359 BOE/d and net production for the year ended December 31, 2021 averaged 28,110 BOE/d. For the years ended December 31, 2021, 2020 and 2019, royalty revenue generated from these mineral interests was $501.5 million, $247.0 million and $293.8 million, respectively.</w:t>
      </w:r>
    </w:p>
    <w:p>
      <w:pPr>
        <w:spacing w:after="0" w:line="18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estimated proved oil and natural gas reserves of our assets, as of December 31, 2021, were 127,888 MBOE based on a reserve report prepared by Ryder Scott, our independent reserve engineers. Of these reserves, approximately 71% were classified as proved developed producing reserves. Proved undeveloped, or PUD, reserves included in this estimate were from 490 gross horizontal well locations. As of December 31, 2021, our proved reserves were approximately 54% oil, 22% natural gas liquids and 24%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52"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As of December 31, 2021, our General Partner had a 100% general partner interest in us, and Diamondback owned 731,500 common units and beneficially owned all of our 90,709,946 outstanding Class B units, representing approximately 54% of our total units outstanding. Diamondback also owns and controls our General Partner. We believe that the properties held by Diamondback include properties that have, or with additional development will have, production and reserves characteristics that could make them attractive for inclusion in our partnership. We believe Diamondback’s significant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right="20"/>
        <w:spacing w:after="0" w:line="335" w:lineRule="auto"/>
        <w:rPr>
          <w:sz w:val="20"/>
          <w:szCs w:val="20"/>
          <w:color w:val="auto"/>
        </w:rPr>
      </w:pPr>
      <w:r>
        <w:rPr>
          <w:rFonts w:ascii="Arial" w:cs="Arial" w:eastAsia="Arial" w:hAnsi="Arial"/>
          <w:sz w:val="16"/>
          <w:szCs w:val="16"/>
          <w:color w:val="auto"/>
        </w:rPr>
        <w:t>ownership in us will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spacing w:after="0" w:line="15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believe Diamondback views our partnership as part of its business strategy and that Diamondback will be incentivized to pursue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217" w:lineRule="exact"/>
        <w:rPr>
          <w:sz w:val="20"/>
          <w:szCs w:val="20"/>
          <w:color w:val="auto"/>
        </w:rPr>
      </w:pPr>
    </w:p>
    <w:p>
      <w:pPr>
        <w:jc w:val="both"/>
        <w:ind w:firstLine="643"/>
        <w:spacing w:after="0" w:line="282" w:lineRule="auto"/>
        <w:rPr>
          <w:rFonts w:ascii="Arial" w:cs="Arial" w:eastAsia="Arial" w:hAnsi="Arial"/>
          <w:sz w:val="17"/>
          <w:szCs w:val="17"/>
          <w:color w:val="0000FF"/>
        </w:rPr>
      </w:pPr>
      <w:r>
        <w:rPr>
          <w:rFonts w:ascii="Arial" w:cs="Arial" w:eastAsia="Arial" w:hAnsi="Arial"/>
          <w:sz w:val="17"/>
          <w:szCs w:val="17"/>
          <w:color w:val="auto"/>
        </w:rPr>
        <w:t xml:space="preserve">In addition, neither we, the Operating Company nor our General Partner has any employees. Diamondback provides management, operating and </w:t>
      </w:r>
      <w:hyperlink w:anchor="page37">
        <w:r>
          <w:rPr>
            <w:rFonts w:ascii="Arial" w:cs="Arial" w:eastAsia="Arial" w:hAnsi="Arial"/>
            <w:sz w:val="17"/>
            <w:szCs w:val="17"/>
            <w:color w:val="auto"/>
          </w:rPr>
          <w:t>administrative services to us and our General Partner. Please read “</w:t>
        </w:r>
        <w:r>
          <w:rPr>
            <w:rFonts w:ascii="Arial" w:cs="Arial" w:eastAsia="Arial" w:hAnsi="Arial"/>
            <w:sz w:val="17"/>
            <w:szCs w:val="17"/>
            <w:u w:val="single" w:color="auto"/>
            <w:color w:val="0000FF"/>
          </w:rPr>
          <w:t>Item 7. Management’s Discussion and Analysis of Financial Condition and Results of</w:t>
        </w:r>
      </w:hyperlink>
      <w:r>
        <w:rPr>
          <w:rFonts w:ascii="Arial" w:cs="Arial" w:eastAsia="Arial" w:hAnsi="Arial"/>
          <w:sz w:val="17"/>
          <w:szCs w:val="17"/>
          <w:color w:val="auto"/>
        </w:rPr>
        <w:t xml:space="preserve"> </w:t>
      </w:r>
      <w:hyperlink w:anchor="page37">
        <w:r>
          <w:rPr>
            <w:rFonts w:ascii="Arial" w:cs="Arial" w:eastAsia="Arial" w:hAnsi="Arial"/>
            <w:sz w:val="17"/>
            <w:szCs w:val="17"/>
            <w:u w:val="single" w:color="auto"/>
            <w:color w:val="0000FF"/>
          </w:rPr>
          <w:t>Operations</w:t>
        </w:r>
        <w:r>
          <w:rPr>
            <w:rFonts w:ascii="Arial" w:cs="Arial" w:eastAsia="Arial" w:hAnsi="Arial"/>
            <w:sz w:val="17"/>
            <w:szCs w:val="17"/>
            <w:color w:val="000000"/>
          </w:rPr>
          <w:t>” and the</w:t>
        </w:r>
        <w:r>
          <w:rPr>
            <w:rFonts w:ascii="Arial" w:cs="Arial" w:eastAsia="Arial" w:hAnsi="Arial"/>
            <w:sz w:val="17"/>
            <w:szCs w:val="17"/>
            <w:color w:val="0000FF"/>
          </w:rPr>
          <w:t xml:space="preserve"> </w:t>
        </w:r>
      </w:hyperlink>
      <w:hyperlink w:anchor="page75">
        <w:r>
          <w:rPr>
            <w:rFonts w:ascii="Arial" w:cs="Arial" w:eastAsia="Arial" w:hAnsi="Arial"/>
            <w:sz w:val="17"/>
            <w:szCs w:val="17"/>
            <w:u w:val="single" w:color="auto"/>
            <w:color w:val="0000FF"/>
          </w:rPr>
          <w:t xml:space="preserve">consolidated financial statements </w:t>
        </w:r>
      </w:hyperlink>
      <w:hyperlink w:anchor="page37">
        <w:r>
          <w:rPr>
            <w:rFonts w:ascii="Arial" w:cs="Arial" w:eastAsia="Arial" w:hAnsi="Arial"/>
            <w:sz w:val="17"/>
            <w:szCs w:val="17"/>
            <w:color w:val="000000"/>
          </w:rPr>
          <w:t>and related notes, each of which is included elsewhere in this report.</w:t>
        </w:r>
      </w:hyperlink>
    </w:p>
    <w:p>
      <w:pPr>
        <w:spacing w:after="0" w:line="191" w:lineRule="exact"/>
        <w:rPr>
          <w:rFonts w:ascii="Arial" w:cs="Arial" w:eastAsia="Arial" w:hAnsi="Arial"/>
          <w:sz w:val="17"/>
          <w:szCs w:val="17"/>
          <w:color w:val="0000FF"/>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52" w:lineRule="exact"/>
        <w:rPr>
          <w:rFonts w:ascii="Arial" w:cs="Arial" w:eastAsia="Arial" w:hAnsi="Arial"/>
          <w:sz w:val="17"/>
          <w:szCs w:val="17"/>
          <w:color w:val="0000FF"/>
        </w:rPr>
      </w:pPr>
    </w:p>
    <w:p>
      <w:pPr>
        <w:jc w:val="both"/>
        <w:ind w:firstLine="643"/>
        <w:spacing w:after="0" w:line="260" w:lineRule="auto"/>
        <w:rPr>
          <w:sz w:val="20"/>
          <w:szCs w:val="20"/>
          <w:color w:val="auto"/>
        </w:rPr>
      </w:pPr>
      <w:r>
        <w:rPr>
          <w:rFonts w:ascii="Arial" w:cs="Arial" w:eastAsia="Arial" w:hAnsi="Arial"/>
          <w:sz w:val="18"/>
          <w:szCs w:val="18"/>
          <w:color w:val="auto"/>
        </w:rPr>
        <w:t>Our primary business objective is to provide an attractive return to unitholders by focusing on business results, generating robust free cash flow, reducing debt and protecting our balance sheet, while maintaining a best-in-class cost structure. We intend to accomplish this objective by executing the following strategies:</w:t>
      </w:r>
    </w:p>
    <w:p>
      <w:pPr>
        <w:spacing w:after="0" w:line="211" w:lineRule="exact"/>
        <w:rPr>
          <w:rFonts w:ascii="Arial" w:cs="Arial" w:eastAsia="Arial" w:hAnsi="Arial"/>
          <w:sz w:val="17"/>
          <w:szCs w:val="17"/>
          <w:color w:val="0000FF"/>
        </w:rPr>
      </w:pPr>
    </w:p>
    <w:p>
      <w:pPr>
        <w:jc w:val="both"/>
        <w:ind w:left="640" w:hanging="312"/>
        <w:spacing w:after="0" w:line="298"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the development of the properties underlying our mineral interests to grow our cash flow</w:t>
      </w:r>
      <w:r>
        <w:rPr>
          <w:rFonts w:ascii="Arial" w:cs="Arial" w:eastAsia="Arial" w:hAnsi="Arial"/>
          <w:sz w:val="16"/>
          <w:szCs w:val="16"/>
          <w:color w:val="auto"/>
        </w:rPr>
        <w:t>. Our assets primarily consist of mineral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in the Permian Basin in Texas. We expect the production from our mineral interests will increase as Diamondback and our other operators continue to drill, complete and develop our acreage. We expect to capitalize on this development, which requires no capital expenditure funding from us, and believe the anticipated increase in our aggregate royalty payment receipts will enable us to grow our cash flows.</w:t>
      </w:r>
    </w:p>
    <w:p>
      <w:pPr>
        <w:spacing w:after="0" w:line="170" w:lineRule="exact"/>
        <w:rPr>
          <w:rFonts w:ascii="Arial" w:cs="Arial" w:eastAsia="Arial" w:hAnsi="Arial"/>
          <w:sz w:val="16"/>
          <w:szCs w:val="16"/>
          <w:color w:val="auto"/>
        </w:rPr>
      </w:pPr>
    </w:p>
    <w:p>
      <w:pPr>
        <w:jc w:val="both"/>
        <w:ind w:left="640" w:hanging="312"/>
        <w:spacing w:after="0" w:line="252"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Leverage our relationship with Diamondback to participate with it in acquisitions of mineral or other interests in producing properties from third parties and to increase the size and scope of our potential third party acquisition targets</w:t>
      </w:r>
      <w:r>
        <w:rPr>
          <w:rFonts w:ascii="Arial" w:cs="Arial" w:eastAsia="Arial" w:hAnsi="Arial"/>
          <w:sz w:val="16"/>
          <w:szCs w:val="16"/>
          <w:color w:val="auto"/>
        </w:rPr>
        <w:t>. We have in the past and intend to continue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opportunistic acquisitions of mineral interests that have substantial oil-weighted resource potential and organic growth potential. Through our relationships with Diamondback and its affiliates, we have access to their significant pool of management talent and industry relationships, which we believe provide us with a competitive advantage in pursuing potential third party acquisition opportunities. For example, we and Diamondback may pursue an acquisition where Diamondback would acquire working and revenue interests in properties and we would acquire mineral or royalty interests in such properties either in the same or subsequent transaction, similar to Diamondback’s acquisition of certain assets from Guidon Operating LLC and our recently completed Swallowtail Acquisition described in this report.</w:t>
      </w:r>
    </w:p>
    <w:p>
      <w:pPr>
        <w:spacing w:after="0" w:line="208" w:lineRule="exact"/>
        <w:rPr>
          <w:rFonts w:ascii="Arial" w:cs="Arial" w:eastAsia="Arial" w:hAnsi="Arial"/>
          <w:sz w:val="16"/>
          <w:szCs w:val="16"/>
          <w:color w:val="auto"/>
        </w:rPr>
      </w:pPr>
    </w:p>
    <w:p>
      <w:pPr>
        <w:jc w:val="both"/>
        <w:ind w:left="640" w:hanging="312"/>
        <w:spacing w:after="0" w:line="270" w:lineRule="auto"/>
        <w:tabs>
          <w:tab w:leader="none" w:pos="63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Seek to acquire from Diamondback, from time to time, mineral or other interests in producing oil and natural gas properties that meet our acquisition criteria</w:t>
      </w:r>
      <w:r>
        <w:rPr>
          <w:rFonts w:ascii="Arial" w:cs="Arial" w:eastAsia="Arial" w:hAnsi="Arial"/>
          <w:sz w:val="17"/>
          <w:szCs w:val="17"/>
          <w:color w:val="auto"/>
        </w:rPr>
        <w:t>. Since our formation, we have acquired, and may have additional opportunities from time to time in the future to acquire,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mineral or other interests in producing oil and natural gas properties directly from Diamondback. We believe Diamondback may be incentivized to sell properties to us, as doing so may enhance Diamondback’s economic returns by monetizing long-lived producing properties while potentially retaining a portion of the resulting cash flow through distributions on Diamondback’s limited partner interests in us. However, none of Diamondback or any of its affiliates is contractually obligated to offer or sell any interests in properties to us.</w:t>
      </w:r>
    </w:p>
    <w:p>
      <w:pPr>
        <w:spacing w:after="0" w:line="206" w:lineRule="exact"/>
        <w:rPr>
          <w:rFonts w:ascii="Arial" w:cs="Arial" w:eastAsia="Arial" w:hAnsi="Arial"/>
          <w:sz w:val="17"/>
          <w:szCs w:val="17"/>
          <w:b w:val="1"/>
          <w:bCs w:val="1"/>
          <w:i w:val="1"/>
          <w:iCs w:val="1"/>
          <w:color w:val="auto"/>
        </w:rPr>
      </w:pPr>
    </w:p>
    <w:p>
      <w:pPr>
        <w:ind w:left="640" w:hanging="312"/>
        <w:spacing w:after="0" w:line="301" w:lineRule="auto"/>
        <w:tabs>
          <w:tab w:leader="none" w:pos="63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High-grading our asset base. </w:t>
      </w:r>
      <w:r>
        <w:rPr>
          <w:rFonts w:ascii="Arial" w:cs="Arial" w:eastAsia="Arial" w:hAnsi="Arial"/>
          <w:sz w:val="17"/>
          <w:szCs w:val="17"/>
          <w:color w:val="auto"/>
        </w:rPr>
        <w:t>We intend to continue to high-grade our asset base and selectively divest non-core minerals with limited optionality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the amount negotiated exceeds our projected total value and, then redeploy proceeds into our core areas of focus.</w:t>
      </w:r>
    </w:p>
    <w:p>
      <w:pPr>
        <w:spacing w:after="0" w:line="179" w:lineRule="exact"/>
        <w:rPr>
          <w:rFonts w:ascii="Arial" w:cs="Arial" w:eastAsia="Arial" w:hAnsi="Arial"/>
          <w:sz w:val="17"/>
          <w:szCs w:val="17"/>
          <w:b w:val="1"/>
          <w:bCs w:val="1"/>
          <w:i w:val="1"/>
          <w:iCs w:val="1"/>
          <w:color w:val="auto"/>
        </w:rPr>
      </w:pPr>
    </w:p>
    <w:p>
      <w:pPr>
        <w:jc w:val="both"/>
        <w:ind w:left="640" w:hanging="312"/>
        <w:spacing w:after="0" w:line="27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a conservative capital structure to allow financial flexibility. </w:t>
      </w:r>
      <w:r>
        <w:rPr>
          <w:rFonts w:ascii="Arial" w:cs="Arial" w:eastAsia="Arial" w:hAnsi="Arial"/>
          <w:sz w:val="17"/>
          <w:szCs w:val="17"/>
          <w:color w:val="auto"/>
        </w:rPr>
        <w:t>Since our formation, we have maintained a conservative capital 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has allowed us to opportunistically purchase accretive mineral and other interests. We are committed to maintaining a conservative leverage profile, and will continue to seek to opportunistically fund accretive acquisitions. We intend to continue to repay debt using free cash flow to ensure our ability to successfully operate in challenging business and commodity price environments.</w:t>
      </w: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351" w:lineRule="exact"/>
        <w:rPr>
          <w:rFonts w:ascii="Arial" w:cs="Arial" w:eastAsia="Arial" w:hAnsi="Arial"/>
          <w:sz w:val="17"/>
          <w:szCs w:val="17"/>
          <w:color w:val="0000FF"/>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640" w:hanging="31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Hedging to manage commodity price risk and to protect our balance sheet and cash flow</w:t>
      </w:r>
      <w:r>
        <w:rPr>
          <w:rFonts w:ascii="Arial" w:cs="Arial" w:eastAsia="Arial" w:hAnsi="Arial"/>
          <w:sz w:val="18"/>
          <w:szCs w:val="18"/>
          <w:color w:val="auto"/>
        </w:rPr>
        <w:t>. We use a combination of derivative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economically hedge exposure to changes in commodity prices and maintain financial and balance sheet flexibility.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2" w:lineRule="exact"/>
        <w:rPr>
          <w:sz w:val="20"/>
          <w:szCs w:val="20"/>
          <w:color w:val="auto"/>
        </w:rPr>
      </w:pPr>
    </w:p>
    <w:p>
      <w:pPr>
        <w:ind w:right="20" w:firstLine="643"/>
        <w:spacing w:after="0" w:line="271" w:lineRule="auto"/>
        <w:rPr>
          <w:sz w:val="20"/>
          <w:szCs w:val="20"/>
          <w:color w:val="auto"/>
        </w:rPr>
      </w:pPr>
      <w:r>
        <w:rPr>
          <w:rFonts w:ascii="Arial" w:cs="Arial" w:eastAsia="Arial" w:hAnsi="Arial"/>
          <w:sz w:val="18"/>
          <w:szCs w:val="18"/>
          <w:color w:val="auto"/>
        </w:rPr>
        <w:t>We believe the following competitive strengths will allow us to successfully execute our business strategies and achieve our primary business objective:</w:t>
      </w:r>
    </w:p>
    <w:p>
      <w:pPr>
        <w:spacing w:after="0" w:line="189" w:lineRule="exact"/>
        <w:rPr>
          <w:sz w:val="20"/>
          <w:szCs w:val="20"/>
          <w:color w:val="auto"/>
        </w:rPr>
      </w:pPr>
    </w:p>
    <w:p>
      <w:pPr>
        <w:jc w:val="both"/>
        <w:ind w:left="640" w:hanging="312"/>
        <w:spacing w:after="0" w:line="22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Oil rich resource base in one of North America’s leading resource plays</w:t>
      </w:r>
      <w:r>
        <w:rPr>
          <w:rFonts w:ascii="Arial" w:cs="Arial" w:eastAsia="Arial" w:hAnsi="Arial"/>
          <w:sz w:val="18"/>
          <w:szCs w:val="18"/>
          <w:color w:val="auto"/>
        </w:rPr>
        <w:t>. The majority of the acreage underlying our mineral interests is located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most prolific oil plays in North America, the Permian Basin in West Texas. As of December 31, 2021, 293 horizontal drilling rigs were operating in the Permian Basin, representing 50% of the total U.S. onshore horizontal rig activity. The majority of our current properties is well positioned in the core of both the Midland and Delaware Basins. Production on our properties for the year ended December 31, 2021 and our estimated net proved reserves are heavily oil-weighted.</w:t>
      </w:r>
    </w:p>
    <w:p>
      <w:pPr>
        <w:spacing w:after="0" w:line="217" w:lineRule="exact"/>
        <w:rPr>
          <w:rFonts w:ascii="Arial" w:cs="Arial" w:eastAsia="Arial" w:hAnsi="Arial"/>
          <w:sz w:val="18"/>
          <w:szCs w:val="18"/>
          <w:color w:val="auto"/>
        </w:rPr>
      </w:pPr>
    </w:p>
    <w:p>
      <w:pPr>
        <w:jc w:val="both"/>
        <w:ind w:left="640" w:hanging="31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Sustainable, high margin business unburdened by capital expenses with minimal operating expenses. </w:t>
      </w:r>
      <w:r>
        <w:rPr>
          <w:rFonts w:ascii="Arial" w:cs="Arial" w:eastAsia="Arial" w:hAnsi="Arial"/>
          <w:sz w:val="18"/>
          <w:szCs w:val="18"/>
          <w:color w:val="auto"/>
        </w:rPr>
        <w:t>Our mineral and royalty interests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 cash flows without the requirement to fund drilling and completion costs or lease operating expenses. Our operating costs consist of certain royalty taxes, gathering, processing, marketing and transportation costs and general and administrative expenses, providing us with a low cost structure and high operating margins that generate increasing free cash flow growth in a stable or rising price environment as the </w:t>
      </w:r>
      <w:r>
        <w:rPr>
          <w:rFonts w:ascii="Arial" w:cs="Arial" w:eastAsia="Arial" w:hAnsi="Arial"/>
          <w:sz w:val="18"/>
          <w:szCs w:val="18"/>
          <w:color w:val="231F20"/>
        </w:rPr>
        <w:t>underlying</w:t>
      </w:r>
      <w:r>
        <w:rPr>
          <w:rFonts w:ascii="Arial" w:cs="Arial" w:eastAsia="Arial" w:hAnsi="Arial"/>
          <w:sz w:val="18"/>
          <w:szCs w:val="18"/>
          <w:color w:val="auto"/>
        </w:rPr>
        <w:t xml:space="preserve"> </w:t>
      </w:r>
      <w:r>
        <w:rPr>
          <w:rFonts w:ascii="Arial" w:cs="Arial" w:eastAsia="Arial" w:hAnsi="Arial"/>
          <w:sz w:val="18"/>
          <w:szCs w:val="18"/>
          <w:color w:val="231F20"/>
        </w:rPr>
        <w:t>production associated with our royalty interests continues to grow.</w:t>
      </w:r>
    </w:p>
    <w:p>
      <w:pPr>
        <w:spacing w:after="0" w:line="216" w:lineRule="exact"/>
        <w:rPr>
          <w:rFonts w:ascii="Arial" w:cs="Arial" w:eastAsia="Arial" w:hAnsi="Arial"/>
          <w:sz w:val="18"/>
          <w:szCs w:val="18"/>
          <w:color w:val="auto"/>
        </w:rPr>
      </w:pPr>
    </w:p>
    <w:p>
      <w:pPr>
        <w:jc w:val="both"/>
        <w:ind w:left="640" w:hanging="31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231F20"/>
        </w:rPr>
        <w:t>Experienced and proven management team</w:t>
      </w:r>
      <w:r>
        <w:rPr>
          <w:rFonts w:ascii="Arial" w:cs="Arial" w:eastAsia="Arial" w:hAnsi="Arial"/>
          <w:sz w:val="18"/>
          <w:szCs w:val="18"/>
          <w:color w:val="231F20"/>
        </w:rPr>
        <w:t>. The members of our executive team have significant industry experience, most of which has been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focused on resource play development in the Permian Basin. This team has a proven track record of executing on multi-rig development drilling programs and extensive experience in the Permian Basin. In addition, our executive team has significant experience with property acquisition. We expect to benefit from the industry relationships of the management team. We believe the experience of our management team is essential for the execution of our business strategy.</w:t>
      </w:r>
    </w:p>
    <w:p>
      <w:pPr>
        <w:spacing w:after="0" w:line="230" w:lineRule="exact"/>
        <w:rPr>
          <w:rFonts w:ascii="Arial" w:cs="Arial" w:eastAsia="Arial" w:hAnsi="Arial"/>
          <w:sz w:val="18"/>
          <w:szCs w:val="18"/>
          <w:color w:val="auto"/>
        </w:rPr>
      </w:pPr>
    </w:p>
    <w:p>
      <w:pPr>
        <w:jc w:val="both"/>
        <w:ind w:left="640" w:hanging="312"/>
        <w:spacing w:after="0" w:line="27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231F20"/>
        </w:rPr>
        <w:t xml:space="preserve">Favorable and stable operating environment. </w:t>
      </w:r>
      <w:r>
        <w:rPr>
          <w:rFonts w:ascii="Arial" w:cs="Arial" w:eastAsia="Arial" w:hAnsi="Arial"/>
          <w:sz w:val="17"/>
          <w:szCs w:val="17"/>
          <w:color w:val="231F20"/>
        </w:rPr>
        <w:t>We primarily focus our growth in the Permian Basin, one of the oldest, most prolific hydrocarbon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basins in the United States, with a long and well-established production history and developed infrastructure. With over 350,000 wells drilled in the Permian Basin since the 1940s, we believe that the geological and regulatory environment is more stable and predictable, and that we are faced with fewer operational risks, in the Permian Basin as compared to emerging hydrocarbon basins. We believe that the impact of the proven application of new technology, combined with the substantial geological information available about the Permian Basin, also reduces the risk of development and exploration activities as compared to emerging hydrocarbon basins.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Proved Reserves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and Review of Reserves</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historical reserve estimates as of December 31, 2021, 2020 and 2019 were prepared by Ryder Scott,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 party engineering firm and does not own an interest in any of our properties and is not employed by us on a contingent basis.</w:t>
      </w:r>
    </w:p>
    <w:p>
      <w:pPr>
        <w:spacing w:after="0" w:line="217"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2021 were estimated using a deterministic method.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(1) performance-based methods,</w:t>
      </w:r>
    </w:p>
    <w:p>
      <w:pPr>
        <w:spacing w:after="0" w:line="2" w:lineRule="exact"/>
        <w:rPr>
          <w:sz w:val="20"/>
          <w:szCs w:val="20"/>
          <w:color w:val="auto"/>
        </w:rPr>
      </w:pPr>
    </w:p>
    <w:p>
      <w:pPr>
        <w:jc w:val="both"/>
        <w:ind w:firstLine="7"/>
        <w:spacing w:after="0" w:line="249"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volumetric-based methods and (3) analogy. These methods may be used singularly or in combination by the reserve evaluator in the process of estimating the quantities of reserves. Approximately 90%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10%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25"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204" w:lineRule="exact"/>
        <w:rPr>
          <w:sz w:val="20"/>
          <w:szCs w:val="20"/>
          <w:color w:val="auto"/>
        </w:rPr>
      </w:pPr>
    </w:p>
    <w:p>
      <w:pPr>
        <w:jc w:val="both"/>
        <w:ind w:firstLine="643"/>
        <w:spacing w:after="0" w:line="234" w:lineRule="auto"/>
        <w:rPr>
          <w:rFonts w:ascii="Arial" w:cs="Arial" w:eastAsia="Arial" w:hAnsi="Arial"/>
          <w:sz w:val="17"/>
          <w:szCs w:val="17"/>
          <w:color w:val="0000FF"/>
        </w:rPr>
      </w:pPr>
      <w:hyperlink w:anchor="page22">
        <w:r>
          <w:rPr>
            <w:rFonts w:ascii="Arial" w:cs="Arial" w:eastAsia="Arial" w:hAnsi="Arial"/>
            <w:sz w:val="17"/>
            <w:szCs w:val="17"/>
            <w:color w:val="auto"/>
          </w:rPr>
          <w:t>The process of estimating oil, natural gas and natural gas liquids reserves is complex and requires significant judgment, as discussed in “</w:t>
        </w:r>
        <w:r>
          <w:rPr>
            <w:rFonts w:ascii="Arial" w:cs="Arial" w:eastAsia="Arial" w:hAnsi="Arial"/>
            <w:sz w:val="17"/>
            <w:szCs w:val="17"/>
            <w:u w:val="single" w:color="auto"/>
            <w:color w:val="0000FF"/>
          </w:rPr>
          <w:t>Item 1A.</w:t>
        </w:r>
      </w:hyperlink>
      <w:r>
        <w:rPr>
          <w:rFonts w:ascii="Arial" w:cs="Arial" w:eastAsia="Arial" w:hAnsi="Arial"/>
          <w:sz w:val="17"/>
          <w:szCs w:val="17"/>
          <w:color w:val="auto"/>
        </w:rPr>
        <w:t xml:space="preserve"> </w:t>
      </w:r>
      <w:hyperlink w:anchor="page22">
        <w:r>
          <w:rPr>
            <w:rFonts w:ascii="Arial" w:cs="Arial" w:eastAsia="Arial" w:hAnsi="Arial"/>
            <w:sz w:val="17"/>
            <w:szCs w:val="17"/>
            <w:u w:val="single" w:color="auto"/>
            <w:color w:val="0000FF"/>
          </w:rPr>
          <w:t>Risk Factors</w:t>
        </w:r>
        <w:r>
          <w:rPr>
            <w:rFonts w:ascii="Arial" w:cs="Arial" w:eastAsia="Arial" w:hAnsi="Arial"/>
            <w:sz w:val="17"/>
            <w:szCs w:val="17"/>
            <w:color w:val="000000"/>
          </w:rPr>
          <w:t>” of this report. As a result, our petroleum engineers and geoscience professionals work closely with our independent reserve engineers to</w:t>
        </w:r>
      </w:hyperlink>
      <w:r>
        <w:rPr>
          <w:rFonts w:ascii="Arial" w:cs="Arial" w:eastAsia="Arial" w:hAnsi="Arial"/>
          <w:sz w:val="17"/>
          <w:szCs w:val="17"/>
          <w:color w:val="0000FF"/>
        </w:rPr>
        <w:t xml:space="preserve"> </w:t>
      </w:r>
      <w:r>
        <w:rPr>
          <w:rFonts w:ascii="Arial" w:cs="Arial" w:eastAsia="Arial" w:hAnsi="Arial"/>
          <w:sz w:val="17"/>
          <w:szCs w:val="17"/>
          <w:color w:val="000000"/>
        </w:rPr>
        <w:t>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Prior to his retirement effective December 31, 2021, the Executive Vice President and Chief Engineer of our General Partner was primarily responsible for overseeing the preparation of all of our reserve estimates. Effective January 1, 2022, the Senior Vice President of Reservoir Engineering of our General Partner has assumed these responsibilities. We collectively refer to these individuals as the primary reserve engineers. The primary reserve engineers are petroleum engineers with over 30 years and 18 years of reservoir and operations experience, respectively, and our geoscience staff has an average of approximately 15 years of industry experience per person. Our technical staff uses historical information for our properties such as ownership interest, oil and natural gas production, well test data, commodity prices and operating and development costs.</w:t>
      </w:r>
    </w:p>
    <w:p>
      <w:pPr>
        <w:spacing w:after="0" w:line="21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preparation of our proved reserve estimates is completed in accordance with our internal control procedures. These procedures, which are intended to ensure reliability of reserve estimations, include the following:</w:t>
      </w:r>
    </w:p>
    <w:p>
      <w:pPr>
        <w:spacing w:after="0" w:line="202" w:lineRule="exact"/>
        <w:rPr>
          <w:sz w:val="20"/>
          <w:szCs w:val="20"/>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is based on actual production as reported by our operators;</w:t>
      </w:r>
    </w:p>
    <w:p>
      <w:pPr>
        <w:spacing w:after="0" w:line="60"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reserve estimates by the primary reserve engineers of our General Partner or under their direct supervision;</w:t>
      </w:r>
    </w:p>
    <w:p>
      <w:pPr>
        <w:spacing w:after="0" w:line="60"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by the primary reserve engineers of all of our reported proved reserves at the close of each quarter, including the review of all significant reserve changes and all new proved undeveloped reserves additions;</w:t>
      </w:r>
    </w:p>
    <w:p>
      <w:pPr>
        <w:spacing w:after="0" w:line="14"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reporting responsibilities by the Executive Vice President and Chief Engineer, prior to his retirement, to the Chief Executive Officer of our General Partner and by the current primary reserve engineer to the President of our General Partner;</w:t>
      </w:r>
    </w:p>
    <w:p>
      <w:pPr>
        <w:spacing w:after="0" w:line="14"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60"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2021, 2020 and 2019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auto"/>
            </w:tcBorders>
          </w:tcPr>
          <w:p>
            <w:pPr>
              <w:spacing w:after="0"/>
              <w:rPr>
                <w:sz w:val="16"/>
                <w:szCs w:val="16"/>
                <w:color w:val="auto"/>
              </w:rPr>
            </w:pPr>
          </w:p>
        </w:tc>
      </w:tr>
      <w:tr>
        <w:trPr>
          <w:trHeight w:val="185"/>
        </w:trPr>
        <w:tc>
          <w:tcPr>
            <w:tcW w:w="64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proved developed reserves:</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49,280</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40,220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40,857</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134,485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93,617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80,737</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19,476</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14,994</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91,170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72,547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69,307</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Estimated proved undeveloped reserves: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19,960</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17,310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13,563</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49,205</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25,833</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15,037</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8,557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3,570</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36,718</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19,639</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net proved reserves: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69,240</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57,530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54,420</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183,690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119,450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95,774</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28,033</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21,953</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18,564</w:t>
            </w:r>
          </w:p>
        </w:tc>
      </w:tr>
      <w:tr>
        <w:trPr>
          <w:trHeight w:val="228"/>
        </w:trPr>
        <w:tc>
          <w:tcPr>
            <w:tcW w:w="64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Total (MBOE)</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127,888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88,946</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78 %</w:t>
            </w:r>
          </w:p>
        </w:tc>
      </w:tr>
    </w:tbl>
    <w:p>
      <w:pPr>
        <w:spacing w:after="0" w:line="80" w:lineRule="exact"/>
        <w:rPr>
          <w:sz w:val="20"/>
          <w:szCs w:val="20"/>
          <w:color w:val="auto"/>
        </w:rPr>
      </w:pPr>
    </w:p>
    <w:p>
      <w:pPr>
        <w:jc w:val="both"/>
        <w:ind w:left="320" w:hanging="313"/>
        <w:spacing w:after="0" w:line="236" w:lineRule="auto"/>
        <w:tabs>
          <w:tab w:leader="none" w:pos="3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reserves as of December 31, 2021, 2020 and 2019 were prepared using the unweighted arithmetic average of hydrocarbon prices received on a field-by-field basis on the first day of each month within the 12-month periods ended December 31, 2021, 2020 and 2019, respectively, in accordance with SEC guidelines.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 See “</w:t>
      </w:r>
      <w:hyperlink w:anchor="page22">
        <w:r>
          <w:rPr>
            <w:rFonts w:ascii="Arial" w:cs="Arial" w:eastAsia="Arial" w:hAnsi="Arial"/>
            <w:sz w:val="18"/>
            <w:szCs w:val="18"/>
            <w:u w:val="single" w:color="auto"/>
            <w:color w:val="0000FF"/>
          </w:rPr>
          <w:t>Item 1A. Risk Factors</w:t>
        </w:r>
      </w:hyperlink>
      <w:r>
        <w:rPr>
          <w:rFonts w:ascii="Arial" w:cs="Arial" w:eastAsia="Arial" w:hAnsi="Arial"/>
          <w:sz w:val="18"/>
          <w:szCs w:val="18"/>
          <w:color w:val="auto"/>
        </w:rPr>
        <w:t>” for a discussion of risks and uncertainties associated with our estimates of proved reserves and related factors, and see Note 14—</w:t>
      </w:r>
      <w:hyperlink w:anchor="page96">
        <w:r>
          <w:rPr>
            <w:rFonts w:ascii="Arial" w:cs="Arial" w:eastAsia="Arial" w:hAnsi="Arial"/>
            <w:sz w:val="18"/>
            <w:szCs w:val="18"/>
            <w:u w:val="single" w:color="auto"/>
            <w:color w:val="0000FF"/>
          </w:rPr>
          <w:t>Supplemental Information on Oil and Natural Gas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our reserve estimates and pricing.</w:t>
      </w:r>
    </w:p>
    <w:p>
      <w:pPr>
        <w:spacing w:after="0" w:line="219"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48" w:lineRule="exact"/>
        <w:rPr>
          <w:rFonts w:ascii="Arial" w:cs="Arial" w:eastAsia="Arial" w:hAnsi="Arial"/>
          <w:sz w:val="18"/>
          <w:szCs w:val="18"/>
          <w:color w:val="auto"/>
        </w:rPr>
      </w:pPr>
    </w:p>
    <w:p>
      <w:pPr>
        <w:jc w:val="both"/>
        <w:ind w:firstLine="643"/>
        <w:spacing w:after="0" w:line="254" w:lineRule="auto"/>
        <w:rPr>
          <w:sz w:val="20"/>
          <w:szCs w:val="20"/>
          <w:color w:val="auto"/>
        </w:rPr>
      </w:pPr>
      <w:r>
        <w:rPr>
          <w:rFonts w:ascii="Arial" w:cs="Arial" w:eastAsia="Arial" w:hAnsi="Arial"/>
          <w:sz w:val="18"/>
          <w:szCs w:val="18"/>
          <w:color w:val="auto"/>
        </w:rPr>
        <w:t>As of December 31, 2021, our PUD reserves totaled 19,960 MBbls of oil, 49,205 MMcf of natural gas and 8,557 MBbls of natural gas liquids, for a total of 36,718 MBOE. PUDs will be converted from undeveloped to developed as the applicable wells begin production. Our PUD reserves were from 490 horizontal wells, of which Diamondback is the operator of 473 wells with ConocoPhillips operating the majority of the remaining wells. Of the horizontal locations, 147 are Wolfcamp A wells, 131 are Lower Spraberry wells, 102 are Wolfcamp B wells, 100 are Middle Spraberry/Jo Mill wells and 10 are Bone Spring wells.</w:t>
      </w:r>
    </w:p>
    <w:p>
      <w:pPr>
        <w:spacing w:after="0" w:line="217"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The following table includes the changes in PUD reserves for 2021:</w:t>
      </w:r>
    </w:p>
    <w:p>
      <w:pPr>
        <w:spacing w:after="0" w:line="39"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91"/>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(MBOE)</w:t>
            </w:r>
          </w:p>
        </w:tc>
      </w:tr>
      <w:tr>
        <w:trPr>
          <w:trHeight w:val="22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proved undeveloped reserves at 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26,845</w:t>
            </w:r>
          </w:p>
        </w:tc>
      </w:tr>
      <w:tr>
        <w:trPr>
          <w:trHeight w:val="227"/>
        </w:trPr>
        <w:tc>
          <w:tcPr>
            <w:tcW w:w="960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40" w:type="dxa"/>
            <w:vAlign w:val="bottom"/>
          </w:tcPr>
          <w:p>
            <w:pPr>
              <w:jc w:val="right"/>
              <w:spacing w:after="0"/>
              <w:rPr>
                <w:sz w:val="20"/>
                <w:szCs w:val="20"/>
                <w:color w:val="auto"/>
              </w:rPr>
            </w:pPr>
            <w:r>
              <w:rPr>
                <w:rFonts w:ascii="Arial" w:cs="Arial" w:eastAsia="Arial" w:hAnsi="Arial"/>
                <w:sz w:val="18"/>
                <w:szCs w:val="18"/>
                <w:color w:val="auto"/>
              </w:rPr>
              <w:t>(8,349)</w:t>
            </w:r>
          </w:p>
        </w:tc>
      </w:tr>
      <w:tr>
        <w:trPr>
          <w:trHeight w:val="22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r>
      <w:tr>
        <w:trPr>
          <w:trHeight w:val="227"/>
        </w:trPr>
        <w:tc>
          <w:tcPr>
            <w:tcW w:w="96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40" w:type="dxa"/>
            <w:vAlign w:val="bottom"/>
          </w:tcPr>
          <w:p>
            <w:pPr>
              <w:jc w:val="right"/>
              <w:spacing w:after="0"/>
              <w:rPr>
                <w:sz w:val="20"/>
                <w:szCs w:val="20"/>
                <w:color w:val="auto"/>
              </w:rPr>
            </w:pPr>
            <w:r>
              <w:rPr>
                <w:rFonts w:ascii="Arial" w:cs="Arial" w:eastAsia="Arial" w:hAnsi="Arial"/>
                <w:sz w:val="18"/>
                <w:szCs w:val="18"/>
                <w:color w:val="auto"/>
              </w:rPr>
              <w:t>3,990</w:t>
            </w:r>
          </w:p>
        </w:tc>
      </w:tr>
      <w:tr>
        <w:trPr>
          <w:trHeight w:val="22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r>
      <w:tr>
        <w:trPr>
          <w:trHeight w:val="221"/>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Ending proved undeveloped reserves at December 31, 2021</w:t>
            </w:r>
          </w:p>
        </w:tc>
        <w:tc>
          <w:tcPr>
            <w:tcW w:w="1640" w:type="dxa"/>
            <w:vAlign w:val="bottom"/>
          </w:tcPr>
          <w:p>
            <w:pPr>
              <w:jc w:val="right"/>
              <w:spacing w:after="0"/>
              <w:rPr>
                <w:sz w:val="20"/>
                <w:szCs w:val="20"/>
                <w:color w:val="auto"/>
              </w:rPr>
            </w:pPr>
            <w:r>
              <w:rPr>
                <w:rFonts w:ascii="Arial" w:cs="Arial" w:eastAsia="Arial" w:hAnsi="Arial"/>
                <w:sz w:val="18"/>
                <w:szCs w:val="18"/>
                <w:color w:val="auto"/>
              </w:rPr>
              <w:t>36,718</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18"/>
          <w:szCs w:val="18"/>
          <w:color w:val="auto"/>
        </w:rPr>
        <w:t>The increase in proved undeveloped reserves was primarily attributable to additions of 24,700 MBOE, primarily from 336 horizontal well locations attributable to extensions resulting from strategic drilling of wells to delineate our acreage position and acquisitions of 3,990 MBOE, partially offset by the conversion of PUD reserves into proved developed reserves of 8,349 MBOE. Downward revisions of 10,468 MBOE were primarily attributable to PUD downgrades of 11,263 MBOE, which were partially offset by other positive revisions.</w:t>
      </w:r>
    </w:p>
    <w:p>
      <w:pPr>
        <w:spacing w:after="0" w:line="21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All of our PUD drilling locations are scheduled to be drilled within five years from the date they were initially recorded. As of December 31, 2021, none of our total proved reserves were classified as proved developed non-producing.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operate in the Permian Basin and the Eagle Ford Shale in Texas in one reportable segment engaged in the acquisition of oil and natural gas properties. At December 31, 2021, 2020 and 2019, the Permian Basin contained 15% or more of our total proved reserves. 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Permian Basin</w:t>
            </w: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52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19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13,672</w:t>
            </w:r>
          </w:p>
        </w:tc>
      </w:tr>
      <w:tr>
        <w:trPr>
          <w:trHeight w:val="228"/>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10,260</w:t>
            </w:r>
          </w:p>
        </w:tc>
      </w:tr>
      <w:tr>
        <w:trPr>
          <w:trHeight w:val="215"/>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11,486</w:t>
            </w:r>
          </w:p>
        </w:tc>
      </w:tr>
      <w:tr>
        <w:trPr>
          <w:trHeight w:val="228"/>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9,718</w:t>
            </w:r>
          </w:p>
        </w:tc>
      </w:tr>
      <w:tr>
        <w:trPr>
          <w:trHeight w:val="255"/>
        </w:trPr>
        <w:tc>
          <w:tcPr>
            <w:tcW w:w="64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228"/>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7"/>
        </w:trPr>
        <w:tc>
          <w:tcPr>
            <w:tcW w:w="648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7,858</w:t>
            </w:r>
          </w:p>
        </w:tc>
      </w:tr>
    </w:tbl>
    <w:p>
      <w:pPr>
        <w:spacing w:after="0" w:line="147"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data for the year ended December 31, 2021, 2020 and 2019 includes the Eagle Ford Shale.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20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Prices: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7"/>
        </w:trPr>
        <w:tc>
          <w:tcPr>
            <w:tcW w:w="6400" w:type="dxa"/>
            <w:vAlign w:val="bottom"/>
          </w:tcPr>
          <w:p>
            <w:pPr>
              <w:ind w:left="340"/>
              <w:spacing w:after="0"/>
              <w:rPr>
                <w:sz w:val="20"/>
                <w:szCs w:val="20"/>
                <w:color w:val="auto"/>
              </w:rPr>
            </w:pPr>
            <w:r>
              <w:rPr>
                <w:rFonts w:ascii="Arial" w:cs="Arial" w:eastAsia="Arial" w:hAnsi="Arial"/>
                <w:sz w:val="18"/>
                <w:szCs w:val="18"/>
                <w:color w:val="auto"/>
              </w:rPr>
              <w:t>Oil (per Bbl)</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(per Mcf)</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7"/>
        </w:trPr>
        <w:tc>
          <w:tcPr>
            <w:tcW w:w="6400" w:type="dxa"/>
            <w:vAlign w:val="bottom"/>
          </w:tcPr>
          <w:p>
            <w:pPr>
              <w:ind w:left="340"/>
              <w:spacing w:after="0"/>
              <w:rPr>
                <w:sz w:val="20"/>
                <w:szCs w:val="20"/>
                <w:color w:val="auto"/>
              </w:rPr>
            </w:pPr>
            <w:r>
              <w:rPr>
                <w:rFonts w:ascii="Arial" w:cs="Arial" w:eastAsia="Arial" w:hAnsi="Arial"/>
                <w:sz w:val="18"/>
                <w:szCs w:val="18"/>
                <w:color w:val="auto"/>
              </w:rPr>
              <w:t>Natural gas liquids (per Bbl)</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Combined (per BOE)</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14"/>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r>
      <w:tr>
        <w:trPr>
          <w:trHeight w:val="228"/>
        </w:trPr>
        <w:tc>
          <w:tcPr>
            <w:tcW w:w="6400" w:type="dxa"/>
            <w:vAlign w:val="bottom"/>
          </w:tcPr>
          <w:p>
            <w:pPr>
              <w:ind w:left="340"/>
              <w:spacing w:after="0" w:line="228"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(1)</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302"/>
        </w:trPr>
        <w:tc>
          <w:tcPr>
            <w:tcW w:w="6400" w:type="dxa"/>
            <w:vAlign w:val="bottom"/>
          </w:tcPr>
          <w:p>
            <w:pPr>
              <w:ind w:left="340"/>
              <w:spacing w:after="0"/>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(1)</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4"/>
                <w:szCs w:val="24"/>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37.39</w:t>
            </w:r>
          </w:p>
        </w:tc>
      </w:tr>
    </w:tbl>
    <w:p>
      <w:pPr>
        <w:spacing w:after="0" w:line="72" w:lineRule="exact"/>
        <w:rPr>
          <w:sz w:val="20"/>
          <w:szCs w:val="20"/>
          <w:color w:val="auto"/>
        </w:rPr>
      </w:pPr>
    </w:p>
    <w:p>
      <w:pPr>
        <w:ind w:right="20" w:firstLine="7"/>
        <w:spacing w:after="0" w:line="271"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matured commodity derivatives, which we do not designate for hedge accounting.</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7"/>
          <w:szCs w:val="17"/>
          <w:color w:val="auto"/>
        </w:rPr>
        <w:t>As of December 31, 2021, we owned an average 3.3% net revenue interest in 9,095 gross productive wells, including an average 3.4% net revenue interest in 8,781 gross oil productive wells and an average 1.7% net revenue interest in 314 gross natural gas productive wells. As of December 31, 2021, we had 18 gross wells with an average 4.8% net revenue interest in process of being drilled by Diamondback. The expected timing of these wells is based primarily on permitting by third 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Acreage</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as of December 31, 2021 relating to the gross and net royalty acreage of our mineral interests: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Basin</w:t>
            </w:r>
          </w:p>
        </w:tc>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 Royalty Acreage</w:t>
            </w:r>
          </w:p>
        </w:tc>
        <w:tc>
          <w:tcPr>
            <w:tcW w:w="1760" w:type="dxa"/>
            <w:vAlign w:val="bottom"/>
          </w:tcPr>
          <w:p>
            <w:pPr>
              <w:jc w:val="right"/>
              <w:ind w:right="174"/>
              <w:spacing w:after="0"/>
              <w:rPr>
                <w:sz w:val="20"/>
                <w:szCs w:val="20"/>
                <w:color w:val="auto"/>
              </w:rPr>
            </w:pPr>
            <w:r>
              <w:rPr>
                <w:rFonts w:ascii="Arial" w:cs="Arial" w:eastAsia="Arial" w:hAnsi="Arial"/>
                <w:sz w:val="14"/>
                <w:szCs w:val="14"/>
                <w:b w:val="1"/>
                <w:bCs w:val="1"/>
                <w:color w:val="auto"/>
              </w:rPr>
              <w:t>Net Royalty Acreage</w:t>
            </w:r>
          </w:p>
        </w:tc>
      </w:tr>
      <w:tr>
        <w:trPr>
          <w:trHeight w:val="22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497,473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r>
      <w:tr>
        <w:trPr>
          <w:trHeight w:val="227"/>
        </w:trPr>
        <w:tc>
          <w:tcPr>
            <w:tcW w:w="7520" w:type="dxa"/>
            <w:vAlign w:val="bottom"/>
          </w:tcPr>
          <w:p>
            <w:pPr>
              <w:ind w:left="20"/>
              <w:spacing w:after="0"/>
              <w:rPr>
                <w:sz w:val="20"/>
                <w:szCs w:val="20"/>
                <w:color w:val="auto"/>
              </w:rPr>
            </w:pPr>
            <w:r>
              <w:rPr>
                <w:rFonts w:ascii="Arial" w:cs="Arial" w:eastAsia="Arial" w:hAnsi="Arial"/>
                <w:sz w:val="18"/>
                <w:szCs w:val="18"/>
                <w:color w:val="auto"/>
              </w:rPr>
              <w:t>Midland</w:t>
            </w:r>
          </w:p>
        </w:tc>
        <w:tc>
          <w:tcPr>
            <w:tcW w:w="1840" w:type="dxa"/>
            <w:vAlign w:val="bottom"/>
          </w:tcPr>
          <w:p>
            <w:pPr>
              <w:jc w:val="right"/>
              <w:spacing w:after="0"/>
              <w:rPr>
                <w:sz w:val="20"/>
                <w:szCs w:val="20"/>
                <w:color w:val="auto"/>
              </w:rPr>
            </w:pPr>
            <w:r>
              <w:rPr>
                <w:rFonts w:ascii="Arial" w:cs="Arial" w:eastAsia="Arial" w:hAnsi="Arial"/>
                <w:sz w:val="18"/>
                <w:szCs w:val="18"/>
                <w:color w:val="auto"/>
              </w:rPr>
              <w:t>309,977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11,338</w:t>
            </w:r>
          </w:p>
        </w:tc>
      </w:tr>
      <w:tr>
        <w:trPr>
          <w:trHeight w:val="228"/>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Eagle Ford Shale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1"/>
        </w:trPr>
        <w:tc>
          <w:tcPr>
            <w:tcW w:w="7520" w:type="dxa"/>
            <w:vAlign w:val="bottom"/>
          </w:tcPr>
          <w:p>
            <w:pPr>
              <w:ind w:left="220"/>
              <w:spacing w:after="0"/>
              <w:rPr>
                <w:sz w:val="20"/>
                <w:szCs w:val="20"/>
                <w:color w:val="auto"/>
              </w:rPr>
            </w:pPr>
            <w:r>
              <w:rPr>
                <w:rFonts w:ascii="Arial" w:cs="Arial" w:eastAsia="Arial" w:hAnsi="Arial"/>
                <w:sz w:val="18"/>
                <w:szCs w:val="18"/>
                <w:color w:val="auto"/>
              </w:rPr>
              <w:t>Total acreage</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930,871</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27,027</w:t>
            </w:r>
          </w:p>
        </w:tc>
      </w:tr>
      <w:tr>
        <w:trPr>
          <w:trHeight w:val="20"/>
        </w:trPr>
        <w:tc>
          <w:tcPr>
            <w:tcW w:w="75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Our net interest in production from our mineral interests is based on lease royalty terms which vary from property to property. Our interest in the majority of these properties is perpetual in nature, however an insignificant portion of our net royalty acreage consists of over-riding royalty interests which may be subject to expiration. Net royalty acres are defined as net mineral acres multiplied by the average lease royalty interest and other burdens.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25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Prior to the drilling of an oil or natural gas well,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and cash available for distribution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w:t>
      </w:r>
    </w:p>
    <w:p>
      <w:pPr>
        <w:spacing w:after="0" w:line="219"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2" w:lineRule="exact"/>
        <w:rPr>
          <w:sz w:val="20"/>
          <w:szCs w:val="20"/>
          <w:color w:val="auto"/>
        </w:rPr>
      </w:pPr>
    </w:p>
    <w:p>
      <w:pPr>
        <w:jc w:val="both"/>
        <w:ind w:firstLine="643"/>
        <w:spacing w:after="0" w:line="273" w:lineRule="auto"/>
        <w:rPr>
          <w:sz w:val="20"/>
          <w:szCs w:val="20"/>
          <w:color w:val="auto"/>
        </w:rPr>
      </w:pPr>
      <w:r>
        <w:rPr>
          <w:rFonts w:ascii="Arial" w:cs="Arial" w:eastAsia="Arial" w:hAnsi="Arial"/>
          <w:sz w:val="16"/>
          <w:szCs w:val="16"/>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such as the severe winter storms in the Permian Basin in early 2021,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Partners LP to the extent the partnership were to acquire working interests in the future as well as to any operators of our properties, including our current operators.</w:t>
      </w:r>
    </w:p>
    <w:p>
      <w:pPr>
        <w:spacing w:after="0" w:line="137"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8"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business and prospects.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Waste Handling</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194" w:lineRule="exact"/>
        <w:rPr>
          <w:sz w:val="20"/>
          <w:szCs w:val="20"/>
          <w:color w:val="auto"/>
        </w:rPr>
      </w:pPr>
    </w:p>
    <w:p>
      <w:pPr>
        <w:jc w:val="both"/>
        <w:ind w:firstLine="643"/>
        <w:spacing w:after="0" w:line="301" w:lineRule="auto"/>
        <w:rPr>
          <w:sz w:val="20"/>
          <w:szCs w:val="20"/>
          <w:color w:val="auto"/>
        </w:rPr>
      </w:pPr>
      <w:r>
        <w:rPr>
          <w:rFonts w:ascii="Arial" w:cs="Arial" w:eastAsia="Arial" w:hAnsi="Arial"/>
          <w:sz w:val="17"/>
          <w:szCs w:val="17"/>
          <w:color w:val="auto"/>
        </w:rPr>
        <w:t>Administrative, civil and criminal penalties can be imposed for failure to comply with waste handling requirements. Any legislative or regulatory reclassification of oil and natural gas exploration and production wastes could increase the costs to manage and dispose of wastes.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Remediation of Hazardous Substances</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Water Discharges</w:t>
      </w:r>
    </w:p>
    <w:p>
      <w:pPr>
        <w:spacing w:after="0" w:line="248"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scope of waters regulated under the CWA has fluctuated in recent years. On June 29, 2015, the EPA and the U.S. Army Corps of Engineers, or the Corps, jointly promulgated final rules redefining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December 7, 2021, the EPA and the Corps published a proposed rule that would put back into place the pre-2015 definition of “waters of the United States,” updated to reflect Supreme Court decisions, while the agencies continue to consult with stakeholders on future regulatory actions. As a result of such recent developments, substantial uncertainty exists regarding the scope of waters protected under the CWA. To the extent the rules expand the range of properties subject to the CWA’s jurisdiction, we could face increased costs and delays with respect to obtaining permits for dredge and fill activities in wetland areas.</w:t>
      </w:r>
    </w:p>
    <w:p>
      <w:pPr>
        <w:spacing w:after="0" w:line="19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9"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Non-compliance with the CWA or the OPA may result in substantial administrative, civil and criminal penalties, as well as injunctive obligations.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Air Emissions</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Climate Change</w:t>
      </w:r>
    </w:p>
    <w:p>
      <w:pPr>
        <w:spacing w:after="0" w:line="24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Furthermore, many state and local leaders have stated their intent to intensify efforts to support the international climate commitments.</w:t>
      </w:r>
    </w:p>
    <w:p>
      <w:pPr>
        <w:spacing w:after="0" w:line="19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15"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and insurance underwriters to limit coverages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9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the severe winter storms in the Permian Basin in February 2021,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48"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6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6"/>
          <w:szCs w:val="16"/>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November 15, 2021, the EPA published a proposed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200"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81"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16"/>
          <w:szCs w:val="16"/>
          <w:color w:val="auto"/>
        </w:rPr>
        <w:t>Several states, including Texas,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and, in September 2021, the Texas Railroad Commission curtailed the amount of water companies were permitted to inject into some wells near Midland and Odessa in the Permian Basin, and has since indefinitely suspended some permits there and expanded the restrictions to other areas. These restrictions on the disposal of produced water and moratorium on new produced water wells could result in increased operating costs, forcing our operators 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spacing w:after="0" w:line="21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4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 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0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Drilling and Production</w:t>
      </w:r>
    </w:p>
    <w:p>
      <w:pPr>
        <w:spacing w:after="0" w:line="248"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operations of our operators are subject to various types of regulation at the federal, state and local level. These types of regulation include requiring permits for the drilling of wells, drilling bonds and reports concerning operations. The states, and some counties and municipalities, in which our operators conduct business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189"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we can drill. Moreover, each state generally imposes a production or severance tax with respect to the production and sale of oil, natural gas and natural gas liquids within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its jurisdiction. States do not regulate wellhead prices or engage in other similar direct regulation, but we cannot assure our unitholders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11" w:lineRule="exact"/>
        <w:rPr>
          <w:sz w:val="20"/>
          <w:szCs w:val="20"/>
          <w:color w:val="auto"/>
        </w:rPr>
      </w:pPr>
    </w:p>
    <w:p>
      <w:pPr>
        <w:jc w:val="both"/>
        <w:ind w:right="20" w:firstLine="643"/>
        <w:spacing w:after="0" w:line="260"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Although the Corps does not require bonds or other financial assurances, some state agencies and municipalities do have such requirements.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Natural Gas Sales and Transportation</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Historically, federal legislation and regulatory controls have affected the price and marketing of natural gas.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spacing w:after="0" w:line="204"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our operators produce, as well as the revenues our operators receive for sales of natural gas and release of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 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 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operators’ costs of transporting gas to point-of-sale locations.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Oil Sales and Transportation</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Sales of crude oil, condensate and natural gas liquids are not currently regulated and are made at negotiated prices. Nevertheless, the U.S. Congress could reenact price controls in the future.</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3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 Regulation</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our unitholders that they will not do so in the future. The effect of these regulations may be to limit the amount of oil and natural gas that may be produced from our wells and to limit the number of wells or locations our operators can drill.</w:t>
      </w:r>
    </w:p>
    <w:p>
      <w:pPr>
        <w:spacing w:after="0" w:line="207"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do not have any employees. We are managed and operated by the board of directors and executive officers of our General Partner. All of the individuals that conduct our business, including our executive officers, are employed by Diamondback.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principal executive offices are located in Midland, Texas and are owned by Diamondback. We believe that these facilities are adequate for our current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are available free of charge on the Investor Relations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firstLine="643"/>
        <w:spacing w:after="0" w:line="254"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w:t>
      </w:r>
      <w:hyperlink w:anchor="page37">
        <w:r>
          <w:rPr>
            <w:rFonts w:ascii="Arial" w:cs="Arial" w:eastAsia="Arial" w:hAnsi="Arial"/>
            <w:sz w:val="17"/>
            <w:szCs w:val="17"/>
            <w:i w:val="1"/>
            <w:iCs w:val="1"/>
            <w:color w:val="auto"/>
          </w:rPr>
          <w:t>Other risks are also described in “</w:t>
        </w:r>
        <w:r>
          <w:rPr>
            <w:rFonts w:ascii="Arial" w:cs="Arial" w:eastAsia="Arial" w:hAnsi="Arial"/>
            <w:sz w:val="17"/>
            <w:szCs w:val="17"/>
            <w:i w:val="1"/>
            <w:iCs w:val="1"/>
            <w:u w:val="single" w:color="auto"/>
            <w:color w:val="0000FF"/>
          </w:rPr>
          <w:t>Items 1 and 2. Business and Properties</w:t>
        </w:r>
        <w:r>
          <w:rPr>
            <w:rFonts w:ascii="Arial" w:cs="Arial" w:eastAsia="Arial" w:hAnsi="Arial"/>
            <w:sz w:val="17"/>
            <w:szCs w:val="17"/>
            <w:i w:val="1"/>
            <w:iCs w:val="1"/>
            <w:color w:val="auto"/>
          </w:rPr>
          <w:t>,” “</w:t>
        </w:r>
        <w:r>
          <w:rPr>
            <w:rFonts w:ascii="Arial" w:cs="Arial" w:eastAsia="Arial" w:hAnsi="Arial"/>
            <w:sz w:val="17"/>
            <w:szCs w:val="17"/>
            <w:i w:val="1"/>
            <w:iCs w:val="1"/>
            <w:u w:val="single" w:color="auto"/>
            <w:color w:val="0000FF"/>
          </w:rPr>
          <w:t>Item 7. Management’s Discussion and Analysis of Financial Condition and</w:t>
        </w:r>
      </w:hyperlink>
      <w:r>
        <w:rPr>
          <w:rFonts w:ascii="Arial" w:cs="Arial" w:eastAsia="Arial" w:hAnsi="Arial"/>
          <w:sz w:val="17"/>
          <w:szCs w:val="17"/>
          <w:i w:val="1"/>
          <w:iCs w:val="1"/>
          <w:color w:val="auto"/>
        </w:rPr>
        <w:t xml:space="preserve"> </w:t>
      </w:r>
      <w:hyperlink w:anchor="page37">
        <w:r>
          <w:rPr>
            <w:rFonts w:ascii="Arial" w:cs="Arial" w:eastAsia="Arial" w:hAnsi="Arial"/>
            <w:sz w:val="17"/>
            <w:szCs w:val="17"/>
            <w:i w:val="1"/>
            <w:iCs w:val="1"/>
            <w:u w:val="single" w:color="auto"/>
            <w:color w:val="0000FF"/>
          </w:rPr>
          <w:t>Results of Operations</w:t>
        </w:r>
        <w:r>
          <w:rPr>
            <w:rFonts w:ascii="Arial" w:cs="Arial" w:eastAsia="Arial" w:hAnsi="Arial"/>
            <w:sz w:val="17"/>
            <w:szCs w:val="17"/>
            <w:i w:val="1"/>
            <w:iCs w:val="1"/>
            <w:color w:val="000000"/>
          </w:rPr>
          <w:t>” and “</w:t>
        </w:r>
      </w:hyperlink>
      <w:hyperlink w:anchor="page49">
        <w:r>
          <w:rPr>
            <w:rFonts w:ascii="Arial" w:cs="Arial" w:eastAsia="Arial" w:hAnsi="Arial"/>
            <w:sz w:val="17"/>
            <w:szCs w:val="17"/>
            <w:i w:val="1"/>
            <w:iCs w:val="1"/>
            <w:u w:val="single" w:color="auto"/>
            <w:color w:val="0000FF"/>
          </w:rPr>
          <w:t>Item 7A. Quantitative and Qualitative Disclosures About Market Risk</w:t>
        </w:r>
      </w:hyperlink>
      <w:hyperlink w:anchor="page37">
        <w:r>
          <w:rPr>
            <w:rFonts w:ascii="Arial" w:cs="Arial" w:eastAsia="Arial" w:hAnsi="Arial"/>
            <w:sz w:val="17"/>
            <w:szCs w:val="17"/>
            <w:i w:val="1"/>
            <w:iCs w:val="1"/>
            <w:color w:val="000000"/>
          </w:rPr>
          <w:t>.”</w:t>
        </w:r>
      </w:hyperlink>
    </w:p>
    <w:p>
      <w:pPr>
        <w:spacing w:after="0" w:line="201" w:lineRule="exact"/>
        <w:rPr>
          <w:rFonts w:ascii="Arial" w:cs="Arial" w:eastAsia="Arial" w:hAnsi="Arial"/>
          <w:sz w:val="17"/>
          <w:szCs w:val="17"/>
          <w:i w:val="1"/>
          <w:iCs w:val="1"/>
          <w:color w:val="0000FF"/>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rFonts w:ascii="Arial" w:cs="Arial" w:eastAsia="Arial" w:hAnsi="Arial"/>
          <w:sz w:val="17"/>
          <w:szCs w:val="17"/>
          <w:i w:val="1"/>
          <w:iCs w:val="1"/>
          <w:color w:val="0000FF"/>
        </w:rPr>
      </w:pPr>
    </w:p>
    <w:p>
      <w:pPr>
        <w:spacing w:after="0"/>
        <w:rPr>
          <w:sz w:val="20"/>
          <w:szCs w:val="20"/>
          <w:color w:val="auto"/>
        </w:rPr>
      </w:pPr>
      <w:r>
        <w:rPr>
          <w:rFonts w:ascii="Arial" w:cs="Arial" w:eastAsia="Arial" w:hAnsi="Arial"/>
          <w:sz w:val="15"/>
          <w:szCs w:val="15"/>
          <w:b w:val="1"/>
          <w:bCs w:val="1"/>
          <w:i w:val="1"/>
          <w:iCs w:val="1"/>
          <w:color w:val="auto"/>
        </w:rPr>
        <w:t>Our business has been and could continue to be adversely affected by the ongoing COVID-19 pandemic and volatility in the oil and natural gas markets.</w:t>
      </w:r>
    </w:p>
    <w:p>
      <w:pPr>
        <w:spacing w:after="0" w:line="283" w:lineRule="exact"/>
        <w:rPr>
          <w:rFonts w:ascii="Arial" w:cs="Arial" w:eastAsia="Arial" w:hAnsi="Arial"/>
          <w:sz w:val="17"/>
          <w:szCs w:val="17"/>
          <w:i w:val="1"/>
          <w:iCs w:val="1"/>
          <w:color w:val="0000FF"/>
        </w:rPr>
      </w:pPr>
    </w:p>
    <w:p>
      <w:pPr>
        <w:jc w:val="both"/>
        <w:ind w:firstLine="643"/>
        <w:spacing w:after="0" w:line="268" w:lineRule="auto"/>
        <w:rPr>
          <w:sz w:val="20"/>
          <w:szCs w:val="20"/>
          <w:color w:val="auto"/>
        </w:rPr>
      </w:pPr>
      <w:r>
        <w:rPr>
          <w:rFonts w:ascii="Arial" w:cs="Arial" w:eastAsia="Arial" w:hAnsi="Arial"/>
          <w:sz w:val="17"/>
          <w:szCs w:val="17"/>
          <w:color w:val="auto"/>
        </w:rPr>
        <w:t>After turning negative in April 2020, NYMEX WTI prices have recovered, closing at $85.43 per bbl as of January 18, 2022, as demand for oil and natural gas increased and many restrictions on conducting business implemented in response to the COVID-19 pandemic have been lifted due to improved treatments and availability of vaccinations in the U.S. and globally. The emergence of the Delta COVID-19 variant in the latter part of 2021 and the subsequent surge of the highly transmissible Omicron variant, however, continued to contribute to economic and pricing volatility, as industry and market participants evaluated industry conditions and production outlook. Further, on January 4, 2022, OPEC and its non-OPEC allies, known collectively as OPEC+, agreed to continue their program (commenced in August 2021) of gradual monthly output increases in February 2022, raising its output target by 400,000 Bbl per day, which move is expected to further boost oil supply in response to rising demand. In its report issued on February 10, 2022, OPEC noted its expectation that world oil demand will rise by 4.15</w:t>
      </w:r>
    </w:p>
    <w:p>
      <w:pPr>
        <w:spacing w:after="0" w:line="200" w:lineRule="exact"/>
        <w:rPr>
          <w:rFonts w:ascii="Arial" w:cs="Arial" w:eastAsia="Arial" w:hAnsi="Arial"/>
          <w:sz w:val="17"/>
          <w:szCs w:val="17"/>
          <w:i w:val="1"/>
          <w:iCs w:val="1"/>
          <w:color w:val="0000FF"/>
        </w:rPr>
      </w:pPr>
    </w:p>
    <w:p>
      <w:pPr>
        <w:spacing w:after="0" w:line="317" w:lineRule="exact"/>
        <w:rPr>
          <w:rFonts w:ascii="Arial" w:cs="Arial" w:eastAsia="Arial" w:hAnsi="Arial"/>
          <w:sz w:val="17"/>
          <w:szCs w:val="17"/>
          <w:i w:val="1"/>
          <w:iCs w:val="1"/>
          <w:color w:val="0000FF"/>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i w:val="1"/>
          <w:iCs w:val="1"/>
          <w:color w:val="0000FF"/>
        </w:rPr>
      </w:pPr>
      <w:r>
        <w:rPr>
          <w:rFonts w:ascii="Arial" w:cs="Arial" w:eastAsia="Arial" w:hAnsi="Arial"/>
          <w:sz w:val="17"/>
          <w:szCs w:val="17"/>
          <w:i w:val="1"/>
          <w:iCs w:val="1"/>
          <w:color w:val="0000FF"/>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million Bbls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211"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8"/>
          <w:szCs w:val="18"/>
          <w:color w:val="auto"/>
        </w:rPr>
        <w:t>Despite the recovery in commodity prices and rising demand, Diamondback and certain of our other operators have kept production on our acreage relatively flat during 2021, using excess cash flow for debt repayment and/or return to their stockholders rather than expanding their drilling programs. Diamondback also indicated that it intends to continue exercising capital discipline and maintaining its fourth quarter 2021 oil production flat in 2022. We cannot reasonably predict whether production levels will remain at current levels or the impact the full extent of the events above and subsequent recovery may have on our industry and our business.</w:t>
      </w:r>
    </w:p>
    <w:p>
      <w:pPr>
        <w:spacing w:after="0" w:line="206" w:lineRule="exact"/>
        <w:rPr>
          <w:sz w:val="20"/>
          <w:szCs w:val="20"/>
          <w:color w:val="auto"/>
        </w:rPr>
      </w:pPr>
    </w:p>
    <w:p>
      <w:pPr>
        <w:jc w:val="both"/>
        <w:ind w:firstLine="643"/>
        <w:spacing w:after="0" w:line="263" w:lineRule="auto"/>
        <w:rPr>
          <w:sz w:val="20"/>
          <w:szCs w:val="20"/>
          <w:color w:val="auto"/>
        </w:rPr>
      </w:pPr>
      <w:r>
        <w:rPr>
          <w:rFonts w:ascii="Arial" w:cs="Arial" w:eastAsia="Arial" w:hAnsi="Arial"/>
          <w:sz w:val="16"/>
          <w:szCs w:val="16"/>
          <w:color w:val="auto"/>
        </w:rPr>
        <w:t>Due to the improvement in commodity pricing environment and industry conditions, we did not record any impairments in 2021. However, if commodity prices fall below current levels, we may be required to record impairments in future periods and such impairments could be material. Further, if commodity prices decrease, our production, proved reserves and cash flows will be adversely impacted. Lower oil and natural gas prices may also result in a reduction in the borrowing base under the Operating Company’s revolving credit facility, which may be determined at the discretion of our lenders.</w:t>
      </w:r>
    </w:p>
    <w:p>
      <w:pPr>
        <w:spacing w:after="0" w:line="184"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6"/>
          <w:szCs w:val="16"/>
          <w:color w:val="auto"/>
        </w:rPr>
        <w:t>Other significant factors that are likely to continue to affect commodity prices in future periods include, but are not limited to, actions by OPEC members and other oil exporting nations, the effect of U.S. energy, monetary and trade policies, U.S. and global economic conditions, U.S. and global political and economic developments, including the Biden Administration’s energy and environmental policies, the impact of the ongoing COVID-19 pandemic on conditions in the U.S. oil and natural gas industry and the potential impact of any Russian-Ukrainian conflict on the global energy markets, all of which are beyond our control. Our business may be also adversely impacted by any future government rule, regulation or order that may impose production limits, as well as pipeline capacity and storage constraints, in the Permian Basin or Eagle Ford Shale where we have mineral and royalty interests. We cannot predict the ultimate impact of these factors on our business, financial condition and cash available for distribution to our unitholders.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ongoing COVID-19 pandemic continues to present operational, health, labor, logistics and other challenges, and it is difficult to assess the ultimate impact of the COVID-19 pandemic on our business, financial condition and cash flows.</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There are many variables and uncertainties regarding the COVID-19 pandemic, including the emergence, contagiousness and threat of new and different strains of the virus and their severity; the effectiveness of treatments or vaccines against the virus or its new strains; the extent of travel restrictions, business closures and other measures that are or may be imposed in affected areas or countries by governmental authorities; disruptions in the supply chain; an increasingly competitive labor market due to a sustained labor shortage or increased turnover caused by the COVID-19 pandemic; increased logistics costs; additional costs due to remote working arrangements, adherence to social distancing guidelines and other COVID-19-related challenges. Further, there remain increased risks of cyberattacks on information technology systems used in remote working environment; increased privacy-related risks due to processing health-related personal information; absence of workforce due to illness; the impact of the pandemic on any of our contractual counterparties; and other factors that are currently unknown or considered immaterial. It is difficult to assess the ultimate impact of the COVID-19 pandemic on our business, financial condition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48"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We may not have sufficient available cash to pay any quarterly distribution on our common units, our cash available for distribution may vary significantly from quarter to quarter and the board of directors of our General Partner has recently modified, and may in the future further modify or revoke, our cash distribution policy at any time at its discretion. Our distribution policy could limit our ability to grow and make acquisitions.</w:t>
      </w:r>
    </w:p>
    <w:p>
      <w:pPr>
        <w:spacing w:after="0" w:line="178"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We may not have sufficient available cash each quarter to enable us to pay any distributions to our common unitholders. Furthermore, our partnership agreement does not require us to pay distributions on a quarterly basis or otherwise. The amount of cash we have to distribute each quarter principally depends primarily upon the amount of royalty income we generate, which are dependent upon the volumes of production sold and the prices that our operators realize from the sale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53" w:lineRule="auto"/>
        <w:rPr>
          <w:rFonts w:ascii="Arial" w:cs="Arial" w:eastAsia="Arial" w:hAnsi="Arial"/>
          <w:sz w:val="17"/>
          <w:szCs w:val="17"/>
          <w:color w:val="auto"/>
        </w:rPr>
      </w:pPr>
      <w:r>
        <w:rPr>
          <w:rFonts w:ascii="Arial" w:cs="Arial" w:eastAsia="Arial" w:hAnsi="Arial"/>
          <w:sz w:val="17"/>
          <w:szCs w:val="17"/>
          <w:color w:val="auto"/>
        </w:rPr>
        <w:t>such production. In addition, the actual amount of cash we will have to distribute each quarter under our cash distribution policy will be reduced by replacement capital expenditures, payments in respect of debt service and other contractual obligations and fixed charges and increases in reserves for future operating or capital needs that the board of directors may determine is appropriate. During 2020, our General Partner made certain modifications to our distribution policy that reduced the distribution amount and made additional modifications in 2021 to increase the distribution amount. Our General Partner may further modify or revoke our distribution policy at any time in the future at its discretion. For information regarding our distribution policy and the recent modifications, see “</w:t>
      </w:r>
      <w:hyperlink w:anchor="page37">
        <w:r>
          <w:rPr>
            <w:rFonts w:ascii="Arial" w:cs="Arial" w:eastAsia="Arial" w:hAnsi="Arial"/>
            <w:sz w:val="17"/>
            <w:szCs w:val="17"/>
            <w:u w:val="single" w:color="auto"/>
            <w:color w:val="0000FF"/>
          </w:rPr>
          <w:t>Item 7. Management’s Discussion and Analysis of Financial Condition and Results of Operations.</w:t>
        </w:r>
      </w:hyperlink>
      <w:r>
        <w:rPr>
          <w:rFonts w:ascii="Arial" w:cs="Arial" w:eastAsia="Arial" w:hAnsi="Arial"/>
          <w:sz w:val="17"/>
          <w:szCs w:val="17"/>
          <w:color w:val="auto"/>
        </w:rPr>
        <w:t>” As a result, quarterly distributions paid to our unitholders may vary significantly from quarter to quarter and may be zero.</w:t>
      </w:r>
    </w:p>
    <w:p>
      <w:pPr>
        <w:spacing w:after="0" w:line="204"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As a result of our cash distribution policy, we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distribution policy will significantly impair our ability to grow.</w:t>
      </w:r>
    </w:p>
    <w:p>
      <w:pPr>
        <w:spacing w:after="0" w:line="216"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7"/>
          <w:szCs w:val="17"/>
          <w:color w:val="auto"/>
        </w:rPr>
        <w:t>To the extent we issue additional units in connection with any acquisitions or growth capital expenditures or as in-kind distributions,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derivative instruments to economically hedge exposure to changes in commodity price and, as a result, are exposed to credit risk and market risk.</w:t>
      </w:r>
    </w:p>
    <w:p>
      <w:pPr>
        <w:spacing w:after="0" w:line="283"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6"/>
          <w:szCs w:val="16"/>
          <w:color w:val="auto"/>
        </w:rPr>
        <w:t>We use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 By using derivative instruments to economically hedge exposure to changes in commodity prices, we expose ourselves to credit risk and market risk due to the failure of the counterparty to perform under the terms of the derivative contract. When the fair value of a derivative contract is positive, the counterparty owes us, which creates credit risk. Our counterparties have been determined to have an acceptable credit risk; therefore, we do not require collateral from our counterparties. By using derivative instruments, we also may not realize the benefit of any short-term increase in the price of oil and natural gas.</w:t>
      </w:r>
    </w:p>
    <w:p>
      <w:pPr>
        <w:spacing w:after="0" w:line="19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We depend on a small number of operators for a substantial portion of the development and production on the properties underlying our mineral interests.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spacing w:after="0" w:line="164"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6"/>
          <w:szCs w:val="16"/>
          <w:color w:val="auto"/>
        </w:rPr>
        <w:t>The failure of our operators to adequately or efficiently perform operations or an operator’s failure to act in ways that are in our best interests could reduce production and revenues.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spacing w:after="0" w:line="210"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operators may elect not to undertake development activities, or may undertake such activities in an unanticipated fashion, which may result in significant fluctuations in our royalty revenues and cash available for distribution to our unitholders.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by operators than we currently anticipate.</w:t>
      </w:r>
    </w:p>
    <w:p>
      <w:pPr>
        <w:spacing w:after="0" w:line="189" w:lineRule="exact"/>
        <w:rPr>
          <w:sz w:val="20"/>
          <w:szCs w:val="20"/>
          <w:color w:val="auto"/>
        </w:rPr>
      </w:pPr>
    </w:p>
    <w:p>
      <w:pPr>
        <w:jc w:val="both"/>
        <w:ind w:firstLine="643"/>
        <w:spacing w:after="0" w:line="236" w:lineRule="auto"/>
        <w:rPr>
          <w:sz w:val="20"/>
          <w:szCs w:val="20"/>
          <w:color w:val="auto"/>
        </w:rPr>
      </w:pPr>
      <w:r>
        <w:rPr>
          <w:rFonts w:ascii="Arial" w:cs="Arial" w:eastAsia="Arial" w:hAnsi="Arial"/>
          <w:sz w:val="17"/>
          <w:szCs w:val="17"/>
          <w:color w:val="auto"/>
        </w:rPr>
        <w:t>Approximately 29% of our total estimated proved reserves as of December 31, 2021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finding, developing or acquiring additional reserves.</w:t>
      </w:r>
    </w:p>
    <w:p>
      <w:pPr>
        <w:spacing w:after="0" w:line="248"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successful exploration or development activities are conducted on our properties or we acquire properties containing proved reserves, or both. To increase reserves and production, we would need to undertake development, exploration and other replacement activities or use third parties to accomplish these activities. Substantial capital expenditures will be necessary for the development, production, exploration and acquisition of oil and natural gas reserves. Neither we nor our third party operators may have sufficient resources to acquire additional reserves or to undertake exploration, development, production or other replacement activities, such activities may not result in significant additional reserves and efforts to drill productive wells at low finding and development costs may be unsuccessful. In addition, we do not expect to retain cash from our operations for replacement capital expenditures. Furthermore, although our revenues and cash available for distribution may increase if prevailing oil and natural gas prices increase significantly, finding costs for additional reserves could also increase.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A failure on the part of the operators to make royalty payments gives us the right to terminate the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217" w:lineRule="exact"/>
        <w:rPr>
          <w:sz w:val="20"/>
          <w:szCs w:val="20"/>
          <w:color w:val="auto"/>
        </w:rPr>
      </w:pPr>
    </w:p>
    <w:p>
      <w:pPr>
        <w:jc w:val="both"/>
        <w:spacing w:after="0" w:line="373" w:lineRule="auto"/>
        <w:rPr>
          <w:sz w:val="20"/>
          <w:szCs w:val="20"/>
          <w:color w:val="auto"/>
        </w:rPr>
      </w:pPr>
      <w:r>
        <w:rPr>
          <w:rFonts w:ascii="Arial" w:cs="Arial" w:eastAsia="Arial" w:hAnsi="Arial"/>
          <w:sz w:val="15"/>
          <w:szCs w:val="15"/>
          <w:b w:val="1"/>
          <w:bCs w:val="1"/>
          <w:i w:val="1"/>
          <w:iCs w:val="1"/>
          <w:color w:val="auto"/>
        </w:rPr>
        <w:t>Our producing properties are primarily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33"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6"/>
          <w:szCs w:val="16"/>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such as the severe winter storms in the Permian Basin in February 2021, and their adverse impact on production volumes, availability of electric power, road accessibility and transportation facilities.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addition to the geographic concentration of our producing properties described above, as of December 31, 2021, all of our proved reserves were attributable to the Midland and Delaware basins and the Eagle Ford Shale.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acquisitions of properties or businesses could slow our growth and adversely affect our results of operations and cash available for distribution.</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 Unless our operators further develop our existing properties, we will depend on acquisitions to grow our reserves, production and cash flow.</w:t>
      </w:r>
    </w:p>
    <w:p>
      <w:pPr>
        <w:spacing w:after="0" w:line="209"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21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No assurance can be given that we will be able to identify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results of operations and cash available for distribution. The inability to effectively manage the integration of acquisitions could reduce our focus on subsequent acquisitions and current operations, which, in turn, could negatively impact our growth, results of operations and cash available for distribution.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have an interest.</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When acquiring oil and natural gas leases, we may not elect to incur the expense of retaining lawyers to examine the title to the mineral interest. Rather, we may rely upon the judgment of oil and gas lease brokers or landmen who perform the fieldwork in examining records in the appropriate governmental office before attempting to acquire a lease in a specific mineral interest. The existence of a material title deficiency can render an interest worthless and can adversely affect our results of operations, financial condition and cash available for 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Project areas on our properties, which are in various stages of development, may not yield oil or natural gas in commercially viable quantities.</w:t>
      </w:r>
    </w:p>
    <w:p>
      <w:pPr>
        <w:spacing w:after="0" w:line="271"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distribution may be materially affected.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impairments in future periods.</w:t>
      </w:r>
    </w:p>
    <w:p>
      <w:pPr>
        <w:spacing w:after="0" w:line="24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Depletion of evaluated oil and natural gas properties is computed on the units of production method, whereby capitalized costs are amortized over total proved reserves.</w:t>
      </w:r>
    </w:p>
    <w:p>
      <w:pPr>
        <w:spacing w:after="0" w:line="217"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191" w:lineRule="exact"/>
        <w:rPr>
          <w:sz w:val="20"/>
          <w:szCs w:val="20"/>
          <w:color w:val="auto"/>
        </w:rPr>
      </w:pPr>
    </w:p>
    <w:p>
      <w:pPr>
        <w:jc w:val="both"/>
        <w:ind w:firstLine="643"/>
        <w:spacing w:after="0" w:line="226" w:lineRule="auto"/>
        <w:rPr>
          <w:rFonts w:ascii="Arial" w:cs="Arial" w:eastAsia="Arial" w:hAnsi="Arial"/>
          <w:sz w:val="18"/>
          <w:szCs w:val="18"/>
          <w:color w:val="0000FF"/>
        </w:rPr>
      </w:pPr>
      <w:r>
        <w:rPr>
          <w:rFonts w:ascii="Arial" w:cs="Arial" w:eastAsia="Arial" w:hAnsi="Arial"/>
          <w:sz w:val="18"/>
          <w:szCs w:val="18"/>
          <w:color w:val="auto"/>
        </w:rPr>
        <w:t xml:space="preserve">No impairments of proved oil and natural gas properties were recorded for the years ended December 31, 2021 and 2019. We recorded impairment </w:t>
      </w:r>
      <w:hyperlink w:anchor="page46">
        <w:r>
          <w:rPr>
            <w:rFonts w:ascii="Arial" w:cs="Arial" w:eastAsia="Arial" w:hAnsi="Arial"/>
            <w:sz w:val="18"/>
            <w:szCs w:val="18"/>
            <w:color w:val="auto"/>
          </w:rPr>
          <w:t>expense of $69.2 million for the year ended December 31, 2020. See “</w:t>
        </w:r>
        <w:r>
          <w:rPr>
            <w:rFonts w:ascii="Arial" w:cs="Arial" w:eastAsia="Arial" w:hAnsi="Arial"/>
            <w:sz w:val="18"/>
            <w:szCs w:val="18"/>
            <w:u w:val="single" w:color="auto"/>
            <w:color w:val="0000FF"/>
          </w:rPr>
          <w:t>Item 7. Management’s Discussion and Analysis of Financial Condition and Results of</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FF"/>
          </w:rPr>
          <w:t>Operations—Critical Accounting Estimates</w:t>
        </w:r>
        <w:r>
          <w:rPr>
            <w:rFonts w:ascii="Arial" w:cs="Arial" w:eastAsia="Arial" w:hAnsi="Arial"/>
            <w:sz w:val="18"/>
            <w:szCs w:val="18"/>
            <w:color w:val="000000"/>
          </w:rPr>
          <w:t>—Method of Accounting for Oil and Natural Gas Properties.” If the prices of oil and natural gas continue to</w:t>
        </w:r>
      </w:hyperlink>
      <w:r>
        <w:rPr>
          <w:rFonts w:ascii="Arial" w:cs="Arial" w:eastAsia="Arial" w:hAnsi="Arial"/>
          <w:sz w:val="18"/>
          <w:szCs w:val="18"/>
          <w:color w:val="0000FF"/>
        </w:rPr>
        <w:t xml:space="preserve"> </w:t>
      </w:r>
      <w:r>
        <w:rPr>
          <w:rFonts w:ascii="Arial" w:cs="Arial" w:eastAsia="Arial" w:hAnsi="Arial"/>
          <w:sz w:val="18"/>
          <w:szCs w:val="18"/>
          <w:color w:val="000000"/>
        </w:rPr>
        <w:t>decline, we may be required to further write-down the value of our oil and natural gas properties in the future, which could negatively affect our results of operations.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202"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for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could increase our operators’ costs and adversely impact our business, financial condition and cash flows.</w:t>
      </w:r>
    </w:p>
    <w:p>
      <w:pPr>
        <w:spacing w:after="0" w:line="258"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6"/>
          <w:szCs w:val="16"/>
          <w:color w:val="auto"/>
        </w:rPr>
        <w:t>President Biden has indicated that he is supportive of, and has issued executive orders promoting various programs and initiatives designed to, among other things, curtail climate change, control the release of methane from new and existing oil and natural gas operations, and decarbonize electric generation and the transportation sector. It remains unclear what additional actions President Biden will take and what support he will have for any potential legislative changes from Congress. Further, it is uncertain to what extent any new environmental laws or regulations, or any repeal of existing environmental laws or regulations, may affect our or our operators’ business. However, such actions could significantly increase our operators’ costs or impair their ability to explore and develop other projects, which could adversely impact our business,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dependent on electrical power, internet and telecommunication infrastructure and information and computer systems. If any of these systems are compromised or unavailable, our business could be adversely affected.</w:t>
      </w:r>
    </w:p>
    <w:p>
      <w:pPr>
        <w:spacing w:after="0" w:line="202"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We are dependent on electric power, internet and telecommunication infrastructure and our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6"/>
          <w:szCs w:val="16"/>
          <w:color w:val="auto"/>
        </w:rPr>
        <w:t>The oil and natural gas industry has become increasingly dependent on digital technologies to conduct certain exploration, development, production, and processing activities, including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energy assets might be specific targets of cyber security threats. Our and our operators’ technologies, systems, networks, and those of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activities. In addition, certain cyber incidents, such as surveillance, may remain undetected for an extended period. Our systems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business, financial condition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have in the past, and we expect in the future to incur borrowings under the Operating Company’s revolving credit facility. Unless we are able to repay borrowings under the revolving credit facility with cash flow from operations and proceeds from equity offerings, implementing our capital programs may require an increase in our total leverage through additional debt issuances. In addition, a reduction in availability under the revolving credit facility and the inability to otherwise obtain financing for our capital programs could require us to curtail our capital expenditures.</w:t>
      </w:r>
    </w:p>
    <w:p>
      <w:pPr>
        <w:spacing w:after="0" w:line="184"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As a result of our cash distribution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Restrictive covenants in the Operating Company’s revolving credit facility, the indenture governing the Notes and future debt instruments may limit our ability to respond to changes in market conditions or pursue business opportunities.</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Operating Company’s revolving credit facility and the indenture governing the Notes outstanding contain, and the terms of any future indebtedness may contain, restrictive covenants that limit our and the Operating Company’s ability to, among other things: incur or guarantee additional indebtedness; make certain investments; create additional liens; sell or transfer assets; lease property as a lessee; issue redeemable or preferred equity; voluntarily redeem or prepay debt (including the Notes); merge or consolidate with another entity; pay dividends or make distributions; designate certain of our subsidiaries as unrestricted subsidiaries; create unrestricted subsidiaries; engage in transactions with affiliates; enter into gas imbalance, take-or-pay and similar agreements; and enter into certain swap agreements.</w:t>
      </w:r>
    </w:p>
    <w:p>
      <w:pPr>
        <w:spacing w:after="0" w:line="2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and the Operating Company by the restrictive covenants contained in the revolving credit facility and the indenture that governs the Notes. In addition, the revolving credit facility requires us to maintain certain financial ratios and tests.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11"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Any significant reduction in the borrowing base under the Operating Company’s revolving credit facility as a result of the periodic borrowing base redeterminations or otherwise may negatively impact our ability to fund our operations, and we may not have sufficient funds to repay borrowings under the revolving credit facility if required as a result of a borrowing base redetermination.</w:t>
      </w:r>
    </w:p>
    <w:p>
      <w:pPr>
        <w:spacing w:after="0" w:line="211"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A decline in commodity prices could result in a redetermination that lowers the borrowing base. Any significant reduction in the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the revolving credit facility were to exceed the borrowing base as a result of any such redetermination, we and the Operating Company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202"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Operating Company’s revolving credit facility and the indenture governing the Notes outstanding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20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or the Operating Company’s borrowing costs.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borrowings under the Operating Company’s revolving credit facility expose us to interest rate risk.</w:t>
      </w:r>
    </w:p>
    <w:p>
      <w:pPr>
        <w:spacing w:after="0" w:line="248"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Our earnings are exposed to interest rate risk associated with borrowings under the Operating Company’s revolving credit facility which provides for interest on borrowings at a floating rate equal to, an alternative base rate tied to LIBOR. LIBOR tends to fluctuate based on multiple facts, including general short-term interest rates, rates set by the U.S. Federal Reserve, which indicated plans for multiple rate increases in 2022,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If interest rates increase, so will our interest costs, which may have a material adverse effect on our results of operations and financial condition.</w:t>
      </w:r>
    </w:p>
    <w:p>
      <w:pPr>
        <w:spacing w:after="0" w:line="193"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On July 27, 2017, the U.K. Financial Conduct Authority (the authority that regulates LIBOR), which we refer to as the FCA, announced that it intends to stop compelling banks to submit rates for the calculation of LIBOR after 2021. On March 5, 2021, the ICE Benchmark Administration, which administers LIBOR, and the FCA announced that all LIBOR settings will either cease to be provided by any administrator, or no longer be representative immediately after 2021, for all non-U.S. dollar LIBOR settings and one-week and two-month U.S. dollar LIBOR settings, and immediately after June 30, 2023 for the remaining U.S. dollar LIBOR settings. In light of these announcements, the future of LIBOR at this time is uncertain and any changes in the methods by which LIBOR is determined or regulatory activity related to LIBOR’s phase-out could cause LIBOR to perform differently than in the past or cease to exist. Our current credit agreement provides for any changes away from LIBOR to a successor rate to be based on prevailing or equivalent standards, however, changes in the method of calculating LIBOR, or the discontinuation, reform, or replacement of LIBOR or any other benchmark rates may adversely affect interest rates and result in higher borrowing costs. This could materially and adversely affect our results of operations, cash flow and liquidity.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unitholders.</w:t>
      </w:r>
    </w:p>
    <w:p>
      <w:pPr>
        <w:spacing w:after="0" w:line="211"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7"/>
          <w:szCs w:val="17"/>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beneficial to Diamondback. Therefore, conflicts of interest may arise between Diamondback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 Our General Partner is allowed to take into account the interests of parties other than us, such as Diamondback, in exercising certain rights under our partnership agreement. Neither our partnership agreement nor any other agreement requires Diamondback to pursue a business strategy that favors us. 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 Except in limited circumstances, our General Partner has the power and authority to conduct our business without unitholder approval. Our General Partner determines the amount and timing of asset purchases and sales, borrowings, issuances of additional partnership securities and the level of cash reserves, each of which can affect the amount of cash that is distributed to our unitholders. Our General Partner determines which costs incurred by it and its affiliates are reimbursable by us. Our partnership agreement does not restrict our General Partner from causing us to pay it or its affiliates for any services rendered to us or entering into additional contractual arrangements with its affiliates on our behalf. Our General Partner intends to limit its liability regarding our contractual and other obligations. Our General Partner may exercise its right to call and purchase common units if it and its affiliates own more than 80% of the common units. Our General Partner controls the enforcement of obligations that it and its affiliates owe to us. Our General Partner decides whether to retain separate counsel, accountants or others to perform services for us. In addition, Diamondback or its affiliates, may compete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Neither we nor our General Partner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11"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auto"/>
        </w:rPr>
        <w:t>Neither we nor our General Partner have any employees and we rely solely on Diamondback to operate our assets and perform other management, administrative and operating services for us and our General Partner. Diamondback provides similar activities with respect to its own assets and operations and those of certain of its affiliates. Because Diamondback provides services to us that are similar to those performed for itself and its affiliates, Diamondback may not have sufficient human, technical and other resources to provide those services at a level that Diamondback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unitholders may be reduced. Many key responsibilities within our business have been assigned to a small number of individuals. The loss of their services could adversely affect our business. In particular, the loss of the services of one or more members of the executive team of our General Partner, including the Chief Executive Officer, President and Chief Financial Officer of our General Partner, Travis D. Stice, Kaes Van’t Hof and Teresa L. Dick, respectively, could disrupt our business. Further, we do not maintain “key person” life insurance policies on any of our executive team or other key personnel. As a result, we are not insured against any losses resulting from the death of these key individuals.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our unitholders.</w:t>
      </w:r>
    </w:p>
    <w:p>
      <w:pPr>
        <w:spacing w:after="0" w:line="248"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 how to allocate business opportunities among us and its affiliates, whether to exercise its call right, how to exercise its voting rights with respect to the units it owns, whether to exercise its registration rights and whether or not to consent to any merger or consolidation of the partnership or any amendment to the partnership agreement.</w:t>
      </w:r>
    </w:p>
    <w:p>
      <w:pPr>
        <w:spacing w:after="0" w:line="223"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202"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 (i) 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 (ii) our General Partner and its executive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executive officers or directors engaged in bad faith, willful misconduct or fraud or, with respect to any criminal conduct, with knowledge that such conduct was unlawful; and (iii) our General Partner will not be in breach of its obligations under the partnership agreement or its duties to us or our limited partners if a transaction, even a transaction with an affiliate or the resolution of a conflict of interest, is (a) approved by the conflicts committee of the board of directors of our General Partner, although our General Partner is not obligated to seek such approval or (b) approved by the vote of a majority of the outstanding common units, excluding any common units owned by our General Partner and its affiliates.</w:t>
      </w:r>
    </w:p>
    <w:p>
      <w:pPr>
        <w:spacing w:after="0" w:line="19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unitholders or the conflicts committee then it will be presumed that, in making its decision, taking any action or failing to act, the board of directors of our General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Partner acted in good faith, and in any proceeding brought by or on behalf of any limited partner or the partnership, the person bringing or prosecuting such proceeding will have the burden of overcoming such presumption.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and other affiliates of our General Partner may compete with us.</w:t>
      </w:r>
    </w:p>
    <w:p>
      <w:pPr>
        <w:spacing w:after="0" w:line="24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partnership agreement provides that our General Partner is restricted from engaging in any business activities other than acting as our General Partner, engaging in activities incidental to its ownership interest in us and providing management, advisory and administrative services to its affiliates or to other persons. However, affiliates of our General Partner, including Diamondback, are not prohibited from engaging in other businesses or activities, including those that might be in direct competition with us. In addition, Diamondback may compete with us for investment opportunities and may own an interest in entities that compete with us. Further, Diamondback and its affiliates, may acquire, develop or dispose of additional oil and natural gas properties or other assets in the future, without any obligation to offer us the opportunity to purchase or develop any of those assets.</w:t>
      </w:r>
    </w:p>
    <w:p>
      <w:pPr>
        <w:spacing w:after="0" w:line="207"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Diamondback is an established participant in the oil and natural gas industry and has resources greater than ours, which factors may make it more difficult for us to compete with Diamondback with respect to commercial activities as well as for potential acquisitions. As a result, competition from Diamondback and its affiliates could adversely impact our results of operations and cash available for distribution to our common unitholders.</w:t>
      </w:r>
    </w:p>
    <w:p>
      <w:pPr>
        <w:spacing w:after="0" w:line="19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Diamondback.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Holders of our units have limited voting rights and are not entitled to elect our General Partner or its directors, which could reduce the price at which our common units will trade.</w:t>
      </w:r>
    </w:p>
    <w:p>
      <w:pPr>
        <w:spacing w:after="0" w:line="20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Unlike the holders of common stock in a corporation, unitholders have only limited voting rights on matters affecting our business and, therefore, limited ability to influence management’s decisions regarding our business.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unitholders. Unlike publicly traded corporations, we do not conduct annual meetings of our unitholders to elect directors or conduct other matters routinely conducted at annual meetings of stockholders of corporations. As a result of these limitations, the price at which the common units will trade could be diminished because of the absence or reduction of a takeover premium in the trading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units are dissatisfied, they cannot initially remove our General Partner without its consent.</w:t>
      </w:r>
    </w:p>
    <w:p>
      <w:pPr>
        <w:spacing w:after="0" w:line="248" w:lineRule="exact"/>
        <w:rPr>
          <w:sz w:val="20"/>
          <w:szCs w:val="20"/>
          <w:color w:val="auto"/>
        </w:rPr>
      </w:pPr>
    </w:p>
    <w:p>
      <w:pPr>
        <w:jc w:val="both"/>
        <w:ind w:firstLine="643"/>
        <w:spacing w:after="0" w:line="305" w:lineRule="auto"/>
        <w:rPr>
          <w:sz w:val="20"/>
          <w:szCs w:val="20"/>
          <w:color w:val="auto"/>
        </w:rPr>
      </w:pPr>
      <w:r>
        <w:rPr>
          <w:rFonts w:ascii="Arial" w:cs="Arial" w:eastAsia="Arial" w:hAnsi="Arial"/>
          <w:sz w:val="16"/>
          <w:szCs w:val="16"/>
          <w:color w:val="auto"/>
        </w:rPr>
        <w:t xml:space="preserve">If our unitholders are dissatisfied with the performance of our General Partner, they have limited ability to remove our General Partner. Unitholders will be unable to remove our General Partner without its consent because affiliates of our General Partner own sufficient units to be able to prevent its removal. The vote of the holders of at least 66 </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all outstanding units, voting as a single class, is required to remove our General Partner.</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units (other than our General Partner and its affiliates and permitted transferees).</w:t>
      </w:r>
    </w:p>
    <w:p>
      <w:pPr>
        <w:spacing w:after="0" w:line="20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may not vote on any matter. Our partnership agreement also contains provisions limiting the ability of unitholders to call meetings or to acquire information about our operations, as well as other provisions limiting the ability of our unitholders to influence the manner or direction of management.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Cost reimbursements due to our General Partner and its affiliates for services provided to us or on our behalf will reduce cash available for distribution to our common unitholders. There is no limit on the amount of expenses for which our General Partner and its affiliates may be reimbursed. The amount and timing of such reimbursements will be determined by our General Partner.</w:t>
      </w:r>
    </w:p>
    <w:p>
      <w:pPr>
        <w:spacing w:after="0" w:line="211"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Prior to making any distribution to its unitholders, including us, the Operating Company will reimburse our General Partner and its affiliates for all expenses they incur and payments they make on our behalf. There is no limit on the amount of expenses for which our General Partner and its affiliates may be reimbursed, and the amounts may be substantial. These expenses include salary, bonus, incentive compensation and other amounts paid to persons who perform services for us or on our behalf and expenses allocated to our General Partner by its affiliates. Our General Partner will determine the expenses that are allocable to us. The reimbursement of expenses and payment of fees, if any, to our General Partner and its affiliates will reduce the amount of cash available for distribution from the Operating Company to us and from us to our common unitholders.</w:t>
      </w:r>
    </w:p>
    <w:p>
      <w:pPr>
        <w:spacing w:after="0" w:line="207"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In addition, 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with respect to taxable periods including or beginning on the closing date of our IPO.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interest or the control of our General Partner may be transferred to a third party without unitholder consent.</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Common unitholders may have liability to repay distributions and in certain circumstances may be personally liable for the obligations of the partnership.</w:t>
      </w:r>
    </w:p>
    <w:p>
      <w:pPr>
        <w:spacing w:after="0" w:line="20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certain circumstances, common unitholders may have to repay amounts wrongfully returned or distributed to them. Under Section 17-607 of the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0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24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If at any time our General Partner and its affiliates (including Diamondback) own more than 80% of the units, our General Partner will have the right, which it may assign to any of its affiliates or to us, but not the obligation, to acquire all, but not less than all, of the common units held by unaffiliated persons at a price equal to the greater of (i) the average of the daily closing price of the common units over the 20 trading days preceding the date three days before notice of exercise of the call right is first mailed and (ii)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common units and Class B units are considered limited partner interests of a single class for these provisions. As of December 31, 2021, Diamondback owned approximately 54% of our total units outstanding.</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20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 the proportionate ownership interest of unitholders in us immediately prior to the issuance will decrease, the amount of cash distributions on each common unit may decrease, the ratio of our taxable income to distributions may increase, the relative voting strength of each previously outstanding common unit may be diminished, and the market price of the common units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no limitations in our partnership agreement on our ability to issue units ranking senior to the common units.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units could be adversely affected by sales of substantial amounts of our common units in the public or private markets.</w:t>
      </w:r>
    </w:p>
    <w:p>
      <w:pPr>
        <w:spacing w:after="0" w:line="283"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registration rights to Diamondback. Pursuant to these registration rights, we have registered, under the Securities Act, all of the common units owned by Diamondback for resale (including common units issuable in respect of the Class B units and the OpCo units). Under our partnership agreement, our General Partner and its affiliates have registration rights relating to the offer and sale of any common units that they hold.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does not require a publicly traded limited partnership like us to comply with certain of its corporate governance requirements.</w:t>
      </w:r>
    </w:p>
    <w:p>
      <w:pPr>
        <w:spacing w:after="0" w:line="26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Accordingly, unitholders do not have the same protections afforded to stockholders of certain corporations that are subject to all of Nasdaq’s corporate governance requirements.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215"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20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Our General Partner may amend our partnership agreement, as it determines necessary or advisable, to obtain proof of the U.S. federal income tax status and/or the nationality, citizenship or other related status of our limited partners (and their owners, to the extent relevant) and to permit our General Partner to redeem the units held by any person (i) whose tax status has or is reasonably likely to have a material adverse effect on the maximum applicable rates chargeable to our customers, (ii) whose nationality, citizenship or related status creates substantial risk of cancellation or forfeiture of any of our property and/or (iii)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i w:val="1"/>
          <w:iCs w:val="1"/>
          <w:color w:val="auto"/>
        </w:rPr>
        <w:t>are treated as a corporation for U.S. federal income tax purposes and our cash available for distribution to our common unitholders may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substantially reduced.</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are a Delaware limited partnership that since May 10, 2018, has elected to be treated as a corporation for U.S. federal income tax purposes. As a result, we are subject to tax as a corporation at the corporate tax rate of 21%. While our taxable income may be reduced over the remaining period of our agreement with Diamondback to specially allocate to Diamondback priority allocations of the Operating Company’s income and gains over losses and deductions (but before depletion), there is no guarantee that we will not have any taxable income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common unitholders may be taxable as dividends.</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 tax legislations may adversely affect our business, results of operations, financial condition and cash flow.</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200" w:lineRule="exact"/>
        <w:rPr>
          <w:sz w:val="20"/>
          <w:szCs w:val="20"/>
          <w:color w:val="auto"/>
        </w:rPr>
      </w:pPr>
    </w:p>
    <w:p>
      <w:pPr>
        <w:spacing w:after="0" w:line="2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ind w:firstLine="643"/>
        <w:spacing w:after="0" w:line="256" w:lineRule="auto"/>
        <w:rPr>
          <w:rFonts w:ascii="Arial" w:cs="Arial" w:eastAsia="Arial" w:hAnsi="Arial"/>
          <w:sz w:val="18"/>
          <w:szCs w:val="18"/>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page96">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884" w:right="1440"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common units are listed on the Nasdaq Global Select Market under the symbol “VNOM.” There were 13 holders of record of our common units on February 18,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jc w:val="both"/>
        <w:ind w:firstLine="643"/>
        <w:spacing w:after="0" w:line="236" w:lineRule="auto"/>
        <w:rPr>
          <w:sz w:val="20"/>
          <w:szCs w:val="20"/>
          <w:color w:val="auto"/>
        </w:rPr>
      </w:pPr>
      <w:r>
        <w:rPr>
          <w:rFonts w:ascii="Arial" w:cs="Arial" w:eastAsia="Arial" w:hAnsi="Arial"/>
          <w:sz w:val="18"/>
          <w:szCs w:val="18"/>
          <w:color w:val="auto"/>
        </w:rPr>
        <w:t>Beginning with the first quarter of 2020, the board of directors of our General Partner revised the distribution policy to provide that the Operating Company would distribute a percentage of its available cash. We in turn distribute all of the available cash we receive from the Operating Company to our common unitholders. Our available cash, and the available cash of the Operating Company, for each quarter is determined by the board of directors of our General Partner following the end of such quarter. The Operating Company’s available cash generally equals our Adjusted EBITDA for the quarter, less cash needed for debt service and other contractual obligations, fixed charges and reserves for future operating or capital needs that the board of directors of our General Partner deems necessary or appropriate, if any. Our available cash for each quarter generally equals our Adjusted EBITDA (which is our proportional share of the available cash of the Operating Company for the quarter), less cash needed for the payment of income taxes by us, if any, and the preferred distribution.</w:t>
      </w:r>
    </w:p>
    <w:p>
      <w:pPr>
        <w:spacing w:after="0" w:line="21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do not have a minimum quarterly distribution or employ structures intended to consistently maintain or increase distributions over time. The board of directors of our General Partner may change our distribution policy at any time. Our partnership agreement does not require us to pay distributions to our common unitholders on a quarterly or other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unit repurchase activity for the three months ended December 31, 2021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 Number of</w:t>
            </w:r>
          </w:p>
        </w:tc>
        <w:tc>
          <w:tcPr>
            <w:tcW w:w="11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4"/>
                <w:szCs w:val="14"/>
                <w:color w:val="auto"/>
              </w:rPr>
            </w:pPr>
          </w:p>
        </w:tc>
        <w:tc>
          <w:tcPr>
            <w:tcW w:w="25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Total Number of Units Purchased as</w:t>
            </w:r>
          </w:p>
        </w:tc>
        <w:tc>
          <w:tcPr>
            <w:tcW w:w="220" w:type="dxa"/>
            <w:vAlign w:val="bottom"/>
          </w:tcPr>
          <w:p>
            <w:pPr>
              <w:spacing w:after="0"/>
              <w:rPr>
                <w:sz w:val="14"/>
                <w:szCs w:val="14"/>
                <w:color w:val="auto"/>
              </w:rPr>
            </w:pPr>
          </w:p>
        </w:tc>
        <w:tc>
          <w:tcPr>
            <w:tcW w:w="190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34"/>
        </w:trPr>
        <w:tc>
          <w:tcPr>
            <w:tcW w:w="39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Period</w:t>
            </w:r>
          </w:p>
        </w:tc>
        <w:tc>
          <w:tcPr>
            <w:tcW w:w="13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jc w:val="center"/>
              <w:ind w:right="20"/>
              <w:spacing w:after="0" w:line="134"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187"/>
        </w:trPr>
        <w:tc>
          <w:tcPr>
            <w:tcW w:w="3920" w:type="dxa"/>
            <w:vAlign w:val="bottom"/>
            <w:gridSpan w:val="2"/>
            <w:vMerge w:val="continue"/>
          </w:tcPr>
          <w:p>
            <w:pPr>
              <w:spacing w:after="0"/>
              <w:rPr>
                <w:sz w:val="16"/>
                <w:szCs w:val="16"/>
                <w:color w:val="auto"/>
              </w:rPr>
            </w:pPr>
          </w:p>
        </w:tc>
        <w:tc>
          <w:tcPr>
            <w:tcW w:w="1380" w:type="dxa"/>
            <w:vAlign w:val="bottom"/>
          </w:tcPr>
          <w:p>
            <w:pPr>
              <w:jc w:val="right"/>
              <w:ind w:right="97"/>
              <w:spacing w:after="0"/>
              <w:rPr>
                <w:sz w:val="20"/>
                <w:szCs w:val="20"/>
                <w:color w:val="auto"/>
              </w:rPr>
            </w:pPr>
            <w:r>
              <w:rPr>
                <w:rFonts w:ascii="Arial" w:cs="Arial" w:eastAsia="Arial" w:hAnsi="Arial"/>
                <w:sz w:val="14"/>
                <w:szCs w:val="14"/>
                <w:b w:val="1"/>
                <w:bCs w:val="1"/>
                <w:color w:val="auto"/>
              </w:rPr>
              <w:t>Units Purchased</w:t>
            </w:r>
          </w:p>
        </w:tc>
        <w:tc>
          <w:tcPr>
            <w:tcW w:w="1160" w:type="dxa"/>
            <w:vAlign w:val="bottom"/>
            <w:gridSpan w:val="2"/>
          </w:tcPr>
          <w:p>
            <w:pPr>
              <w:jc w:val="right"/>
              <w:spacing w:after="0" w:line="188" w:lineRule="exact"/>
              <w:rPr>
                <w:sz w:val="20"/>
                <w:szCs w:val="20"/>
                <w:color w:val="auto"/>
              </w:rPr>
            </w:pPr>
            <w:r>
              <w:rPr>
                <w:rFonts w:ascii="Arial" w:cs="Arial" w:eastAsia="Arial" w:hAnsi="Arial"/>
                <w:sz w:val="14"/>
                <w:szCs w:val="14"/>
                <w:b w:val="1"/>
                <w:bCs w:val="1"/>
                <w:color w:val="auto"/>
              </w:rPr>
              <w:t>Paid Per Unit</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2540" w:type="dxa"/>
            <w:vAlign w:val="bottom"/>
          </w:tcPr>
          <w:p>
            <w:pPr>
              <w:jc w:val="right"/>
              <w:ind w:right="180"/>
              <w:spacing w:after="0"/>
              <w:rPr>
                <w:sz w:val="20"/>
                <w:szCs w:val="20"/>
                <w:color w:val="auto"/>
              </w:rPr>
            </w:pPr>
            <w:r>
              <w:rPr>
                <w:rFonts w:ascii="Arial" w:cs="Arial" w:eastAsia="Arial" w:hAnsi="Arial"/>
                <w:sz w:val="14"/>
                <w:szCs w:val="14"/>
                <w:b w:val="1"/>
                <w:bCs w:val="1"/>
                <w:color w:val="auto"/>
              </w:rPr>
              <w:t>Part of Publicly Announced Plan</w:t>
            </w:r>
          </w:p>
        </w:tc>
        <w:tc>
          <w:tcPr>
            <w:tcW w:w="220" w:type="dxa"/>
            <w:vAlign w:val="bottom"/>
          </w:tcPr>
          <w:p>
            <w:pPr>
              <w:spacing w:after="0"/>
              <w:rPr>
                <w:sz w:val="16"/>
                <w:szCs w:val="16"/>
                <w:color w:val="auto"/>
              </w:rPr>
            </w:pPr>
          </w:p>
        </w:tc>
        <w:tc>
          <w:tcPr>
            <w:tcW w:w="1900" w:type="dxa"/>
            <w:vAlign w:val="bottom"/>
          </w:tcPr>
          <w:p>
            <w:pPr>
              <w:jc w:val="center"/>
              <w:ind w:right="20"/>
              <w:spacing w:after="0" w:line="188" w:lineRule="exact"/>
              <w:rPr>
                <w:sz w:val="20"/>
                <w:szCs w:val="20"/>
                <w:color w:val="auto"/>
              </w:rPr>
            </w:pPr>
            <w:r>
              <w:rPr>
                <w:rFonts w:ascii="Arial" w:cs="Arial" w:eastAsia="Arial" w:hAnsi="Arial"/>
                <w:sz w:val="14"/>
                <w:szCs w:val="14"/>
                <w:b w:val="1"/>
                <w:bCs w:val="1"/>
                <w:color w:val="auto"/>
                <w:w w:val="91"/>
              </w:rPr>
              <w:t>Purchased Under the Plan</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180"/>
        </w:trPr>
        <w:tc>
          <w:tcPr>
            <w:tcW w:w="3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1"/>
              </w:rPr>
              <w:t>(In thousands, except unit amounts)</w:t>
            </w:r>
          </w:p>
        </w:tc>
        <w:tc>
          <w:tcPr>
            <w:tcW w:w="2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0" w:type="dxa"/>
            <w:vAlign w:val="bottom"/>
          </w:tcPr>
          <w:p>
            <w:pPr>
              <w:spacing w:after="0"/>
              <w:rPr>
                <w:sz w:val="1"/>
                <w:szCs w:val="1"/>
                <w:color w:val="auto"/>
              </w:rPr>
            </w:pPr>
          </w:p>
        </w:tc>
      </w:tr>
      <w:tr>
        <w:trPr>
          <w:trHeight w:val="227"/>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38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22.63</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424,200</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79,975</w:t>
            </w:r>
          </w:p>
        </w:tc>
        <w:tc>
          <w:tcPr>
            <w:tcW w:w="0" w:type="dxa"/>
            <w:vAlign w:val="bottom"/>
          </w:tcPr>
          <w:p>
            <w:pPr>
              <w:spacing w:after="0"/>
              <w:rPr>
                <w:sz w:val="1"/>
                <w:szCs w:val="1"/>
                <w:color w:val="auto"/>
              </w:rPr>
            </w:pPr>
          </w:p>
        </w:tc>
      </w:tr>
      <w:tr>
        <w:trPr>
          <w:trHeight w:val="221"/>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574,200</w:t>
            </w:r>
          </w:p>
        </w:tc>
        <w:tc>
          <w:tcPr>
            <w:tcW w:w="4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2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574,200</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spacing w:after="0" w:line="9" w:lineRule="exact"/>
        <w:rPr>
          <w:rFonts w:ascii="Arial" w:cs="Arial" w:eastAsia="Arial" w:hAnsi="Arial"/>
          <w:sz w:val="18"/>
          <w:szCs w:val="18"/>
          <w:color w:val="auto"/>
        </w:rPr>
      </w:pPr>
    </w:p>
    <w:p>
      <w:pPr>
        <w:jc w:val="both"/>
        <w:ind w:left="320" w:hanging="313"/>
        <w:spacing w:after="0" w:line="224"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of our General Partner initially approved a $100.0 million common unit repurchase program in November of 2020 and, effective November 15, 2021, increased our authorization under this program to acquire up to $150.0 million of our outstanding common units and extended the term of the repurchase program indefinitely. This repurchase program may be suspended from time to time, modified, extended or discontinued by the board of directors of our General Partner at any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jc w:val="both"/>
        <w:ind w:firstLine="643"/>
        <w:spacing w:after="0" w:line="275"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w:t>
      </w:r>
      <w:hyperlink w:anchor="page22">
        <w:r>
          <w:rPr>
            <w:rFonts w:ascii="Arial" w:cs="Arial" w:eastAsia="Arial" w:hAnsi="Arial"/>
            <w:sz w:val="17"/>
            <w:szCs w:val="17"/>
            <w:i w:val="1"/>
            <w:iCs w:val="1"/>
            <w:color w:val="auto"/>
          </w:rPr>
          <w:t>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Item</w:t>
        </w:r>
      </w:hyperlink>
      <w:r>
        <w:rPr>
          <w:rFonts w:ascii="Arial" w:cs="Arial" w:eastAsia="Arial" w:hAnsi="Arial"/>
          <w:sz w:val="17"/>
          <w:szCs w:val="17"/>
          <w:i w:val="1"/>
          <w:iCs w:val="1"/>
          <w:color w:val="auto"/>
        </w:rPr>
        <w:t xml:space="preserve"> </w:t>
      </w:r>
      <w:hyperlink w:anchor="page22">
        <w:r>
          <w:rPr>
            <w:rFonts w:ascii="Arial" w:cs="Arial" w:eastAsia="Arial" w:hAnsi="Arial"/>
            <w:sz w:val="17"/>
            <w:szCs w:val="17"/>
            <w:i w:val="1"/>
            <w:iCs w:val="1"/>
            <w:u w:val="single" w:color="auto"/>
            <w:color w:val="0000FF"/>
          </w:rPr>
          <w:t>1A. Risk Factors</w:t>
        </w:r>
        <w:r>
          <w:rPr>
            <w:rFonts w:ascii="Arial" w:cs="Arial" w:eastAsia="Arial" w:hAnsi="Arial"/>
            <w:sz w:val="17"/>
            <w:szCs w:val="17"/>
            <w:i w:val="1"/>
            <w:iCs w:val="1"/>
            <w:color w:val="000000"/>
          </w:rPr>
          <w:t>” and “</w:t>
        </w:r>
      </w:hyperlink>
      <w:hyperlink w:anchor="page5">
        <w:r>
          <w:rPr>
            <w:rFonts w:ascii="Arial" w:cs="Arial" w:eastAsia="Arial" w:hAnsi="Arial"/>
            <w:sz w:val="17"/>
            <w:szCs w:val="17"/>
            <w:i w:val="1"/>
            <w:iCs w:val="1"/>
            <w:u w:val="single" w:color="auto"/>
            <w:color w:val="0000FF"/>
          </w:rPr>
          <w:t>Cautionary Statement Regarding Forward-Looking Statements</w:t>
        </w:r>
      </w:hyperlink>
      <w:hyperlink w:anchor="page22">
        <w:r>
          <w:rPr>
            <w:rFonts w:ascii="Arial" w:cs="Arial" w:eastAsia="Arial" w:hAnsi="Arial"/>
            <w:sz w:val="17"/>
            <w:szCs w:val="17"/>
            <w:i w:val="1"/>
            <w:iCs w:val="1"/>
            <w:color w:val="000000"/>
          </w:rPr>
          <w:t>.”</w:t>
        </w:r>
      </w:hyperlink>
    </w:p>
    <w:p>
      <w:pPr>
        <w:spacing w:after="0" w:line="198" w:lineRule="exact"/>
        <w:rPr>
          <w:rFonts w:ascii="Arial" w:cs="Arial" w:eastAsia="Arial" w:hAnsi="Arial"/>
          <w:sz w:val="17"/>
          <w:szCs w:val="17"/>
          <w:i w:val="1"/>
          <w:iCs w:val="1"/>
          <w:color w:val="0000FF"/>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rFonts w:ascii="Arial" w:cs="Arial" w:eastAsia="Arial" w:hAnsi="Arial"/>
          <w:sz w:val="17"/>
          <w:szCs w:val="17"/>
          <w:i w:val="1"/>
          <w:iCs w:val="1"/>
          <w:color w:val="0000FF"/>
        </w:rPr>
      </w:pPr>
    </w:p>
    <w:p>
      <w:pPr>
        <w:jc w:val="both"/>
        <w:ind w:firstLine="643"/>
        <w:spacing w:after="0" w:line="271"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w:t>
      </w:r>
    </w:p>
    <w:p>
      <w:pPr>
        <w:spacing w:after="0" w:line="202" w:lineRule="exact"/>
        <w:rPr>
          <w:rFonts w:ascii="Arial" w:cs="Arial" w:eastAsia="Arial" w:hAnsi="Arial"/>
          <w:sz w:val="17"/>
          <w:szCs w:val="17"/>
          <w:i w:val="1"/>
          <w:iCs w:val="1"/>
          <w:color w:val="0000FF"/>
        </w:rPr>
      </w:pPr>
    </w:p>
    <w:p>
      <w:pPr>
        <w:jc w:val="both"/>
        <w:ind w:firstLine="643"/>
        <w:spacing w:after="0" w:line="260" w:lineRule="auto"/>
        <w:rPr>
          <w:sz w:val="20"/>
          <w:szCs w:val="20"/>
          <w:color w:val="auto"/>
        </w:rPr>
      </w:pPr>
      <w:r>
        <w:rPr>
          <w:rFonts w:ascii="Arial" w:cs="Arial" w:eastAsia="Arial" w:hAnsi="Arial"/>
          <w:sz w:val="18"/>
          <w:szCs w:val="18"/>
          <w:color w:val="auto"/>
        </w:rPr>
        <w:t>As of December 31, 2021, our General Partner held a 100% General Partner interest in us, and Diamondback, either directly or through one of its subsidiaries, owned 731,500 common units and beneficially owned all of our 90,709,946 outstanding Class B units, representing approximately 54% of our total units outstanding. Diamondback also owns and controls our General Partner.</w:t>
      </w:r>
    </w:p>
    <w:p>
      <w:pPr>
        <w:spacing w:after="0" w:line="211" w:lineRule="exact"/>
        <w:rPr>
          <w:rFonts w:ascii="Arial" w:cs="Arial" w:eastAsia="Arial" w:hAnsi="Arial"/>
          <w:sz w:val="17"/>
          <w:szCs w:val="17"/>
          <w:i w:val="1"/>
          <w:iCs w:val="1"/>
          <w:color w:val="0000FF"/>
        </w:rPr>
      </w:pPr>
    </w:p>
    <w:p>
      <w:pPr>
        <w:jc w:val="both"/>
        <w:ind w:firstLine="643"/>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The following discussion includes a comparison of our results of operations, including changes in our operating income, and liquidity and capital resources for fiscal year 2021 and fiscal year 2020. A discussion of changes in our results of operations from fiscal year 2019 to fiscal year 2020 has been </w:t>
      </w:r>
      <w:hyperlink r:id="rId54">
        <w:r>
          <w:rPr>
            <w:rFonts w:ascii="Arial" w:cs="Arial" w:eastAsia="Arial" w:hAnsi="Arial"/>
            <w:sz w:val="16"/>
            <w:szCs w:val="16"/>
            <w:color w:val="auto"/>
          </w:rPr>
          <w:t xml:space="preserve">omitted from this report, but may be found in </w:t>
        </w:r>
        <w:r>
          <w:rPr>
            <w:rFonts w:ascii="Arial" w:cs="Arial" w:eastAsia="Arial" w:hAnsi="Arial"/>
            <w:sz w:val="16"/>
            <w:szCs w:val="16"/>
            <w:u w:val="single" w:color="auto"/>
            <w:color w:val="0000FF"/>
          </w:rPr>
          <w:t>“Item 7. Management’s Discussion and Analysis of Financial Condition and Results of Operations” of our</w:t>
        </w:r>
      </w:hyperlink>
    </w:p>
    <w:p>
      <w:pPr>
        <w:jc w:val="both"/>
        <w:spacing w:after="0" w:line="256" w:lineRule="auto"/>
        <w:rPr>
          <w:rFonts w:ascii="Arial" w:cs="Arial" w:eastAsia="Arial" w:hAnsi="Arial"/>
          <w:sz w:val="18"/>
          <w:szCs w:val="18"/>
          <w:color w:val="0000FF"/>
        </w:rPr>
      </w:pPr>
      <w:hyperlink r:id="rId54">
        <w:r>
          <w:rPr>
            <w:rFonts w:ascii="Arial" w:cs="Arial" w:eastAsia="Arial" w:hAnsi="Arial"/>
            <w:sz w:val="18"/>
            <w:szCs w:val="18"/>
            <w:u w:val="single" w:color="auto"/>
            <w:color w:val="0000FF"/>
          </w:rPr>
          <w:t>Annual Report on Form 10-K for the fiscal year ended December 31, 2020</w:t>
        </w:r>
        <w:r>
          <w:rPr>
            <w:rFonts w:ascii="Arial" w:cs="Arial" w:eastAsia="Arial" w:hAnsi="Arial"/>
            <w:sz w:val="18"/>
            <w:szCs w:val="18"/>
            <w:color w:val="000000"/>
          </w:rPr>
          <w:t>, filed with the SEC on February 25, 2021, and is incorporated by reference in this</w:t>
        </w:r>
      </w:hyperlink>
      <w:r>
        <w:rPr>
          <w:rFonts w:ascii="Arial" w:cs="Arial" w:eastAsia="Arial" w:hAnsi="Arial"/>
          <w:sz w:val="18"/>
          <w:szCs w:val="18"/>
          <w:color w:val="0000FF"/>
        </w:rPr>
        <w:t xml:space="preserve"> </w:t>
      </w:r>
      <w:r>
        <w:rPr>
          <w:rFonts w:ascii="Arial" w:cs="Arial" w:eastAsia="Arial" w:hAnsi="Arial"/>
          <w:sz w:val="18"/>
          <w:szCs w:val="18"/>
          <w:color w:val="000000"/>
        </w:rPr>
        <w:t>report from such prior Annual Report on Form 10-K.</w:t>
      </w:r>
    </w:p>
    <w:p>
      <w:pPr>
        <w:spacing w:after="0" w:line="211" w:lineRule="exact"/>
        <w:rPr>
          <w:rFonts w:ascii="Arial" w:cs="Arial" w:eastAsia="Arial" w:hAnsi="Arial"/>
          <w:sz w:val="17"/>
          <w:szCs w:val="17"/>
          <w:i w:val="1"/>
          <w:iCs w:val="1"/>
          <w:color w:val="0000FF"/>
        </w:rPr>
      </w:pPr>
    </w:p>
    <w:p>
      <w:pPr>
        <w:spacing w:after="0"/>
        <w:rPr>
          <w:sz w:val="20"/>
          <w:szCs w:val="20"/>
          <w:color w:val="auto"/>
        </w:rPr>
      </w:pPr>
      <w:r>
        <w:rPr>
          <w:rFonts w:ascii="Arial" w:cs="Arial" w:eastAsia="Arial" w:hAnsi="Arial"/>
          <w:sz w:val="18"/>
          <w:szCs w:val="18"/>
          <w:b w:val="1"/>
          <w:bCs w:val="1"/>
          <w:color w:val="auto"/>
        </w:rPr>
        <w:t>2021 Transactions and Recent Developments</w:t>
      </w:r>
    </w:p>
    <w:p>
      <w:pPr>
        <w:spacing w:after="0" w:line="239" w:lineRule="exact"/>
        <w:rPr>
          <w:rFonts w:ascii="Arial" w:cs="Arial" w:eastAsia="Arial" w:hAnsi="Arial"/>
          <w:sz w:val="17"/>
          <w:szCs w:val="17"/>
          <w:i w:val="1"/>
          <w:iCs w:val="1"/>
          <w:color w:val="0000FF"/>
        </w:rPr>
      </w:pPr>
    </w:p>
    <w:p>
      <w:pPr>
        <w:spacing w:after="0"/>
        <w:rPr>
          <w:sz w:val="20"/>
          <w:szCs w:val="20"/>
          <w:color w:val="auto"/>
        </w:rPr>
      </w:pPr>
      <w:r>
        <w:rPr>
          <w:rFonts w:ascii="Arial" w:cs="Arial" w:eastAsia="Arial" w:hAnsi="Arial"/>
          <w:sz w:val="18"/>
          <w:szCs w:val="18"/>
          <w:b w:val="1"/>
          <w:bCs w:val="1"/>
          <w:i w:val="1"/>
          <w:iCs w:val="1"/>
          <w:color w:val="auto"/>
        </w:rPr>
        <w:t>COVID-19 and Effects on Commodity Prices</w:t>
      </w:r>
    </w:p>
    <w:p>
      <w:pPr>
        <w:spacing w:after="0" w:line="248" w:lineRule="exact"/>
        <w:rPr>
          <w:rFonts w:ascii="Arial" w:cs="Arial" w:eastAsia="Arial" w:hAnsi="Arial"/>
          <w:sz w:val="17"/>
          <w:szCs w:val="17"/>
          <w:i w:val="1"/>
          <w:iCs w:val="1"/>
          <w:color w:val="0000FF"/>
        </w:rPr>
      </w:pPr>
    </w:p>
    <w:p>
      <w:pPr>
        <w:jc w:val="both"/>
        <w:ind w:firstLine="643"/>
        <w:spacing w:after="0" w:line="265" w:lineRule="auto"/>
        <w:rPr>
          <w:sz w:val="20"/>
          <w:szCs w:val="20"/>
          <w:color w:val="auto"/>
        </w:rPr>
      </w:pPr>
      <w:r>
        <w:rPr>
          <w:rFonts w:ascii="Arial" w:cs="Arial" w:eastAsia="Arial" w:hAnsi="Arial"/>
          <w:sz w:val="16"/>
          <w:szCs w:val="16"/>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Demand for oil and natural gas increased during 2021, as many restrictions on conducting business implemented in response to the COVID-19 pandemic were lifted due to improved treatments and availability of vaccinations in the U.S. and globally. As a result, oil and natural gas market prices have improved during 2021 in response to the increase in demand. During 2021 and 2020, the posted price for West Texas intermediate light sweet crude oil, or NYMEX WTI, has ranged from $(37.63) to $84.65 Bbl, and the NYMEX Henry Hub price of natural gas has ranged from $1.48 to $6.31 per MMBtu. On January 18, 2022, the closing NYMEX WTI price for crude oil was $85.43 per Bbl and the closing NYMEX Henry Hub price of natural gas was $4.28 per MMBtu. The emergence of the Delta COVID-19 variant in the latter part of 2021 and the subsequent surge of the highly transmissible Omicron variant, however, continued to contribute to economic and pricing volatility, as industry and market participants evaluated industry conditions and production outlook. Further, on January 4, 2021, OPEC and its non-OPEC allies, known collectively as OPEC+, agreed to continue their program (commenced in August 2021) of gradual monthly output increases in February 2022, raising its output target by 400,000 Bbl per day, which move is expected to further boost oil supply in response to rising demand. In its report issued on February 10, 2022, OPEC noted its expectation that world oil demand will rise by 4.15 million Bbls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206" w:lineRule="exact"/>
        <w:rPr>
          <w:rFonts w:ascii="Arial" w:cs="Arial" w:eastAsia="Arial" w:hAnsi="Arial"/>
          <w:sz w:val="17"/>
          <w:szCs w:val="17"/>
          <w:i w:val="1"/>
          <w:iCs w:val="1"/>
          <w:color w:val="0000FF"/>
        </w:rPr>
      </w:pPr>
    </w:p>
    <w:p>
      <w:pPr>
        <w:jc w:val="both"/>
        <w:ind w:firstLine="643"/>
        <w:spacing w:after="0" w:line="256" w:lineRule="auto"/>
        <w:rPr>
          <w:sz w:val="20"/>
          <w:szCs w:val="20"/>
          <w:color w:val="auto"/>
        </w:rPr>
      </w:pPr>
      <w:r>
        <w:rPr>
          <w:rFonts w:ascii="Arial" w:cs="Arial" w:eastAsia="Arial" w:hAnsi="Arial"/>
          <w:sz w:val="17"/>
          <w:szCs w:val="17"/>
          <w:color w:val="auto"/>
        </w:rPr>
        <w:t>Although demand for oil and natural gas and commodity prices have recently increased, Diamondback and certain of our other operators have kept production on our acreage relatively flat during 2021, using excess cash flow for debt repayment and/or return to their stockholders rather than expanding their drilling programs. Diamondback also indicated that it intends to continue exercising capital discipline and seeks to maintain its fourth quarter 2021 exit oil production flat in 2022. We cannot reasonably predict whether production levels will remain at current levels or the impact the full extent of the events above and subsequent recovery may have on our industry and our business.</w:t>
      </w:r>
    </w:p>
    <w:p>
      <w:pPr>
        <w:spacing w:after="0" w:line="200" w:lineRule="exact"/>
        <w:rPr>
          <w:rFonts w:ascii="Arial" w:cs="Arial" w:eastAsia="Arial" w:hAnsi="Arial"/>
          <w:sz w:val="17"/>
          <w:szCs w:val="17"/>
          <w:i w:val="1"/>
          <w:iCs w:val="1"/>
          <w:color w:val="0000FF"/>
        </w:rPr>
      </w:pPr>
    </w:p>
    <w:p>
      <w:pPr>
        <w:spacing w:after="0" w:line="200" w:lineRule="exact"/>
        <w:rPr>
          <w:rFonts w:ascii="Arial" w:cs="Arial" w:eastAsia="Arial" w:hAnsi="Arial"/>
          <w:sz w:val="17"/>
          <w:szCs w:val="17"/>
          <w:i w:val="1"/>
          <w:iCs w:val="1"/>
          <w:color w:val="0000FF"/>
        </w:rPr>
      </w:pPr>
    </w:p>
    <w:p>
      <w:pPr>
        <w:spacing w:after="0" w:line="352" w:lineRule="exact"/>
        <w:rPr>
          <w:rFonts w:ascii="Arial" w:cs="Arial" w:eastAsia="Arial" w:hAnsi="Arial"/>
          <w:sz w:val="17"/>
          <w:szCs w:val="17"/>
          <w:i w:val="1"/>
          <w:iCs w:val="1"/>
          <w:color w:val="0000FF"/>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7"/>
          <w:szCs w:val="17"/>
          <w:i w:val="1"/>
          <w:iCs w:val="1"/>
          <w:color w:val="0000FF"/>
        </w:rPr>
      </w:pPr>
      <w:r>
        <w:rPr>
          <w:rFonts w:ascii="Arial" w:cs="Arial" w:eastAsia="Arial" w:hAnsi="Arial"/>
          <w:sz w:val="17"/>
          <w:szCs w:val="17"/>
          <w:i w:val="1"/>
          <w:iCs w:val="1"/>
          <w:color w:val="0000FF"/>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43" w:lineRule="exact"/>
        <w:rPr>
          <w:sz w:val="20"/>
          <w:szCs w:val="20"/>
          <w:color w:val="auto"/>
        </w:rPr>
      </w:pPr>
    </w:p>
    <w:p>
      <w:pPr>
        <w:jc w:val="both"/>
        <w:ind w:firstLine="643"/>
        <w:spacing w:after="0" w:line="263" w:lineRule="auto"/>
        <w:rPr>
          <w:sz w:val="20"/>
          <w:szCs w:val="20"/>
          <w:color w:val="auto"/>
        </w:rPr>
      </w:pPr>
      <w:r>
        <w:rPr>
          <w:rFonts w:ascii="Arial" w:cs="Arial" w:eastAsia="Arial" w:hAnsi="Arial"/>
          <w:sz w:val="16"/>
          <w:szCs w:val="16"/>
          <w:color w:val="auto"/>
        </w:rPr>
        <w:t>Due to the improved commodity prices and industry conditions, based on the results of the quarterly ceiling tests, we were not required to record an impairment on our proved oil and natural gas interests during the year ended December 31, 2021.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On October 1, 2021, we completed the Swallowtail Acquisition for approximately 15.25 million of our common units and approximately $225.3 million in cash. The mineral and royalty interests acquired represent approximately 2,313 net royalty acres primarily in the Northern Midland Basin, of which approximately 62% are operated by Diamondback. We funded the cash portion of the purchase price for the Swallowtail Acquisition through a combination of cash on hand and approximately $190.0 million of borrowings under the Operating Company’s revolving credit facility. The Swallowtail Acquisition has an effective date of August 1, 2021.</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2021 Acquisitions</w:t>
      </w:r>
    </w:p>
    <w:p>
      <w:pPr>
        <w:spacing w:after="0" w:line="24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Additionally during the year ended December 31, 2021, we acquired, from unrelated third party sellers, mineral and royalty interests representing 1,277 gross (392 net royalty) acres in the Permian Basin for an aggregate purchase price of approximately $55.1 million, after post-closing adjustments. We funded these acquisitions with cash on hand and borrowings under the Operating Company’s revolving credit facility.</w:t>
      </w:r>
    </w:p>
    <w:p>
      <w:pPr>
        <w:spacing w:after="0" w:line="19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As a result of the Swallowtail Acquisition and other acquisitions, our footprint of mineral and royalty interests increased to a total of 27,027 net royalty acres at December 31, 2021.</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first quarter of 2022, we divested 325 net royalty acres of third party operated acreage located entirely in Upton and Reagan counties in the Midland Basin for an aggregate sales price of $29.3 million, subject to post-closing adjustments.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Distribution Update</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On February 16, 2022, the board of directors of our General Partner declared a cash distribution for the three months ended December 31, 2021 of $0.47 per common unit, maintaining our distribution from the second quarter of 2021 of 70% of cash available for distribution. The distribution is payable on March 11, 2022 to eligible common unitholders of record at the close of business on March 4, 2022. We expect to continue to generate robust amounts of free cash flow and subsequently use that cash to both reduce debt and increase our return on capital to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Operational Update</w:t>
      </w:r>
    </w:p>
    <w:p>
      <w:pPr>
        <w:spacing w:after="0" w:line="225"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Our business has rebounded strongly from the unprecedented volatility experienced throughout 2020 as commodity prices have increased and activity has returned to our acreage. There are currently 39 rigs operating on our mineral and royalty acreage, six of which are operated by Diamondback. Looking ahead, with minimal capital requirements and limited operating costs, royalty companies are expected to have an advantage in 2022 and not face inflationary cost pressures. As our defensive hedges placed in 2020 rolled off at the end of 2021, our industry leading cash margins will now be further enhanced by strength in commodity prices. Our production and free cash flow outlook is expected to be driven by Diamondback’s continued focus on developing our acreage, as well as our exposure to other well-capitalized operators in the Permian Basin. We continue to have a high level of visibility into Diamondback’s expected forward development plan and expect additional upside from third-party operators that continue to exceed our conservative activity and timing assumptions, all of which is expected to bolster oil production for us not only for the next several quarters, but in the coming years.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gross well information as of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Diamondback Operated</w:t>
            </w: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 Party Operated</w:t>
            </w: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00"/>
        </w:trPr>
        <w:tc>
          <w:tcPr>
            <w:tcW w:w="696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6"/>
                <w:szCs w:val="16"/>
                <w:b w:val="1"/>
                <w:bCs w:val="1"/>
                <w:color w:val="auto"/>
              </w:rPr>
              <w:t>Horizontal wells turned to production (fourth quarter 2021)</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68"/>
        </w:trPr>
        <w:tc>
          <w:tcPr>
            <w:tcW w:w="69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6960" w:type="dxa"/>
            <w:vAlign w:val="bottom"/>
          </w:tcPr>
          <w:p>
            <w:pPr>
              <w:ind w:left="20"/>
              <w:spacing w:after="0" w:line="214" w:lineRule="exact"/>
              <w:rPr>
                <w:sz w:val="20"/>
                <w:szCs w:val="20"/>
                <w:color w:val="auto"/>
              </w:rPr>
            </w:pPr>
            <w:r>
              <w:rPr>
                <w:rFonts w:ascii="Arial" w:cs="Arial" w:eastAsia="Arial" w:hAnsi="Arial"/>
                <w:sz w:val="16"/>
                <w:szCs w:val="16"/>
                <w:b w:val="1"/>
                <w:bCs w:val="1"/>
                <w:color w:val="auto"/>
              </w:rPr>
              <w:t>Horizontal wells turned to production (year ended December 31, 2021)</w:t>
            </w:r>
            <w:r>
              <w:rPr>
                <w:rFonts w:ascii="Arial" w:cs="Arial" w:eastAsia="Arial" w:hAnsi="Arial"/>
                <w:sz w:val="20"/>
                <w:szCs w:val="20"/>
                <w:b w:val="1"/>
                <w:bCs w:val="1"/>
                <w:color w:val="auto"/>
                <w:vertAlign w:val="superscript"/>
              </w:rPr>
              <w:t>(2)</w:t>
            </w:r>
            <w:r>
              <w:rPr>
                <w:rFonts w:ascii="Arial" w:cs="Arial" w:eastAsia="Arial" w:hAnsi="Arial"/>
                <w:sz w:val="16"/>
                <w:szCs w:val="16"/>
                <w:b w:val="1"/>
                <w:bCs w:val="1"/>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68"/>
        </w:trPr>
        <w:tc>
          <w:tcPr>
            <w:tcW w:w="6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Horizontal producing well count (fourth quarter 2021):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5,706</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68"/>
        </w:trPr>
        <w:tc>
          <w:tcPr>
            <w:tcW w:w="69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6960" w:type="dxa"/>
            <w:vAlign w:val="bottom"/>
          </w:tcPr>
          <w:p>
            <w:pPr>
              <w:ind w:left="20"/>
              <w:spacing w:after="0" w:line="214" w:lineRule="exact"/>
              <w:rPr>
                <w:sz w:val="20"/>
                <w:szCs w:val="20"/>
                <w:color w:val="auto"/>
              </w:rPr>
            </w:pPr>
            <w:r>
              <w:rPr>
                <w:rFonts w:ascii="Arial" w:cs="Arial" w:eastAsia="Arial" w:hAnsi="Arial"/>
                <w:sz w:val="16"/>
                <w:szCs w:val="16"/>
                <w:b w:val="1"/>
                <w:bCs w:val="1"/>
                <w:color w:val="auto"/>
              </w:rPr>
              <w:t>Horizontal active development well count (as of January 27, 2022)</w:t>
            </w:r>
            <w:r>
              <w:rPr>
                <w:rFonts w:ascii="Arial" w:cs="Arial" w:eastAsia="Arial" w:hAnsi="Arial"/>
                <w:sz w:val="20"/>
                <w:szCs w:val="20"/>
                <w:b w:val="1"/>
                <w:bCs w:val="1"/>
                <w:color w:val="auto"/>
                <w:vertAlign w:val="superscript"/>
              </w:rPr>
              <w:t>(3)</w:t>
            </w:r>
            <w:r>
              <w:rPr>
                <w:rFonts w:ascii="Arial" w:cs="Arial" w:eastAsia="Arial" w:hAnsi="Arial"/>
                <w:sz w:val="16"/>
                <w:szCs w:val="16"/>
                <w:b w:val="1"/>
                <w:bCs w:val="1"/>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68"/>
        </w:trPr>
        <w:tc>
          <w:tcPr>
            <w:tcW w:w="6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696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b w:val="1"/>
                <w:bCs w:val="1"/>
                <w:color w:val="auto"/>
              </w:rPr>
              <w:t>Line of sight wells (as of January 27, 2022)</w:t>
            </w:r>
            <w:r>
              <w:rPr>
                <w:rFonts w:ascii="Arial" w:cs="Arial" w:eastAsia="Arial" w:hAnsi="Arial"/>
                <w:sz w:val="20"/>
                <w:szCs w:val="20"/>
                <w:b w:val="1"/>
                <w:bCs w:val="1"/>
                <w:color w:val="auto"/>
                <w:vertAlign w:val="superscript"/>
              </w:rPr>
              <w:t>(4)</w:t>
            </w:r>
            <w:r>
              <w:rPr>
                <w:rFonts w:ascii="Arial" w:cs="Arial" w:eastAsia="Arial" w:hAnsi="Arial"/>
                <w:sz w:val="16"/>
                <w:szCs w:val="16"/>
                <w:b w:val="1"/>
                <w:bCs w:val="1"/>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r>
    </w:tbl>
    <w:p>
      <w:pPr>
        <w:spacing w:after="0" w:line="80" w:lineRule="exact"/>
        <w:rPr>
          <w:sz w:val="20"/>
          <w:szCs w:val="20"/>
          <w:color w:val="auto"/>
        </w:rPr>
      </w:pPr>
    </w:p>
    <w:p>
      <w:pPr>
        <w:ind w:left="260" w:hanging="253"/>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lateral length of 10,048.</w:t>
      </w:r>
    </w:p>
    <w:p>
      <w:pPr>
        <w:spacing w:after="0" w:line="9" w:lineRule="exact"/>
        <w:rPr>
          <w:rFonts w:ascii="Arial" w:cs="Arial" w:eastAsia="Arial" w:hAnsi="Arial"/>
          <w:sz w:val="18"/>
          <w:szCs w:val="18"/>
          <w:color w:val="auto"/>
        </w:rPr>
      </w:pPr>
    </w:p>
    <w:p>
      <w:pPr>
        <w:ind w:left="260" w:hanging="253"/>
        <w:spacing w:after="0" w:line="232"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lateral length of 9,823.</w:t>
      </w:r>
    </w:p>
    <w:p>
      <w:pPr>
        <w:ind w:left="240" w:hanging="233"/>
        <w:spacing w:after="0" w:line="232" w:lineRule="auto"/>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618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40" w:hanging="233"/>
        <w:spacing w:after="0" w:line="235" w:lineRule="auto"/>
        <w:tabs>
          <w:tab w:leader="none" w:pos="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563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net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3"/>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10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397,513</w:t>
            </w:r>
          </w:p>
        </w:tc>
        <w:tc>
          <w:tcPr>
            <w:tcW w:w="12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217,859</w:t>
            </w:r>
          </w:p>
        </w:tc>
      </w:tr>
      <w:tr>
        <w:trPr>
          <w:trHeight w:val="22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r>
      <w:tr>
        <w:trPr>
          <w:trHeight w:val="22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r>
      <w:tr>
        <w:trPr>
          <w:trHeight w:val="221"/>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246,981</w:t>
            </w:r>
          </w:p>
        </w:tc>
      </w:tr>
      <w:tr>
        <w:trPr>
          <w:trHeight w:val="227"/>
        </w:trPr>
        <w:tc>
          <w:tcPr>
            <w:tcW w:w="8100" w:type="dxa"/>
            <w:vAlign w:val="bottom"/>
          </w:tcPr>
          <w:p>
            <w:pPr>
              <w:ind w:left="340"/>
              <w:spacing w:after="0"/>
              <w:rPr>
                <w:sz w:val="20"/>
                <w:szCs w:val="20"/>
                <w:color w:val="auto"/>
              </w:rPr>
            </w:pPr>
            <w:r>
              <w:rPr>
                <w:rFonts w:ascii="Arial" w:cs="Arial" w:eastAsia="Arial" w:hAnsi="Arial"/>
                <w:sz w:val="18"/>
                <w:szCs w:val="18"/>
                <w:color w:val="auto"/>
              </w:rPr>
              <w:t>Lease bonus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21"/>
        </w:trPr>
        <w:tc>
          <w:tcPr>
            <w:tcW w:w="8100" w:type="dxa"/>
            <w:vAlign w:val="bottom"/>
          </w:tcPr>
          <w:p>
            <w:pPr>
              <w:ind w:left="660"/>
              <w:spacing w:after="0"/>
              <w:rPr>
                <w:sz w:val="20"/>
                <w:szCs w:val="20"/>
                <w:color w:val="auto"/>
              </w:rPr>
            </w:pPr>
            <w:r>
              <w:rPr>
                <w:rFonts w:ascii="Arial" w:cs="Arial" w:eastAsia="Arial" w:hAnsi="Arial"/>
                <w:sz w:val="18"/>
                <w:szCs w:val="18"/>
                <w:color w:val="auto"/>
              </w:rPr>
              <w:t>Total 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504,917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250,626</w:t>
            </w: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8100" w:type="dxa"/>
            <w:vAlign w:val="bottom"/>
          </w:tcPr>
          <w:p>
            <w:pPr>
              <w:ind w:left="34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19,844</w:t>
            </w: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Depletion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100,501</w:t>
            </w:r>
          </w:p>
        </w:tc>
      </w:tr>
      <w:tr>
        <w:trPr>
          <w:trHeight w:val="227"/>
        </w:trPr>
        <w:tc>
          <w:tcPr>
            <w:tcW w:w="810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69,202</w:t>
            </w: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r>
      <w:tr>
        <w:trPr>
          <w:trHeight w:val="221"/>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197,712</w:t>
            </w:r>
          </w:p>
        </w:tc>
      </w:tr>
      <w:tr>
        <w:trPr>
          <w:trHeight w:val="22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r>
      <w:tr>
        <w:trPr>
          <w:trHeight w:val="212"/>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27"/>
        </w:trPr>
        <w:tc>
          <w:tcPr>
            <w:tcW w:w="8100" w:type="dxa"/>
            <w:vAlign w:val="bottom"/>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(63,591)</w:t>
            </w: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r>
      <w:tr>
        <w:trPr>
          <w:trHeight w:val="227"/>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r>
      <w:tr>
        <w:trPr>
          <w:trHeight w:val="221"/>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(103,861)</w:t>
            </w:r>
          </w:p>
        </w:tc>
      </w:tr>
      <w:tr>
        <w:trPr>
          <w:trHeight w:val="221"/>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258,198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(50,947)</w:t>
            </w:r>
          </w:p>
        </w:tc>
      </w:tr>
      <w:tr>
        <w:trPr>
          <w:trHeight w:val="22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21"/>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256,677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(193,413)</w:t>
            </w:r>
          </w:p>
        </w:tc>
      </w:tr>
      <w:tr>
        <w:trPr>
          <w:trHeight w:val="22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21"/>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(192,304)</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778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185"/>
        </w:trPr>
        <w:tc>
          <w:tcPr>
            <w:tcW w:w="77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181"/>
        </w:trPr>
        <w:tc>
          <w:tcPr>
            <w:tcW w:w="7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r>
      <w:tr>
        <w:trPr>
          <w:trHeight w:val="215"/>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Production data:</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7"/>
        </w:trPr>
        <w:tc>
          <w:tcPr>
            <w:tcW w:w="7780" w:type="dxa"/>
            <w:vAlign w:val="bottom"/>
          </w:tcPr>
          <w:p>
            <w:pPr>
              <w:ind w:left="220"/>
              <w:spacing w:after="0"/>
              <w:rPr>
                <w:sz w:val="20"/>
                <w:szCs w:val="20"/>
                <w:color w:val="auto"/>
              </w:rPr>
            </w:pPr>
            <w:r>
              <w:rPr>
                <w:rFonts w:ascii="Arial" w:cs="Arial" w:eastAsia="Arial" w:hAnsi="Arial"/>
                <w:sz w:val="18"/>
                <w:szCs w:val="18"/>
                <w:color w:val="auto"/>
              </w:rPr>
              <w:t>Oil (MBbls)</w:t>
            </w:r>
          </w:p>
        </w:tc>
        <w:tc>
          <w:tcPr>
            <w:tcW w:w="1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6,068</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5,956</w:t>
            </w:r>
          </w:p>
        </w:tc>
      </w:tr>
      <w:tr>
        <w:trPr>
          <w:trHeight w:val="228"/>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(MMcf)</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13,672</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11,486</w:t>
            </w:r>
          </w:p>
        </w:tc>
      </w:tr>
      <w:tr>
        <w:trPr>
          <w:trHeight w:val="227"/>
        </w:trPr>
        <w:tc>
          <w:tcPr>
            <w:tcW w:w="7780" w:type="dxa"/>
            <w:vAlign w:val="bottom"/>
          </w:tcPr>
          <w:p>
            <w:pPr>
              <w:ind w:left="220"/>
              <w:spacing w:after="0"/>
              <w:rPr>
                <w:sz w:val="20"/>
                <w:szCs w:val="20"/>
                <w:color w:val="auto"/>
              </w:rPr>
            </w:pPr>
            <w:r>
              <w:rPr>
                <w:rFonts w:ascii="Arial" w:cs="Arial" w:eastAsia="Arial" w:hAnsi="Arial"/>
                <w:sz w:val="18"/>
                <w:szCs w:val="18"/>
                <w:color w:val="auto"/>
              </w:rPr>
              <w:t>Natural gas liquids (MBbls)</w:t>
            </w:r>
          </w:p>
        </w:tc>
        <w:tc>
          <w:tcPr>
            <w:tcW w:w="1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1,913</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28"/>
        </w:trPr>
        <w:tc>
          <w:tcPr>
            <w:tcW w:w="778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10,260</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r>
      <w:tr>
        <w:trPr>
          <w:trHeight w:val="254"/>
        </w:trPr>
        <w:tc>
          <w:tcPr>
            <w:tcW w:w="7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28"/>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daily oil volumes (BO/d)</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16,625</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16,272</w:t>
            </w:r>
          </w:p>
        </w:tc>
      </w:tr>
      <w:tr>
        <w:trPr>
          <w:trHeight w:val="227"/>
        </w:trPr>
        <w:tc>
          <w:tcPr>
            <w:tcW w:w="7780" w:type="dxa"/>
            <w:vAlign w:val="bottom"/>
          </w:tcPr>
          <w:p>
            <w:pPr>
              <w:ind w:left="220"/>
              <w:spacing w:after="0"/>
              <w:rPr>
                <w:sz w:val="20"/>
                <w:szCs w:val="20"/>
                <w:color w:val="auto"/>
              </w:rPr>
            </w:pPr>
            <w:r>
              <w:rPr>
                <w:rFonts w:ascii="Arial" w:cs="Arial" w:eastAsia="Arial" w:hAnsi="Arial"/>
                <w:sz w:val="18"/>
                <w:szCs w:val="18"/>
                <w:color w:val="auto"/>
              </w:rPr>
              <w:t>Average daily combined volumes (BOE/d)</w:t>
            </w:r>
          </w:p>
        </w:tc>
        <w:tc>
          <w:tcPr>
            <w:tcW w:w="1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28,110</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26,551</w:t>
            </w:r>
          </w:p>
        </w:tc>
      </w:tr>
      <w:tr>
        <w:trPr>
          <w:trHeight w:val="255"/>
        </w:trPr>
        <w:tc>
          <w:tcPr>
            <w:tcW w:w="77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12"/>
        </w:trPr>
        <w:tc>
          <w:tcPr>
            <w:tcW w:w="7780" w:type="dxa"/>
            <w:vAlign w:val="bottom"/>
          </w:tcPr>
          <w:p>
            <w:pPr>
              <w:ind w:left="220"/>
              <w:spacing w:after="0"/>
              <w:rPr>
                <w:sz w:val="20"/>
                <w:szCs w:val="20"/>
                <w:color w:val="auto"/>
              </w:rPr>
            </w:pPr>
            <w:r>
              <w:rPr>
                <w:rFonts w:ascii="Arial" w:cs="Arial" w:eastAsia="Arial" w:hAnsi="Arial"/>
                <w:sz w:val="16"/>
                <w:szCs w:val="16"/>
                <w:b w:val="1"/>
                <w:bCs w:val="1"/>
                <w:color w:val="auto"/>
              </w:rPr>
              <w:t>Average sales prices: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($/Bbl)</w:t>
            </w:r>
          </w:p>
        </w:tc>
        <w:tc>
          <w:tcPr>
            <w:tcW w:w="11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65.51</w:t>
            </w:r>
          </w:p>
        </w:tc>
        <w:tc>
          <w:tcPr>
            <w:tcW w:w="10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r>
      <w:tr>
        <w:trPr>
          <w:trHeight w:val="227"/>
        </w:trPr>
        <w:tc>
          <w:tcPr>
            <w:tcW w:w="7780" w:type="dxa"/>
            <w:vAlign w:val="bottom"/>
          </w:tcPr>
          <w:p>
            <w:pPr>
              <w:ind w:left="380"/>
              <w:spacing w:after="0"/>
              <w:rPr>
                <w:sz w:val="20"/>
                <w:szCs w:val="20"/>
                <w:color w:val="auto"/>
              </w:rPr>
            </w:pPr>
            <w:r>
              <w:rPr>
                <w:rFonts w:ascii="Arial" w:cs="Arial" w:eastAsia="Arial" w:hAnsi="Arial"/>
                <w:sz w:val="18"/>
                <w:szCs w:val="18"/>
                <w:color w:val="auto"/>
              </w:rPr>
              <w:t>Natural gas ($/Mcf)</w:t>
            </w:r>
          </w:p>
        </w:tc>
        <w:tc>
          <w:tcPr>
            <w:tcW w:w="110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3.60</w:t>
            </w:r>
          </w:p>
        </w:tc>
        <w:tc>
          <w:tcPr>
            <w:tcW w:w="108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28"/>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Natural gas liquids ($/Bbl)</w:t>
            </w:r>
          </w:p>
        </w:tc>
        <w:tc>
          <w:tcPr>
            <w:tcW w:w="11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28.66</w:t>
            </w:r>
          </w:p>
        </w:tc>
        <w:tc>
          <w:tcPr>
            <w:tcW w:w="10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28"/>
        </w:trPr>
        <w:tc>
          <w:tcPr>
            <w:tcW w:w="7780" w:type="dxa"/>
            <w:vAlign w:val="bottom"/>
          </w:tcPr>
          <w:p>
            <w:pPr>
              <w:ind w:left="380"/>
              <w:spacing w:after="0" w:line="228"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110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48.88</w:t>
            </w:r>
          </w:p>
        </w:tc>
        <w:tc>
          <w:tcPr>
            <w:tcW w:w="108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25.41</w:t>
            </w:r>
          </w:p>
        </w:tc>
      </w:tr>
      <w:tr>
        <w:trPr>
          <w:trHeight w:val="254"/>
        </w:trPr>
        <w:tc>
          <w:tcPr>
            <w:tcW w:w="77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8"/>
        </w:trPr>
        <w:tc>
          <w:tcPr>
            <w:tcW w:w="7780" w:type="dxa"/>
            <w:vAlign w:val="bottom"/>
          </w:tcPr>
          <w:p>
            <w:pPr>
              <w:ind w:left="380"/>
              <w:spacing w:after="0" w:line="228"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110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50.25</w:t>
            </w:r>
          </w:p>
        </w:tc>
        <w:tc>
          <w:tcPr>
            <w:tcW w:w="108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28"/>
        </w:trPr>
        <w:tc>
          <w:tcPr>
            <w:tcW w:w="7780" w:type="dxa"/>
            <w:vAlign w:val="bottom"/>
            <w:shd w:val="clear" w:color="auto" w:fill="CCEEFF"/>
          </w:tcPr>
          <w:p>
            <w:pPr>
              <w:ind w:left="380"/>
              <w:spacing w:after="0" w:line="228"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11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3.60</w:t>
            </w:r>
          </w:p>
        </w:tc>
        <w:tc>
          <w:tcPr>
            <w:tcW w:w="10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8"/>
        </w:trPr>
        <w:tc>
          <w:tcPr>
            <w:tcW w:w="7780" w:type="dxa"/>
            <w:vAlign w:val="bottom"/>
          </w:tcPr>
          <w:p>
            <w:pPr>
              <w:ind w:left="380"/>
              <w:spacing w:after="0" w:line="228"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110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28.66</w:t>
            </w:r>
          </w:p>
        </w:tc>
        <w:tc>
          <w:tcPr>
            <w:tcW w:w="108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8"/>
        </w:trPr>
        <w:tc>
          <w:tcPr>
            <w:tcW w:w="7780" w:type="dxa"/>
            <w:vAlign w:val="bottom"/>
            <w:shd w:val="clear" w:color="auto" w:fill="CCEEFF"/>
          </w:tcPr>
          <w:p>
            <w:pPr>
              <w:ind w:left="380"/>
              <w:spacing w:after="0" w:line="228"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11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39.86</w:t>
            </w:r>
          </w:p>
        </w:tc>
        <w:tc>
          <w:tcPr>
            <w:tcW w:w="10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bl>
    <w:p>
      <w:pPr>
        <w:spacing w:after="0" w:line="25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Average costs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-115570</wp:posOffset>
            </wp:positionV>
            <wp:extent cx="7068820"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068820" cy="13589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p>
      <w:pPr>
        <w:spacing w:after="0" w:line="30"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Production and ad valorem taxes</w:t>
            </w:r>
          </w:p>
        </w:tc>
        <w:tc>
          <w:tcPr>
            <w:tcW w:w="7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4"/>
        </w:trPr>
        <w:tc>
          <w:tcPr>
            <w:tcW w:w="7440" w:type="dxa"/>
            <w:vAlign w:val="bottom"/>
          </w:tcPr>
          <w:p>
            <w:pPr>
              <w:spacing w:after="0" w:line="234"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221"/>
        </w:trPr>
        <w:tc>
          <w:tcPr>
            <w:tcW w:w="7440" w:type="dxa"/>
            <w:vAlign w:val="bottom"/>
          </w:tcPr>
          <w:p>
            <w:pPr>
              <w:ind w:left="80"/>
              <w:spacing w:after="0"/>
              <w:rPr>
                <w:sz w:val="20"/>
                <w:szCs w:val="20"/>
                <w:color w:val="auto"/>
              </w:rPr>
            </w:pPr>
            <w:r>
              <w:rPr>
                <w:rFonts w:ascii="Arial" w:cs="Arial" w:eastAsia="Arial" w:hAnsi="Arial"/>
                <w:sz w:val="18"/>
                <w:szCs w:val="18"/>
                <w:color w:val="auto"/>
              </w:rPr>
              <w:t>Total operating expense - cash</w:t>
            </w: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7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7"/>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 non-cash unit compensation expense</w:t>
            </w:r>
          </w:p>
        </w:tc>
        <w:tc>
          <w:tcPr>
            <w:tcW w:w="7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8"/>
        </w:trPr>
        <w:tc>
          <w:tcPr>
            <w:tcW w:w="7440" w:type="dxa"/>
            <w:vAlign w:val="bottom"/>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8"/>
        </w:trPr>
        <w:tc>
          <w:tcPr>
            <w:tcW w:w="7440" w:type="dxa"/>
            <w:vAlign w:val="bottom"/>
          </w:tcPr>
          <w:p>
            <w:pPr>
              <w:spacing w:after="0"/>
              <w:rPr>
                <w:sz w:val="20"/>
                <w:szCs w:val="20"/>
                <w:color w:val="auto"/>
              </w:rPr>
            </w:pPr>
            <w:r>
              <w:rPr>
                <w:rFonts w:ascii="Arial" w:cs="Arial" w:eastAsia="Arial" w:hAnsi="Arial"/>
                <w:sz w:val="18"/>
                <w:szCs w:val="18"/>
                <w:color w:val="auto"/>
              </w:rPr>
              <w:t>Depletion</w:t>
            </w:r>
          </w:p>
        </w:tc>
        <w:tc>
          <w:tcPr>
            <w:tcW w:w="7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-908050</wp:posOffset>
            </wp:positionV>
            <wp:extent cx="7068820" cy="14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068820" cy="14478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-287655</wp:posOffset>
            </wp:positionV>
            <wp:extent cx="7068820" cy="14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068820" cy="14478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-593725</wp:posOffset>
            </wp:positionV>
            <wp:extent cx="7068820" cy="161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068820" cy="161290"/>
                    </a:xfrm>
                    <a:prstGeom prst="rect">
                      <a:avLst/>
                    </a:prstGeom>
                    <a:noFill/>
                  </pic:spPr>
                </pic:pic>
              </a:graphicData>
            </a:graphic>
          </wp:anchor>
        </w:drawing>
      </w:r>
    </w:p>
    <w:p>
      <w:pPr>
        <w:spacing w:after="0" w:line="61"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0"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Hedged prices reflect the impact of cash settlements on our matured commodity derivative transactions on our average sales prices.</w:t>
      </w:r>
    </w:p>
    <w:p>
      <w:pPr>
        <w:spacing w:after="0" w:line="30" w:lineRule="exact"/>
        <w:rPr>
          <w:rFonts w:ascii="Arial" w:cs="Arial" w:eastAsia="Arial" w:hAnsi="Arial"/>
          <w:sz w:val="16"/>
          <w:szCs w:val="16"/>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non-cash unit compensation for the respective periods presented.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73" w:hanging="1073"/>
        <w:spacing w:after="0"/>
        <w:tabs>
          <w:tab w:leader="none" w:pos="1073" w:val="left"/>
        </w:tabs>
        <w:numPr>
          <w:ilvl w:val="0"/>
          <w:numId w:val="16"/>
        </w:numPr>
        <w:rPr>
          <w:rFonts w:ascii="Arial" w:cs="Arial" w:eastAsia="Arial" w:hAnsi="Arial"/>
          <w:sz w:val="13"/>
          <w:szCs w:val="13"/>
          <w:color w:val="auto"/>
        </w:rPr>
      </w:pPr>
      <w:r>
        <w:rPr>
          <w:rFonts w:ascii="Arial" w:cs="Arial" w:eastAsia="Arial" w:hAnsi="Arial"/>
          <w:sz w:val="13"/>
          <w:szCs w:val="13"/>
          <w:color w:val="auto"/>
        </w:rPr>
        <w:t>2.04</w:t>
      </w:r>
    </w:p>
    <w:p>
      <w:pPr>
        <w:spacing w:after="0" w:line="78" w:lineRule="exact"/>
        <w:rPr>
          <w:rFonts w:ascii="Arial" w:cs="Arial" w:eastAsia="Arial" w:hAnsi="Arial"/>
          <w:sz w:val="13"/>
          <w:szCs w:val="13"/>
          <w:color w:val="auto"/>
        </w:rPr>
      </w:pPr>
    </w:p>
    <w:p>
      <w:pPr>
        <w:ind w:left="1073"/>
        <w:spacing w:after="0"/>
        <w:rPr>
          <w:rFonts w:ascii="Arial" w:cs="Arial" w:eastAsia="Arial" w:hAnsi="Arial"/>
          <w:sz w:val="13"/>
          <w:szCs w:val="13"/>
          <w:color w:val="auto"/>
        </w:rPr>
      </w:pPr>
      <w:r>
        <w:rPr>
          <w:rFonts w:ascii="Arial" w:cs="Arial" w:eastAsia="Arial" w:hAnsi="Arial"/>
          <w:sz w:val="13"/>
          <w:szCs w:val="13"/>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50165</wp:posOffset>
            </wp:positionV>
            <wp:extent cx="9982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72" w:lineRule="exact"/>
        <w:rPr>
          <w:sz w:val="20"/>
          <w:szCs w:val="20"/>
          <w:color w:val="auto"/>
        </w:rPr>
      </w:pPr>
    </w:p>
    <w:p>
      <w:pPr>
        <w:ind w:left="1073" w:hanging="1073"/>
        <w:spacing w:after="0"/>
        <w:tabs>
          <w:tab w:leader="none" w:pos="1073" w:val="left"/>
        </w:tabs>
        <w:numPr>
          <w:ilvl w:val="0"/>
          <w:numId w:val="17"/>
        </w:numPr>
        <w:rPr>
          <w:rFonts w:ascii="Arial" w:cs="Arial" w:eastAsia="Arial" w:hAnsi="Arial"/>
          <w:sz w:val="13"/>
          <w:szCs w:val="13"/>
          <w:color w:val="auto"/>
        </w:rPr>
      </w:pPr>
      <w:r>
        <w:rPr>
          <w:rFonts w:ascii="Arial" w:cs="Arial" w:eastAsia="Arial" w:hAnsi="Arial"/>
          <w:sz w:val="13"/>
          <w:szCs w:val="13"/>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50165</wp:posOffset>
            </wp:positionV>
            <wp:extent cx="9982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339" w:lineRule="exact"/>
        <w:rPr>
          <w:sz w:val="20"/>
          <w:szCs w:val="20"/>
          <w:color w:val="auto"/>
        </w:rPr>
      </w:pPr>
    </w:p>
    <w:p>
      <w:pPr>
        <w:ind w:left="1073" w:hanging="1073"/>
        <w:spacing w:after="0"/>
        <w:tabs>
          <w:tab w:leader="none" w:pos="1073" w:val="left"/>
        </w:tabs>
        <w:numPr>
          <w:ilvl w:val="0"/>
          <w:numId w:val="18"/>
        </w:numPr>
        <w:rPr>
          <w:rFonts w:ascii="Arial" w:cs="Arial" w:eastAsia="Arial" w:hAnsi="Arial"/>
          <w:sz w:val="13"/>
          <w:szCs w:val="13"/>
          <w:color w:val="auto"/>
        </w:rPr>
      </w:pPr>
      <w:r>
        <w:rPr>
          <w:rFonts w:ascii="Arial" w:cs="Arial" w:eastAsia="Arial" w:hAnsi="Arial"/>
          <w:sz w:val="13"/>
          <w:szCs w:val="13"/>
          <w:color w:val="auto"/>
        </w:rPr>
        <w:t>0.13</w:t>
      </w:r>
    </w:p>
    <w:p>
      <w:pPr>
        <w:spacing w:after="0" w:line="78" w:lineRule="exact"/>
        <w:rPr>
          <w:sz w:val="20"/>
          <w:szCs w:val="20"/>
          <w:color w:val="auto"/>
        </w:rPr>
      </w:pPr>
    </w:p>
    <w:p>
      <w:pPr>
        <w:ind w:left="1073" w:hanging="1073"/>
        <w:spacing w:after="0"/>
        <w:tabs>
          <w:tab w:leader="none" w:pos="1073" w:val="left"/>
        </w:tabs>
        <w:numPr>
          <w:ilvl w:val="0"/>
          <w:numId w:val="19"/>
        </w:numPr>
        <w:rPr>
          <w:rFonts w:ascii="Arial" w:cs="Arial" w:eastAsia="Arial" w:hAnsi="Arial"/>
          <w:sz w:val="13"/>
          <w:szCs w:val="13"/>
          <w:color w:val="auto"/>
        </w:rPr>
      </w:pPr>
      <w:r>
        <w:rPr>
          <w:rFonts w:ascii="Arial" w:cs="Arial" w:eastAsia="Arial" w:hAnsi="Arial"/>
          <w:sz w:val="13"/>
          <w:szCs w:val="13"/>
          <w:color w:val="auto"/>
        </w:rPr>
        <w:t>3.40</w:t>
      </w:r>
    </w:p>
    <w:p>
      <w:pPr>
        <w:spacing w:after="0" w:line="78" w:lineRule="exact"/>
        <w:rPr>
          <w:rFonts w:ascii="Arial" w:cs="Arial" w:eastAsia="Arial" w:hAnsi="Arial"/>
          <w:sz w:val="13"/>
          <w:szCs w:val="13"/>
          <w:color w:val="auto"/>
        </w:rPr>
      </w:pPr>
    </w:p>
    <w:p>
      <w:pPr>
        <w:ind w:left="973" w:hanging="973"/>
        <w:spacing w:after="0"/>
        <w:tabs>
          <w:tab w:leader="none" w:pos="973" w:val="left"/>
        </w:tabs>
        <w:numPr>
          <w:ilvl w:val="0"/>
          <w:numId w:val="19"/>
        </w:numPr>
        <w:rPr>
          <w:rFonts w:ascii="Arial" w:cs="Arial" w:eastAsia="Arial" w:hAnsi="Arial"/>
          <w:sz w:val="15"/>
          <w:szCs w:val="15"/>
          <w:color w:val="auto"/>
        </w:rPr>
      </w:pPr>
      <w:r>
        <w:rPr>
          <w:rFonts w:ascii="Arial" w:cs="Arial" w:eastAsia="Arial" w:hAnsi="Arial"/>
          <w:sz w:val="15"/>
          <w:szCs w:val="15"/>
          <w:color w:val="auto"/>
        </w:rPr>
        <w:t>10.34</w:t>
      </w:r>
    </w:p>
    <w:p>
      <w:pPr>
        <w:spacing w:after="0" w:line="1197" w:lineRule="exact"/>
        <w:rPr>
          <w:sz w:val="20"/>
          <w:szCs w:val="20"/>
          <w:color w:val="auto"/>
        </w:rPr>
      </w:pPr>
    </w:p>
    <w:p>
      <w:pPr>
        <w:sectPr>
          <w:pgSz w:w="11900" w:h="16838" w:orient="portrait"/>
          <w:cols w:equalWidth="0" w:num="2">
            <w:col w:w="9700" w:space="287"/>
            <w:col w:w="1353"/>
          </w:cols>
          <w:pgMar w:left="320" w:top="125" w:right="2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Royalty Income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royalty income is a function of oil, natural gas liquids and natural gas production volumes sold and average prices received for those volumes.</w:t>
      </w:r>
    </w:p>
    <w:p>
      <w:pPr>
        <w:spacing w:after="0" w:line="246" w:lineRule="exact"/>
        <w:rPr>
          <w:sz w:val="20"/>
          <w:szCs w:val="20"/>
          <w:color w:val="auto"/>
        </w:rPr>
      </w:pPr>
    </w:p>
    <w:p>
      <w:pPr>
        <w:jc w:val="both"/>
        <w:ind w:firstLine="643"/>
        <w:spacing w:after="0" w:line="232" w:lineRule="auto"/>
        <w:rPr>
          <w:rFonts w:ascii="Arial" w:cs="Arial" w:eastAsia="Arial" w:hAnsi="Arial"/>
          <w:sz w:val="18"/>
          <w:szCs w:val="18"/>
          <w:color w:val="auto"/>
        </w:rPr>
      </w:pPr>
      <w:r>
        <w:rPr>
          <w:rFonts w:ascii="Arial" w:cs="Arial" w:eastAsia="Arial" w:hAnsi="Arial"/>
          <w:sz w:val="18"/>
          <w:szCs w:val="18"/>
          <w:color w:val="auto"/>
        </w:rPr>
        <w:t xml:space="preserve">Royalty income increased $254.6 million during the year ended December 31, 2021 compared to 2020. Higher average prices contributed approximately $248.0 million of the total increase, due largely to the recovery in oil prices, and to a lesser extent, natural gas and natural gas liquids prices from historic lows experienced in the 2020 as discussed in “— </w:t>
      </w:r>
      <w:hyperlink w:anchor="page38">
        <w:r>
          <w:rPr>
            <w:rFonts w:ascii="Arial" w:cs="Arial" w:eastAsia="Arial" w:hAnsi="Arial"/>
            <w:sz w:val="18"/>
            <w:szCs w:val="18"/>
            <w:i w:val="1"/>
            <w:iCs w:val="1"/>
            <w:u w:val="single" w:color="auto"/>
            <w:color w:val="0000FF"/>
          </w:rPr>
          <w:t>Overview</w:t>
        </w:r>
      </w:hyperlink>
      <w:r>
        <w:rPr>
          <w:rFonts w:ascii="Arial" w:cs="Arial" w:eastAsia="Arial" w:hAnsi="Arial"/>
          <w:sz w:val="18"/>
          <w:szCs w:val="18"/>
          <w:i w:val="1"/>
          <w:iCs w:val="1"/>
          <w:color w:val="auto"/>
        </w:rPr>
        <w:t>.”</w:t>
      </w:r>
    </w:p>
    <w:p>
      <w:pPr>
        <w:spacing w:after="0" w:line="203"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The 6% increase in production volumes during the year ended December 31, 2021 compared to 2020 contributed approximately $6.5 million of the total increase in royalty income. The increase in production was primarily attributable to new well additions between periods.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production and ad valorem taxes for the years ended December 31,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BOE</w:t>
            </w: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BOE</w:t>
            </w: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Percentage of Royalty</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Royalty Income</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5.2 %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4.9 %</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6.5 %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1"/>
              </w:rPr>
              <w:t>8.0 %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2021 remained consistent with 2020. Ad valorem taxes are based, among other factors, on property values driven by prior year commodity prices. Ad valorem taxes as a percentage of royalty income for the same period in 2021 compared to 2020 decreased primarily due to improved average sales prices, while the tax valuation of oil and natural gas interests declined. We expect production and ad valorem taxes for 2022 to be approximately 7% to 8% of revenue.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Depletion</w:t>
      </w:r>
    </w:p>
    <w:p>
      <w:pPr>
        <w:spacing w:after="0" w:line="23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6"/>
          <w:szCs w:val="16"/>
          <w:color w:val="auto"/>
        </w:rPr>
        <w:t>The $2.5 million, or 2%, increase in depletion expense for 2021 compared to 2020 was due primarily to an increase in production, partially offset by a decrease in the depletion rate to $10.04 from $10.34, respectively. The rate decrease largely resulted from higher SEC oil prices utilized in the reserve calculations in the 2021 period, lengthening the economic life of the reserve base and resulting in higher projected remaining reserve volumes on our wells.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There was no impairment recorded for the year ended December 31, 2021. We recorded an impairment expense of $69.2 million as a result of the decline in commodity prices for the year ended December 31, 2020.</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48" w:lineRule="exact"/>
        <w:rPr>
          <w:sz w:val="20"/>
          <w:szCs w:val="20"/>
          <w:color w:val="auto"/>
        </w:rPr>
      </w:pPr>
    </w:p>
    <w:p>
      <w:pPr>
        <w:jc w:val="both"/>
        <w:ind w:firstLine="205"/>
        <w:spacing w:after="0" w:line="275" w:lineRule="auto"/>
        <w:rPr>
          <w:rFonts w:ascii="Arial" w:cs="Arial" w:eastAsia="Arial" w:hAnsi="Arial"/>
          <w:sz w:val="17"/>
          <w:szCs w:val="17"/>
          <w:color w:val="auto"/>
        </w:rPr>
      </w:pPr>
      <w:r>
        <w:rPr>
          <w:rFonts w:ascii="Arial" w:cs="Arial" w:eastAsia="Arial" w:hAnsi="Arial"/>
          <w:sz w:val="17"/>
          <w:szCs w:val="17"/>
          <w:color w:val="auto"/>
        </w:rPr>
        <w:t>Net interest expense for 2021 and 2020 was $34.0 million and $33.0 million, respectively. The increase of $1.0 million was due to increased borrowings during 2021 compared to 2020, as approximately $190.0 million of the Swallowtail Acquisition was funded with additional borrowings under the Operating Company’s revolving credit facility in October 2021 as discussed in “—</w:t>
      </w:r>
      <w:hyperlink w:anchor="page38">
        <w:r>
          <w:rPr>
            <w:rFonts w:ascii="Arial" w:cs="Arial" w:eastAsia="Arial" w:hAnsi="Arial"/>
            <w:sz w:val="17"/>
            <w:szCs w:val="17"/>
            <w:i w:val="1"/>
            <w:iCs w:val="1"/>
            <w:u w:val="single" w:color="auto"/>
            <w:color w:val="0000FF"/>
          </w:rPr>
          <w:t>2021 Transactions and Recent Developments</w:t>
        </w:r>
      </w:hyperlink>
      <w:r>
        <w:rPr>
          <w:rFonts w:ascii="Arial" w:cs="Arial" w:eastAsia="Arial" w:hAnsi="Arial"/>
          <w:sz w:val="17"/>
          <w:szCs w:val="17"/>
          <w:color w:val="auto"/>
        </w:rPr>
        <w:t>” above. This increase was partially offset by repayments of borrowings under the Operating Company’s revolving credit facility and the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w w:val="98"/>
              </w:rPr>
              <w:t>Year Ended December 31,</w:t>
            </w:r>
          </w:p>
        </w:tc>
      </w:tr>
      <w:tr>
        <w:trPr>
          <w:trHeight w:val="208"/>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2020</w:t>
            </w:r>
          </w:p>
        </w:tc>
      </w:tr>
      <w:tr>
        <w:trPr>
          <w:trHeight w:val="208"/>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w:t>
            </w:r>
          </w:p>
        </w:tc>
      </w:tr>
      <w:tr>
        <w:trPr>
          <w:trHeight w:val="227"/>
        </w:trPr>
        <w:tc>
          <w:tcPr>
            <w:tcW w:w="854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(92,585)</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(36,998)</w:t>
            </w:r>
          </w:p>
        </w:tc>
      </w:tr>
    </w:tbl>
    <w:p>
      <w:pPr>
        <w:spacing w:after="0" w:line="30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We recorded losses on our derivative instruments for the year ended December 31, 2021 and 2020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(Loss) on Revaluation of Investment</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did not record a gain or loss on revaluation of investment for the year ended December 31, 2021, as we fully divested our equity interest in a limited partnership during 2020. We recorded loss on revaluation of investment of $8.6 million for the year ended December 31, 2020 primarily due to recording the remaining investment at its fair value during that period.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48" w:lineRule="exact"/>
        <w:rPr>
          <w:sz w:val="20"/>
          <w:szCs w:val="20"/>
          <w:color w:val="auto"/>
        </w:rPr>
      </w:pPr>
    </w:p>
    <w:p>
      <w:pPr>
        <w:jc w:val="both"/>
        <w:ind w:firstLine="643"/>
        <w:spacing w:after="0" w:line="253" w:lineRule="auto"/>
        <w:rPr>
          <w:rFonts w:ascii="Arial" w:cs="Arial" w:eastAsia="Arial" w:hAnsi="Arial"/>
          <w:sz w:val="18"/>
          <w:szCs w:val="18"/>
          <w:color w:val="auto"/>
        </w:rPr>
      </w:pPr>
      <w:r>
        <w:rPr>
          <w:rFonts w:ascii="Arial" w:cs="Arial" w:eastAsia="Arial" w:hAnsi="Arial"/>
          <w:sz w:val="18"/>
          <w:szCs w:val="18"/>
          <w:color w:val="auto"/>
        </w:rPr>
        <w:t>We recorded an income tax expense of $1.5 million and $142.5 million for the years ended December 31, 2021 and 2020, respectively. The change in our income tax provision was primarily due to the impact of recording a valuation allowance on our deferred tax assets during the first quarter of 2020. The total income tax provision for the year ended December 31, 2021 differed from amounts computed by applying the federal statutory tax rate to pre-tax income for the period primarily due to net income attributable to the non-controlling interest and the impact of maintaining a valuation allowance on our deferred tax assets. See Note 9—</w:t>
      </w:r>
      <w:hyperlink w:anchor="page91">
        <w:r>
          <w:rPr>
            <w:rFonts w:ascii="Arial" w:cs="Arial" w:eastAsia="Arial" w:hAnsi="Arial"/>
            <w:sz w:val="18"/>
            <w:szCs w:val="18"/>
            <w:u w:val="single" w:color="auto"/>
            <w:color w:val="0000FF"/>
          </w:rPr>
          <w:t>Income Taxes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elsewhere in this Annual Report for further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and investments, equity and debt offerings and borrowings under the Operating Company’s credit agreement. Our primary uses of cash have been distributions to our unitholders, repayment of debt, capital expenditures for the acquisition of our mineral interests and royalty interests in oil and natural gas properties and repurchases of our common units. At December 31, 2021, we had approximately $235.4 million of liquidity consisting of $39.4 million in cash and cash equivalents and $196.0 million available under the Operating Company’s credit agreement.</w:t>
      </w:r>
    </w:p>
    <w:p>
      <w:pPr>
        <w:spacing w:after="0" w:line="207"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repurchase program and any amounts that may ultimately be paid in connection with contingencies.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left="640"/>
        <w:spacing w:after="0"/>
        <w:rPr>
          <w:rFonts w:ascii="Arial" w:cs="Arial" w:eastAsia="Arial" w:hAnsi="Arial"/>
          <w:sz w:val="16"/>
          <w:szCs w:val="16"/>
          <w:color w:val="auto"/>
        </w:rPr>
      </w:pPr>
      <w:hyperlink w:anchor="page49">
        <w:r>
          <w:rPr>
            <w:rFonts w:ascii="Arial" w:cs="Arial" w:eastAsia="Arial" w:hAnsi="Arial"/>
            <w:sz w:val="16"/>
            <w:szCs w:val="16"/>
            <w:color w:val="auto"/>
          </w:rPr>
          <w:t xml:space="preserve">In order to mitigate volatility in oil and natural gas prices, we have entered into commodity derivative contracts as discussed further in </w:t>
        </w:r>
        <w:r>
          <w:rPr>
            <w:rFonts w:ascii="Arial" w:cs="Arial" w:eastAsia="Arial" w:hAnsi="Arial"/>
            <w:sz w:val="16"/>
            <w:szCs w:val="16"/>
            <w:u w:val="single" w:color="auto"/>
            <w:color w:val="0000FF"/>
          </w:rPr>
          <w:t>Item 7A.</w:t>
        </w:r>
      </w:hyperlink>
    </w:p>
    <w:p>
      <w:pPr>
        <w:spacing w:after="0" w:line="43" w:lineRule="exact"/>
        <w:rPr>
          <w:sz w:val="20"/>
          <w:szCs w:val="20"/>
          <w:color w:val="auto"/>
        </w:rPr>
      </w:pPr>
    </w:p>
    <w:p>
      <w:pPr>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hyperlink>
    </w:p>
    <w:p>
      <w:pPr>
        <w:spacing w:after="0" w:line="23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Continued prolonged volatility in the capital, financial and, or credit markets due to the COVID-19 pandemic, the depressed commodity markets and, or adverse macroeconomic conditions may limit our access to, or increase our cost of, capital or make capital unavailable on terms acceptable to us or at all. Although the Partnership expects that its sources of funding will be adequate to fund its short-term and long-term liquidity requirements, we cannot assure you that the needed capital will be available on acceptable terms or at all.</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cash flows for the period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1"/>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r>
      <w:tr>
        <w:trPr>
          <w:trHeight w:val="215"/>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7"/>
        </w:trPr>
        <w:tc>
          <w:tcPr>
            <w:tcW w:w="846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307,114</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196,556</w:t>
            </w:r>
          </w:p>
        </w:tc>
      </w:tr>
      <w:tr>
        <w:trPr>
          <w:trHeight w:val="228"/>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r>
      <w:tr>
        <w:trPr>
          <w:trHeight w:val="227"/>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(164,754)</w:t>
            </w:r>
          </w:p>
        </w:tc>
      </w:tr>
      <w:tr>
        <w:trPr>
          <w:trHeight w:val="24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248" w:lineRule="exact"/>
        <w:rPr>
          <w:sz w:val="20"/>
          <w:szCs w:val="20"/>
          <w:color w:val="auto"/>
        </w:rPr>
      </w:pPr>
    </w:p>
    <w:p>
      <w:pPr>
        <w:jc w:val="both"/>
        <w:ind w:firstLine="643"/>
        <w:spacing w:after="0" w:line="286" w:lineRule="auto"/>
        <w:rPr>
          <w:rFonts w:ascii="Arial" w:cs="Arial" w:eastAsia="Arial" w:hAnsi="Arial"/>
          <w:sz w:val="16"/>
          <w:szCs w:val="16"/>
          <w:color w:val="auto"/>
        </w:rPr>
      </w:pPr>
      <w:r>
        <w:rPr>
          <w:rFonts w:ascii="Arial" w:cs="Arial" w:eastAsia="Arial" w:hAnsi="Arial"/>
          <w:sz w:val="16"/>
          <w:szCs w:val="16"/>
          <w:color w:val="auto"/>
        </w:rPr>
        <w:t>Our operating cash flow is sensitive to many variables, the most significant of which are the volatility of prices for oil and natural gas and the volume of oil and natural gas sold by our producers as discussed in “</w:t>
      </w:r>
      <w:hyperlink w:anchor="page41">
        <w:r>
          <w:rPr>
            <w:rFonts w:ascii="Arial" w:cs="Arial" w:eastAsia="Arial" w:hAnsi="Arial"/>
            <w:sz w:val="16"/>
            <w:szCs w:val="16"/>
            <w:u w:val="single" w:color="auto"/>
            <w:color w:val="0000FF"/>
          </w:rPr>
          <w:t>—</w:t>
        </w:r>
        <w:r>
          <w:rPr>
            <w:rFonts w:ascii="Arial" w:cs="Arial" w:eastAsia="Arial" w:hAnsi="Arial"/>
            <w:sz w:val="16"/>
            <w:szCs w:val="16"/>
            <w:i w:val="1"/>
            <w:iCs w:val="1"/>
            <w:u w:val="single" w:color="auto"/>
            <w:color w:val="0000FF"/>
          </w:rPr>
          <w:t>Results of Operations</w:t>
        </w:r>
      </w:hyperlink>
      <w:r>
        <w:rPr>
          <w:rFonts w:ascii="Arial" w:cs="Arial" w:eastAsia="Arial" w:hAnsi="Arial"/>
          <w:sz w:val="16"/>
          <w:szCs w:val="16"/>
          <w:color w:val="auto"/>
        </w:rPr>
        <w:t>” above.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increase in net cash provided by operating activities during the year ended December 31, 2021 compared to the same period in 2020 was primarily driven by higher royalty income in 2021, which was largely offset by (i) changes in our working capital accounts, most notably through an increase in our royalty income accounts receivable in 2021 compared to 2020 due primarily to an increase in oil and gas prices on production sold in the fourth quarter of 2021 compared to the fourth quarter of 2020, the Swallowtail Acquisition, and the timing of our receipt of royalty income payments from our operators, (ii) an increase in cash paid for derivative settlements and (iii) an increase in production and ad valorem expenses due to the corresponding increase in royalty income.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Net cash used in investing activities during the years ended December 31, 2021 and 2020, was primarily related to acquisitions of oil and natural gas interests.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Net cash used in financing activities during the year ended December 31, 2021, was primarily related to net borrowings of $220.0 million under the Operating Company’s revolving credit facility to fund the Swallowtail Acquisition, distributions of $176.6 million to our unitholders and $46.0 million of repurchases of our common units during the fourth quarter of 2021 as discussed below.</w:t>
      </w:r>
    </w:p>
    <w:p>
      <w:pPr>
        <w:spacing w:after="0" w:line="211"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Net cash used in financing activities during the year ended December 31, 2020, was primarily related to distributions of $108.0 million to our unitholders, $24.0 million of common units repurchased as part of our unit repurchase program, repurchases of the Notes totaling $19.7 million, net of discounts during the second quarter of 2020, and net payments for borrowings under the Operating Company’s revolving credit facility of $12.5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35" w:lineRule="exact"/>
        <w:rPr>
          <w:sz w:val="20"/>
          <w:szCs w:val="20"/>
          <w:color w:val="auto"/>
        </w:rPr>
      </w:pPr>
    </w:p>
    <w:p>
      <w:pPr>
        <w:jc w:val="both"/>
        <w:ind w:left="40" w:firstLine="643"/>
        <w:spacing w:after="0" w:line="226" w:lineRule="auto"/>
        <w:rPr>
          <w:sz w:val="20"/>
          <w:szCs w:val="20"/>
          <w:color w:val="auto"/>
        </w:rPr>
      </w:pPr>
      <w:r>
        <w:rPr>
          <w:rFonts w:ascii="Arial" w:cs="Arial" w:eastAsia="Arial" w:hAnsi="Arial"/>
          <w:sz w:val="18"/>
          <w:szCs w:val="18"/>
          <w:color w:val="auto"/>
        </w:rPr>
        <w:t>The Operating Company’s credit agreement, as amended to date, provides for a revolving credit facility in the maximum credit amount of $2.0 billion, with a borrowing base of $580.0 million as of December 31, 2021, based on the Operating Company’s oil and natural gas reserves and other factors. At December 31, 2021, the Operating Company had elected a commitment amount of $500.0 million on its credit agreement with $304.0 million of outstanding borrowings. During the year ended December 31, 2021, the weighted average interest rate on borrowings under the Operating Company’s revolving credit facility was 2.35%.</w:t>
      </w:r>
    </w:p>
    <w:p>
      <w:pPr>
        <w:spacing w:after="0" w:line="231"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As of December 31, 2021, the Operating Company was in compliance, and expects to be in compliance, with all financial maintenance covenants under its credit agreement.</w:t>
      </w:r>
    </w:p>
    <w:p>
      <w:pPr>
        <w:spacing w:after="0" w:line="202"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See Note 6—</w:t>
      </w:r>
      <w:hyperlink w:anchor="page87">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elsewhere in this Annual Report for additional discussion of our outstanding debt at December 31, 2021.</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Notes</w:t>
      </w:r>
    </w:p>
    <w:p>
      <w:pPr>
        <w:spacing w:after="0" w:line="275" w:lineRule="exact"/>
        <w:rPr>
          <w:sz w:val="20"/>
          <w:szCs w:val="20"/>
          <w:color w:val="auto"/>
        </w:rPr>
      </w:pPr>
    </w:p>
    <w:p>
      <w:pPr>
        <w:jc w:val="both"/>
        <w:ind w:firstLine="643"/>
        <w:spacing w:after="0" w:line="256" w:lineRule="auto"/>
        <w:rPr>
          <w:rFonts w:ascii="Arial" w:cs="Arial" w:eastAsia="Arial" w:hAnsi="Arial"/>
          <w:sz w:val="18"/>
          <w:szCs w:val="18"/>
          <w:color w:val="auto"/>
        </w:rPr>
      </w:pPr>
      <w:r>
        <w:rPr>
          <w:rFonts w:ascii="Arial" w:cs="Arial" w:eastAsia="Arial" w:hAnsi="Arial"/>
          <w:sz w:val="18"/>
          <w:szCs w:val="18"/>
          <w:color w:val="auto"/>
        </w:rPr>
        <w:t>The outstanding Notes obligations total $479.9 million as of December 31, 2021. There are no principal amounts due until 2027. At December 31, 2021, we have a remaining aggregate interest expense obligation of $154.8 million on the Notes with $25.8 million being due each year from 2023 to 2027. The Notes are not subject to any mandatory redemption or sinking fund requirements. See Note 6—</w:t>
      </w:r>
      <w:hyperlink w:anchor="page87">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elsewhere in this Annual Report for further information on the Notes.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Unit Repurchase Program</w:t>
      </w:r>
    </w:p>
    <w:p>
      <w:pPr>
        <w:spacing w:after="0" w:line="248" w:lineRule="exact"/>
        <w:rPr>
          <w:sz w:val="20"/>
          <w:szCs w:val="20"/>
          <w:color w:val="auto"/>
        </w:rPr>
      </w:pPr>
    </w:p>
    <w:p>
      <w:pPr>
        <w:jc w:val="both"/>
        <w:ind w:firstLine="643"/>
        <w:spacing w:after="0" w:line="276" w:lineRule="auto"/>
        <w:rPr>
          <w:rFonts w:ascii="Arial" w:cs="Arial" w:eastAsia="Arial" w:hAnsi="Arial"/>
          <w:sz w:val="16"/>
          <w:szCs w:val="16"/>
          <w:color w:val="auto"/>
        </w:rPr>
      </w:pPr>
      <w:r>
        <w:rPr>
          <w:rFonts w:ascii="Arial" w:cs="Arial" w:eastAsia="Arial" w:hAnsi="Arial"/>
          <w:sz w:val="16"/>
          <w:szCs w:val="16"/>
          <w:color w:val="auto"/>
        </w:rPr>
        <w:t>On November 15, 2021, the board of directors of our General Partner approved an increase of the authorization of its common unit repurchase program to $150.0 million of the Partnership’s outstanding common units and extended the authorization indefinitely. During the year ended December 31, 2021, the Partnership repurchased approximately $46.0 million of common units under the repurchase program. As of December 31, 2021, $80.0 million remains available for use to repurchase units under the repurchase program. See Note 7—</w:t>
      </w:r>
      <w:hyperlink w:anchor="page89">
        <w:r>
          <w:rPr>
            <w:rFonts w:ascii="Arial" w:cs="Arial" w:eastAsia="Arial" w:hAnsi="Arial"/>
            <w:sz w:val="16"/>
            <w:szCs w:val="16"/>
            <w:u w:val="single" w:color="auto"/>
            <w:color w:val="0000FF"/>
          </w:rPr>
          <w:t>Unitholders' Equity and Distributions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elsewhere in this Annual Report for further discussion of the unit repurchase program.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Distributions</w:t>
      </w:r>
    </w:p>
    <w:p>
      <w:pPr>
        <w:spacing w:after="0" w:line="235"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18"/>
          <w:szCs w:val="18"/>
          <w:color w:val="auto"/>
        </w:rPr>
        <w:t>We paid total distributions of $176.5 million and $108.0 million on our common units and the Operating Company’s Class B units during 2021 and 2020, respectively. Beginning with the first quarter of 2020, the board of directors of our General Partner revised the distribution policy to provide that the Operating Company would distribute a percentage of its available cash to its unitholders (including Diamondback and us) rather than all of its available cash as it had previously done.</w:t>
      </w:r>
    </w:p>
    <w:p>
      <w:pPr>
        <w:spacing w:after="0" w:line="218" w:lineRule="exact"/>
        <w:rPr>
          <w:sz w:val="20"/>
          <w:szCs w:val="20"/>
          <w:color w:val="auto"/>
        </w:rPr>
      </w:pPr>
    </w:p>
    <w:p>
      <w:pPr>
        <w:jc w:val="both"/>
        <w:ind w:firstLine="643"/>
        <w:spacing w:after="0" w:line="270" w:lineRule="auto"/>
        <w:rPr>
          <w:rFonts w:ascii="Arial" w:cs="Arial" w:eastAsia="Arial" w:hAnsi="Arial"/>
          <w:sz w:val="17"/>
          <w:szCs w:val="17"/>
          <w:color w:val="auto"/>
        </w:rPr>
      </w:pPr>
      <w:r>
        <w:rPr>
          <w:rFonts w:ascii="Arial" w:cs="Arial" w:eastAsia="Arial" w:hAnsi="Arial"/>
          <w:sz w:val="17"/>
          <w:szCs w:val="17"/>
          <w:color w:val="auto"/>
        </w:rPr>
        <w:t>The distribution for the fourth quarter of 2021 is payable on March 11, 2022 to common unitholders of record at the close of business on March 4, 2022. Based on the common units and Operating Company units held by Diamondback on February 22, 2022, the distribution payable to Diamondback for the fourth quarter of 2021 on March 11, 2022 will be approximately $43.1 million. See Note 7—</w:t>
      </w:r>
      <w:hyperlink w:anchor="page89">
        <w:r>
          <w:rPr>
            <w:rFonts w:ascii="Arial" w:cs="Arial" w:eastAsia="Arial" w:hAnsi="Arial"/>
            <w:sz w:val="17"/>
            <w:szCs w:val="17"/>
            <w:u w:val="single" w:color="auto"/>
            <w:color w:val="0000FF"/>
          </w:rPr>
          <w:t>Unitholders' Equity and Distributions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elsewhere in this Annual Report for further discussion of our distributions. We expect to continue paying quarterly cash distributions in respect of our common units. The board of directors of the General Partner may change the distribution policies at any time. We are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spacing w:after="0" w:line="212"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We consider the following to be our most critical accounting estimates and have reviewed these critical accounting estimates with the Audit Committee of our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Interest and Revenue Recognition</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We record revenue in the month production is delivered to the purchaser. However, settlement statements for certain oil, natural gas and natural gas liquids sales from third 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Partnership’s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producer. We have existing internal controls for our royalty income estimation process and related accruals, but actual third party royalty income in future periods could differ materially from estimated amounts. At December 31, 2021, our accrual for third party royalty was approximately $49.4 million. Actual revenues received from third parties differed by approximately $1.9 million or 7% compared to the accrual at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Accounting and Reserves</w:t>
      </w:r>
    </w:p>
    <w:p>
      <w:pPr>
        <w:spacing w:after="0" w:line="24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spacing w:after="0" w:line="171"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16"/>
          <w:szCs w:val="16"/>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Our independent engineers and technical staff prepare our estimates of oil and natural gas reserves and their associated future net cash flows.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properties increase the likelihood of significant changes in these estimates. If such changes are material, they could significantly affect future depletion of capitalized costs and result in impairment of assets that may be material. Revisions of previous quantity estimates accounted for approximately 4% of the change in the total standardized measure of our reserves from December 31, 2020 to December 31, 2021, and were primarily related to negative revisions due to PUD downgrades during 2021.</w:t>
      </w:r>
    </w:p>
    <w:p>
      <w:pPr>
        <w:spacing w:after="0" w:line="218" w:lineRule="exact"/>
        <w:rPr>
          <w:sz w:val="20"/>
          <w:szCs w:val="20"/>
          <w:color w:val="auto"/>
        </w:rPr>
      </w:pPr>
    </w:p>
    <w:p>
      <w:pPr>
        <w:jc w:val="both"/>
        <w:ind w:firstLine="643"/>
        <w:spacing w:after="0" w:line="267" w:lineRule="auto"/>
        <w:rPr>
          <w:rFonts w:ascii="Arial" w:cs="Arial" w:eastAsia="Arial" w:hAnsi="Arial"/>
          <w:sz w:val="17"/>
          <w:szCs w:val="17"/>
          <w:color w:val="auto"/>
        </w:rPr>
      </w:pPr>
      <w:r>
        <w:rPr>
          <w:rFonts w:ascii="Arial" w:cs="Arial" w:eastAsia="Arial" w:hAnsi="Arial"/>
          <w:sz w:val="17"/>
          <w:szCs w:val="17"/>
          <w:color w:val="auto"/>
        </w:rPr>
        <w:t>Our unevaluated property costs are tracked by lease and prospect. We assess all items classified as unevaluated property (on an individual basis or as a group if properties are individually insignificant) on an annual basis for possible impairment. This assessment is subjective and includes consideration of the calculated value for each lease based on the total costs incurred for the lease divided by the number of acres available to develop compared to current market prices for acreage in the related basins. We also monitor information available from third party operators of our acreage for future drilling plans as part of our impairment assessment. At December 31, 2021, our unevaluated properties totaled $1.6 billion. No impairments were recorded on our proved oil and natural gas properties during the years ended December 31, 2021 and 2019; however, impairment expense of $69.2 million was recorded for the year ended December 31, 2020 as discussed further in Note 5—</w:t>
      </w:r>
      <w:hyperlink w:anchor="page87">
        <w:r>
          <w:rPr>
            <w:rFonts w:ascii="Arial" w:cs="Arial" w:eastAsia="Arial" w:hAnsi="Arial"/>
            <w:sz w:val="17"/>
            <w:szCs w:val="17"/>
            <w:u w:val="single" w:color="auto"/>
            <w:color w:val="0000FF"/>
          </w:rPr>
          <w:t>Oil and Natural Gas Interests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elsewhere in this Annual Report. Due to an increase in the historical 12-month average trailing SEC prices for oil and natural throughout 2021 and into 2022, we are not currently projecting a full cost ceiling impairment in the first quarter of 2022. Any future impairment could be material to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spacing w:after="0" w:line="17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12"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49">
        <w:r>
          <w:rPr>
            <w:rFonts w:ascii="Arial" w:cs="Arial" w:eastAsia="Arial" w:hAnsi="Arial"/>
            <w:sz w:val="18"/>
            <w:szCs w:val="18"/>
            <w:u w:val="single" w:color="auto"/>
            <w:color w:val="0000FF"/>
          </w:rPr>
          <w:t>Item 7A. Quantitative and Qualitative Disclosures About Market Risk—Commodity Price Risk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sensitivity analysis of our open derivative positions at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We have elected to be treated as a corporation for U.S. federal income tax purposes. 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During the year ended December 31, 2020, we established a valuation allowance for the full amount of our deferred tax assets.</w:t>
      </w:r>
    </w:p>
    <w:p>
      <w:pPr>
        <w:spacing w:after="0" w:line="212"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jc w:val="both"/>
        <w:ind w:firstLine="643"/>
        <w:spacing w:after="0" w:line="256" w:lineRule="auto"/>
        <w:rPr>
          <w:rFonts w:ascii="Arial" w:cs="Arial" w:eastAsia="Arial" w:hAnsi="Arial"/>
          <w:sz w:val="18"/>
          <w:szCs w:val="18"/>
          <w:color w:val="auto"/>
        </w:rPr>
      </w:pPr>
      <w:r>
        <w:rPr>
          <w:rFonts w:ascii="Arial" w:cs="Arial" w:eastAsia="Arial" w:hAnsi="Arial"/>
          <w:sz w:val="18"/>
          <w:szCs w:val="18"/>
          <w:color w:val="auto"/>
        </w:rPr>
        <w:t>See Note 2—</w:t>
      </w:r>
      <w:hyperlink w:anchor="page81">
        <w:r>
          <w:rPr>
            <w:rFonts w:ascii="Arial" w:cs="Arial" w:eastAsia="Arial" w:hAnsi="Arial"/>
            <w:sz w:val="18"/>
            <w:szCs w:val="18"/>
            <w:u w:val="single" w:color="auto"/>
            <w:color w:val="0000FF"/>
          </w:rPr>
          <w:t xml:space="preserve">Summary of Significant </w:t>
        </w:r>
      </w:hyperlink>
      <w:r>
        <w:rPr>
          <w:rFonts w:ascii="Arial" w:cs="Arial" w:eastAsia="Arial" w:hAnsi="Arial"/>
          <w:sz w:val="18"/>
          <w:szCs w:val="18"/>
          <w:color w:val="auto"/>
        </w:rPr>
        <w:t xml:space="preserve">Accounting </w:t>
      </w:r>
      <w:hyperlink w:anchor="page81">
        <w:r>
          <w:rPr>
            <w:rFonts w:ascii="Arial" w:cs="Arial" w:eastAsia="Arial" w:hAnsi="Arial"/>
            <w:sz w:val="18"/>
            <w:szCs w:val="18"/>
            <w:u w:val="single" w:color="auto"/>
            <w:color w:val="0000FF"/>
          </w:rPr>
          <w:t>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in the notes of our consolidated financial statements included elsewhere in this Annual Report for a full listing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have no off-balance sheet arrangements.</w:t>
      </w: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6"/>
          <w:szCs w:val="16"/>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Additionally, the Delta variant emerged in March 2021 and became highly transmissible in July 2021, and the Omicron variant emerged in November 2021, which contributed to additional pricing and demand volatility during 2021. While certain restrictions on conducting business that were implemented in response to the COVID-19 pandemic have been lifted as improved treatments and vaccinations for COVID-19 have been rolled-out globally since late 2020, we cannot predict events that may lead to future price volatility and the near term energy outlook remains subject to heightened levels of uncertainty.</w:t>
      </w:r>
    </w:p>
    <w:p>
      <w:pPr>
        <w:spacing w:after="0" w:line="19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7"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At December 31, 2021, we had a net liability derivative position related to our commodity price derivatives of $3.4 million, related to our contracts. Utilizing actual derivative contractual volumes under our contracts as of December 31, 2021, a 10% increase in forward curves associated with the underlying commodity would have increased the net liability position by $3.6 million to $7.0 million, while a 10% decrease in forward curves associated with the underlying commodity would have decreased the net liability derivative position by $2.4 million to $1.0 million. However, any cash derivative gain or loss would be substantially offset by a decrease or increase, respectively, in the actual sales value of production covered by the derivative instrument.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Credit Risk</w:t>
      </w:r>
    </w:p>
    <w:p>
      <w:pPr>
        <w:spacing w:after="0" w:line="248" w:lineRule="exact"/>
        <w:rPr>
          <w:sz w:val="20"/>
          <w:szCs w:val="20"/>
          <w:color w:val="auto"/>
        </w:rPr>
      </w:pPr>
    </w:p>
    <w:p>
      <w:pPr>
        <w:jc w:val="both"/>
        <w:ind w:firstLine="643"/>
        <w:spacing w:after="0" w:line="293" w:lineRule="auto"/>
        <w:rPr>
          <w:rFonts w:ascii="Arial" w:cs="Arial" w:eastAsia="Arial" w:hAnsi="Arial"/>
          <w:sz w:val="16"/>
          <w:szCs w:val="16"/>
          <w:color w:val="0000FF"/>
        </w:rPr>
      </w:pPr>
      <w:r>
        <w:rPr>
          <w:rFonts w:ascii="Arial" w:cs="Arial" w:eastAsia="Arial" w:hAnsi="Arial"/>
          <w:sz w:val="16"/>
          <w:szCs w:val="16"/>
          <w:color w:val="auto"/>
        </w:rPr>
        <w:t xml:space="preserve">We are subject to risk resulting from the concentration of royalty interest revenues in producing oil and natural gas properties and receivables with a limited number of several significant purchasers. For the year ended December 31, 2021, three purchasers accounted for more than 10% of our revenue. For the years ended December 31, 2020 and 2019, four and three purchasers each accounted for more than 10% of our revenue, respectively. See Note 2— </w:t>
      </w:r>
      <w:hyperlink w:anchor="page81">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the notes to the consolidated financial statements included elsewhere in this Annual Report for further</w:t>
      </w:r>
      <w:r>
        <w:rPr>
          <w:rFonts w:ascii="Arial" w:cs="Arial" w:eastAsia="Arial" w:hAnsi="Arial"/>
          <w:sz w:val="16"/>
          <w:szCs w:val="16"/>
          <w:color w:val="0000FF"/>
        </w:rPr>
        <w:t xml:space="preserve"> </w:t>
      </w:r>
      <w:r>
        <w:rPr>
          <w:rFonts w:ascii="Arial" w:cs="Arial" w:eastAsia="Arial" w:hAnsi="Arial"/>
          <w:sz w:val="16"/>
          <w:szCs w:val="16"/>
          <w:color w:val="000000"/>
        </w:rPr>
        <w:t>details. We do not require collateral and the failure or inability of our significant purchasers to meet their obligations to us due to their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liquidity issues, bankruptcy, insolvency or liquidation may adversely affect our financial results. Volatility in commodity pricing environment and macroeconomic conditions may enhance our purchaser credit risk.</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We are obligated to pay a quarterly commitment fee ranging from 0.375% to 0.500% per year on the unused portion of the borrowing base, which fee is the least of the maximum credit amount, the aggregate elected commitment amount and the borrowing base. As of December 31, 2021, we had $304.0 million in outstanding borrowings. During the year ended December 31, 2021, the weighted average interest rate was 2.35%.</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6"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As of December 31, 2021,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2021, our disclosure controls and procedures are effective.</w:t>
      </w:r>
    </w:p>
    <w:p>
      <w:pPr>
        <w:spacing w:after="0" w:line="202"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i w:val="1"/>
          <w:iCs w:val="1"/>
          <w:color w:val="auto"/>
        </w:rPr>
        <w:t>Changes in Internal Control over Financial Reporting</w:t>
      </w:r>
      <w:r>
        <w:rPr>
          <w:rFonts w:ascii="Arial" w:cs="Arial" w:eastAsia="Arial" w:hAnsi="Arial"/>
          <w:sz w:val="17"/>
          <w:szCs w:val="17"/>
          <w:color w:val="auto"/>
        </w:rPr>
        <w:t>. In July 2021, we implemented an enterprise resource planning system covering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accounting processes. As a result of this implementation, certain internal controls over financial reporting have been automated, modified or implemented to address the new environment associated with the implementation of this system. We believe we have maintained appropriate internal control over financial reporting during the implementation and believe this new system will strengthen our internal control system. However, there are inherent risks in implementing any new system, and we will continue to evaluate these control changes as part of our assessment of internal control over financial reporting. There have not been any changes in our internal control over financial reporting that occurred during the quarter ended December 31, 2021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20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 reporting and determined that the Partnership maintained effective internal control over financial reporting as of December 31, 2021.</w:t>
      </w:r>
    </w:p>
    <w:p>
      <w:pPr>
        <w:spacing w:after="0" w:line="2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Partnership included in this Annual Report on Form 10-K, has issued their report on the effectiveness of the Partnership’s internal control over financial reporting at December 31, 2021. The report, which expresses an unqualified opinion on the effectiveness of the Partnership’s internal control over financial reporting at December 31, 2021,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Unitholders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We have audited the internal control over financial reporting of Viper Energy Partners LP (a Delaware limited partnership) and subsidiary (the “Partnership”)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Partnership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2021, and our report dated February 24, 2022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Viper Energy Partners LP</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are managed and operated by the board of directors and the executive officers of our General Partner, the latter of whom are employed by Diamondback.</w:t>
      </w:r>
    </w:p>
    <w:p>
      <w:pPr>
        <w:spacing w:after="0" w:line="20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Diamondback owns all of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21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The executive officers listed below allocate their time between managing our business and the business of Diamondback. In addition, Messrs. Stice, Van’t Hof and Zmigrosky and Ms. Dick allocate a portion of their time to Rattler Midstream LP, Diamondback’s other publicly traded subsidiary, which we refer to as Rattler.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following table shows information for the executive officers and directors of our General Partner as of January 31, 2022.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60" w:type="dxa"/>
            <w:vAlign w:val="bottom"/>
            <w:gridSpan w:val="2"/>
          </w:tcPr>
          <w:p>
            <w:pPr>
              <w:ind w:left="1000"/>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8040" w:type="dxa"/>
            <w:vAlign w:val="bottom"/>
          </w:tcPr>
          <w:p>
            <w:pPr>
              <w:ind w:left="2940"/>
              <w:spacing w:after="0"/>
              <w:rPr>
                <w:sz w:val="20"/>
                <w:szCs w:val="20"/>
                <w:color w:val="auto"/>
              </w:rPr>
            </w:pPr>
            <w:r>
              <w:rPr>
                <w:rFonts w:ascii="Arial" w:cs="Arial" w:eastAsia="Arial" w:hAnsi="Arial"/>
                <w:sz w:val="14"/>
                <w:szCs w:val="14"/>
                <w:b w:val="1"/>
                <w:bCs w:val="1"/>
                <w:color w:val="auto"/>
              </w:rPr>
              <w:t>Position With Our General Partner</w:t>
            </w:r>
          </w:p>
        </w:tc>
      </w:tr>
      <w:tr>
        <w:trPr>
          <w:trHeight w:val="227"/>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Travis D. Stice</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top w:val="single" w:sz="8" w:color="CCEEFF"/>
            </w:tcBorders>
            <w:shd w:val="clear" w:color="auto" w:fill="CCEEFF"/>
          </w:tcPr>
          <w:p>
            <w:pPr>
              <w:spacing w:after="0"/>
              <w:rPr>
                <w:sz w:val="19"/>
                <w:szCs w:val="19"/>
                <w:color w:val="auto"/>
              </w:rPr>
            </w:pPr>
          </w:p>
        </w:tc>
        <w:tc>
          <w:tcPr>
            <w:tcW w:w="8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Kaes Van't Hof</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Executive Vice President and Assistant Secretary</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Thomas F. Hawkins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Executive Vice President—Land</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Zmigrosky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Steven E. West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 Wesley Perry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Spencer D. Armour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L. Rubin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Rosalind Redfern Grover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308"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b w:val="1"/>
          <w:bCs w:val="1"/>
          <w:i w:val="1"/>
          <w:iCs w:val="1"/>
          <w:color w:val="auto"/>
        </w:rPr>
        <w:t xml:space="preserve">Travis D. Stice. </w:t>
      </w:r>
      <w:r>
        <w:rPr>
          <w:rFonts w:ascii="Arial" w:cs="Arial" w:eastAsia="Arial" w:hAnsi="Arial"/>
          <w:sz w:val="16"/>
          <w:szCs w:val="16"/>
          <w:color w:val="auto"/>
        </w:rPr>
        <w:t>Mr. Stice has served as Chief Executive Officer and a director of our General Partner since February 2014. He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Diamondback since January 2012 and as a director since November 2012. Mr. Stice has also served as the Chief Executive Officer and a director of the General Partner of Rattler since July 2018. Prior to these positions with our General Partner, Diamondback and Rattler’s general partner, Mr. Stice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company, from September 2008 to September 2010 and as a Development Manager of ConocoPhillips/Burlington Resources Mid-Continent Business Unit, an oil and gas exploration company, from April 2006 until August 2008.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35 years of experience in production operations, reservoir engineering, production engineering and unconventional oil and gas exploration and over 20 years of management experience. Mr. Stice graduated from Texas A&amp;M University with a Bachelor of Science degree in Petroleum Engineering. He is a registered engineer in the State of Texas and is a 35-year member of the Society of Petroleum Engineers.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make him a valuable asset to the board of directors of our General Partner.</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b w:val="1"/>
          <w:bCs w:val="1"/>
          <w:i w:val="1"/>
          <w:iCs w:val="1"/>
          <w:color w:val="auto"/>
        </w:rPr>
        <w:t xml:space="preserve">Kaes Van’t Hof. </w:t>
      </w:r>
      <w:r>
        <w:rPr>
          <w:rFonts w:ascii="Arial" w:cs="Arial" w:eastAsia="Arial" w:hAnsi="Arial"/>
          <w:sz w:val="17"/>
          <w:szCs w:val="17"/>
          <w:color w:val="auto"/>
        </w:rPr>
        <w:t>Mr. Van't Hof has served as President of our General Partner since March 2017. He has served as Diamondback’s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Executive Vice President of Business Development since March 2019 after joining Diamondback in July 2016 as Vice President and serving as its Senior Vice President—Strategy and Corporate Development from February 2017 to February 2019. Mr. Van’t Hof has also served as President and director of the General Partner of Rattler since July 2018. Prior to his positions with our General Partner, Diamondback and Rattler’s general partner, Mr. Van't Hof served as Chief Executive Officer for Bison Drilling and Field Services from September 2012 to June 2016. From August 2011 to August 2012, Mr. Van't Hof was an analyst for Wexford Capital LP responsible for developing operating models and business plans, including in connection with our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in Accounting and Business Administration from the University of Southern California.</w:t>
      </w:r>
    </w:p>
    <w:p>
      <w:pPr>
        <w:spacing w:after="0" w:line="212"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b w:val="1"/>
          <w:bCs w:val="1"/>
          <w:i w:val="1"/>
          <w:iCs w:val="1"/>
          <w:color w:val="auto"/>
        </w:rPr>
        <w:t xml:space="preserve">Teresa L. Dick. </w:t>
      </w:r>
      <w:r>
        <w:rPr>
          <w:rFonts w:ascii="Arial" w:cs="Arial" w:eastAsia="Arial" w:hAnsi="Arial"/>
          <w:sz w:val="16"/>
          <w:szCs w:val="16"/>
          <w:color w:val="auto"/>
        </w:rPr>
        <w:t>Ms. Dick has served as Chief Financial Officer, Executive Vice President and Assistant Secretary of our General Partner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2017 and served as Chief Financial Officer, Senior Vice President and Assistant Secretary from February 2014 to February 2017.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Ms. Dick has also served as Chief Financial Officer, Executive Vice President and Assistant Secretary of the general partner of Rattler since July 2018. From June 2006 to November 2007, Ms. Dick held a key management position as the Controller/Tax Director at Hiland Partners, a publicly traded midstream energy master limited partnership. Ms. Dick has over 20 years of accounting experience, including over nine years of public company experience in both audit and tax areas.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19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b w:val="1"/>
          <w:bCs w:val="1"/>
          <w:i w:val="1"/>
          <w:iCs w:val="1"/>
          <w:color w:val="auto"/>
        </w:rPr>
        <w:t xml:space="preserve">Thomas F. Hawkins. </w:t>
      </w:r>
      <w:r>
        <w:rPr>
          <w:rFonts w:ascii="Arial" w:cs="Arial" w:eastAsia="Arial" w:hAnsi="Arial"/>
          <w:sz w:val="17"/>
          <w:szCs w:val="17"/>
          <w:color w:val="auto"/>
        </w:rPr>
        <w:t>Mr. Hawkins has served as Executive Vice President—Land of our General Partner and Diamondback since March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these positions, he served as Senior Vice President—Land of our General Partner and Diamondback from March 2017 to February 2019. Prior to his positions with us and Diamondback, Mr. Hawkins was an independent consultant for land activities from July 2016 to February 2017. Mr. Hawkins has over 40 years of experience in the oil and gas industry. Mr. Hawkins spent seven years with Oasis Petroleum Inc., an oil and gas company, as its Senior Vice President of Land or in related capacities from March 2009 to June 2016. Until February 2009, Mr. Hawkins spent 31 years with ConocoPhillips and Burlington Resources (which ConocoPhillips acquired in 2006). During that time, Mr. Hawkins held various operations and managerial positions in the land, marketing, planning and the corporate acquisitions and divestitures groups. Mr. Hawkins has worked in several major regions in the continental United States, including the San Juan Basin, the Williston Basin and the Austin Chalk/Wilcox Trends in South Texas. Mr. Hawkins holds a Bachelor of Business Administration in Finance from the University of Texas at El Paso.</w:t>
      </w:r>
    </w:p>
    <w:p>
      <w:pPr>
        <w:spacing w:after="0" w:line="21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b w:val="1"/>
          <w:bCs w:val="1"/>
          <w:i w:val="1"/>
          <w:iCs w:val="1"/>
          <w:color w:val="auto"/>
        </w:rPr>
        <w:t xml:space="preserve">Matt Zmigrosky. </w:t>
      </w:r>
      <w:r>
        <w:rPr>
          <w:rFonts w:ascii="Arial" w:cs="Arial" w:eastAsia="Arial" w:hAnsi="Arial"/>
          <w:sz w:val="17"/>
          <w:szCs w:val="17"/>
          <w:color w:val="auto"/>
        </w:rPr>
        <w:t>Mr. Zmigrosky has served as Executive Vice President, General Counsel and Secretary of our General Partner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Since February 2019, Mr. Zmigrosky has also served as Executive Vice President, General Counsel and Secretary of both Diamondback and the general partner of Rattler. Before joining us, Diamondback and Rattler’s general partner, Mr. Zmigrosky was in the private practice of law, most recently as a partner in the corporate section of Akin Gump Strauss Hauer &amp; Feld LLP from October 2012 to February 2019,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207"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b w:val="1"/>
          <w:bCs w:val="1"/>
          <w:i w:val="1"/>
          <w:iCs w:val="1"/>
          <w:color w:val="auto"/>
        </w:rPr>
        <w:t xml:space="preserve">Steven E. West. </w:t>
      </w:r>
      <w:r>
        <w:rPr>
          <w:rFonts w:ascii="Arial" w:cs="Arial" w:eastAsia="Arial" w:hAnsi="Arial"/>
          <w:sz w:val="17"/>
          <w:szCs w:val="17"/>
          <w:color w:val="auto"/>
        </w:rPr>
        <w:t>Mr. West has served as Chairman of the Board of our General Partner since February 2014 and as a director and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Rattler since May 2019. Mr. West has also served as a director of Diamondback since December 2011 and as its Chairman of the Board since October 2012. He served as Diamondback's Chief Executive Officer from January 1, 2009 to December 31,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17"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b w:val="1"/>
          <w:bCs w:val="1"/>
          <w:i w:val="1"/>
          <w:iCs w:val="1"/>
          <w:color w:val="auto"/>
        </w:rPr>
        <w:t xml:space="preserve">W. Wesley Perry. </w:t>
      </w:r>
      <w:r>
        <w:rPr>
          <w:rFonts w:ascii="Arial" w:cs="Arial" w:eastAsia="Arial" w:hAnsi="Arial"/>
          <w:sz w:val="16"/>
          <w:szCs w:val="16"/>
          <w:color w:val="auto"/>
        </w:rPr>
        <w:t>Mr. Perry has been a member of the board of directors of our General Partner since June 2014. Mr. Perry has served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Genie Energy Ltd., an independent retail energy provider, since October 2011, currently serves as the chair of its audit committee and a member of its compensation, nominating, corporate governance and technology committees and has served as the chairman of the board of directors of Genie Energy International Corporation since September 2009. Mr. Perry also serves as manager of PBEX, LLC, an oil and gas exploration and development company, a position he has held since July 2012. Mr. Perry has served as manager of S.E.S. Investments, Ltd., an oil and gas investment company, since 1985. He served as Chief Executive Officer of E.G.L. Resources, Inc., an oil and gas production company, from July 2008 until December 2019 and served as its President from 2003 to July 2008. Mr. Perry was a director of UTG, Inc., an insurance holding company, from 2001 to 2013 and served on its Audit Committee. Mr. Perry served on the Midland City Council from 2002 to 2008 and as Mayor of Midland from 2008 through 2014. He is the Chairman of the Milagros Foundation and a trustee of the Abell-Hangar Foundation. He has a Bachelor of Science degree in Engineering from the University of Oklahoma.</w:t>
      </w:r>
    </w:p>
    <w:p>
      <w:pPr>
        <w:spacing w:after="0" w:line="19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that Mr. Perry’s extensive experience in the oil and gas industry and his strong financial background qualify him to serve on the board of directors of our General Partner.</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b w:val="1"/>
          <w:bCs w:val="1"/>
          <w:i w:val="1"/>
          <w:iCs w:val="1"/>
          <w:color w:val="auto"/>
        </w:rPr>
        <w:t xml:space="preserve">Spencer D. Armour. </w:t>
      </w:r>
      <w:r>
        <w:rPr>
          <w:rFonts w:ascii="Arial" w:cs="Arial" w:eastAsia="Arial" w:hAnsi="Arial"/>
          <w:sz w:val="17"/>
          <w:szCs w:val="17"/>
          <w:color w:val="auto"/>
        </w:rPr>
        <w:t>Mr. Armour has been a member of the board of directors of our General Partner since July 2017. Mr. Armour has over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executive and entrepreneurial experience in the energy services industry. Mr. Armour has served as a partner of Geneses Investments since February 2019. He served as President of PT Petroleum LLC in Midland, Texas from March 2013 until January 2019. He was the Vice President of Corporate Development for Basic Energy Services, Inc. from 2007 to 2008, which acquired Sledge Drilling Corp., a company Mr. Armour co-founded and served as Chief Executive Officer for from 2005 to 2006. From 1998 through 2005, he served as Executive Vice President of Patterson-UTI Energy, Inc., which acquired Lone Star Mud, Inc., a company Mr. Armour founded and served as President from 1986 to 1997. Mr. Armour has served as a director of ProPetro Holding Corp. since February 2013 and as a director of CES Energy since December 2018. Mr. Armour also served on the Patterson-UTI Board of Directors from 1999 through 2001. Mr. Armour received a Bachelor of Science in Economics from the University of Houston and was appointed to the University of Houston System Board of Regents in 2011 by former Texas Governor Rick Perry.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Mr. Armour’s extensive experience in the oil and gas industry qualify him to serve on the board of directors of our General Partner.</w:t>
      </w:r>
    </w:p>
    <w:p>
      <w:pPr>
        <w:spacing w:after="0" w:line="271"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b w:val="1"/>
          <w:bCs w:val="1"/>
          <w:i w:val="1"/>
          <w:iCs w:val="1"/>
          <w:color w:val="auto"/>
        </w:rPr>
        <w:t xml:space="preserve">James L. Rubin. </w:t>
      </w:r>
      <w:r>
        <w:rPr>
          <w:rFonts w:ascii="Arial" w:cs="Arial" w:eastAsia="Arial" w:hAnsi="Arial"/>
          <w:sz w:val="17"/>
          <w:szCs w:val="17"/>
          <w:color w:val="auto"/>
        </w:rPr>
        <w:t>Mr. Rubin has been a member of the board of directors of our General Partner since June 2014. He has served as a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Wexford since 2012 and currently serves as Portfolio Manager and Co-Head of Equities and as a member of Wexford’s hedge fund investment committee. From 2006 to 2012, he served as an analyst and later as Vice President, focusing on Wexford’s public and private energy investments. Mr. Rubin graduated cum laude from Yale University with a Bachelor of Arts degree with honors in political science and economics.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Mr. Rubin’s strong financial background qualifies him to serve on the board of directors of our General Partner.</w:t>
      </w:r>
    </w:p>
    <w:p>
      <w:pPr>
        <w:spacing w:after="0" w:line="23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b w:val="1"/>
          <w:bCs w:val="1"/>
          <w:i w:val="1"/>
          <w:iCs w:val="1"/>
          <w:color w:val="auto"/>
        </w:rPr>
        <w:t xml:space="preserve">Rosalind Redfern Grover. </w:t>
      </w:r>
      <w:r>
        <w:rPr>
          <w:rFonts w:ascii="Arial" w:cs="Arial" w:eastAsia="Arial" w:hAnsi="Arial"/>
          <w:sz w:val="16"/>
          <w:szCs w:val="16"/>
          <w:color w:val="auto"/>
        </w:rPr>
        <w:t>Ms. Grover has been a member of the board of directors of our General Partner since December 2014. Ms. Grover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Chairman of the Board of Flag-Redfern Oil Company until the company was sold to Kerr-McGee Corporation in 1988. She has served as the President of Redfern Enterprises, Inc., an independent oil and gas producer, since 1989 and as the Chief Executive Officer of Redfern &amp; Grover Resources, LLC, an independent oil and gas producer, since 2014. Ms. Grover holds Bachelors and Masters degrees from the University of Arizona.</w:t>
      </w:r>
    </w:p>
    <w:p>
      <w:pPr>
        <w:spacing w:after="0" w:line="184"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that Ms. Grover’s extensive experience in the oil and gas industry, including with oil and gas partnerships, qualifies her to serve on the board of directors of our General Partner.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Diversity</w:t>
      </w:r>
    </w:p>
    <w:p>
      <w:pPr>
        <w:spacing w:after="0" w:line="252"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The board of directors of our General Partner has six directors, five of whom are independent as defined under the independence standards established by Nasdaq and the Exchange Act. Steven E. West, W. Wesley Perry, James L. Rubin, Spencer D. Armour and Rosalind Redfern Grover serve as the independent members of the board of directors of our General Partner. Although a majority of the board of directors of our General Partner is independent, Nasdaq does not require a listed publicly traded partnership, such as ours, to have a majority of independent directors on the board of directors of our General Partner, disclose details regarding board diversity or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194"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The board of directors of our General Partner has established an independent audit committee and a conflicts committee, discussed in more detail below, and has diverse representatives on its board, including a female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5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Leadership of our General Partner’s board of directors is vested in the chairman of the board. Steven E. West serves as the chairman of the board of directors of our General Partner and as a director of Diamondback. Mr. West was also the chairman of the board of Diamondback from October 2012 to February 2022, when he was succeeded in that role by Mr. Stice. Our General Partner’s board of directors has determined that Mr. West’s roles of chairman of the board of directors of our General Partner and a director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20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extreme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223"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the partnership.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the partnership with senior management.</w:t>
      </w:r>
    </w:p>
    <w:p>
      <w:pPr>
        <w:spacing w:after="0" w:line="223"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While the board of directors of our General Partner is ultimately responsible for risk oversight at the partnership,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During 2021, the board of directors of our General Partner met five times. Each director attended 100% of the meetings of the board and the committees of the board on which he or she served that occurred during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Viper Energy Partners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unrestricted access to the audit committee and our management, as necessary. The audit committee has adopted a charter, which is available on our website under the “corporate governance” section at http://ir.viperenergy.com.</w:t>
      </w:r>
    </w:p>
    <w:p>
      <w:pPr>
        <w:spacing w:after="0" w:line="19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 Wesley Perry, Spencer D. Armour and Rosalind Redfern Grover currently serve on the audit committee, and Mr. Perry serves as the chairman. The board of directors of our General Partner has determined that each of W. Wesley Perry, Spencer D. Armour and Rosalind Redfern Grover meet the independence and experience standards established by the Nasdaq and the Exchange Act and that Mr. Perry is an “audit committee financial expert” as defined under SEC rules.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W. Wesley Perry, Spencer D. Armour and Rosalind Redfern Grover are the members of the conflicts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http://ir.viperenergy.com.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5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the executive officers that are responsible for managing our day-to-day affairs are also current executive officers of Diamondback.</w:t>
      </w:r>
    </w:p>
    <w:p>
      <w:pPr>
        <w:spacing w:after="0" w:line="215"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All of the executive officers of our General Partner have responsibilities to us, Diamondback and Rattler, Diamondback’s other publicly traded subsidiary, and allocate their time between managing our business and managing the businesses of Diamondback and Rattler. Since all of these executive officers are employed by Diamondback or one of its subsidiaries, the responsibility and authority for compensation-related decisions for them resides with Diamondback’s compensation committee. Diamondback has the ultimate decision-making authority with respect to the total compensation of the executive officers that are employed by Diamondback including, subject to the terms of the partnership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that are made to executive officers, key employees and non-employee directors under the LTIP are made by the board of directors of our General Partner. Please see the description of the LTIP below under the heading “Long-Term Incentive Plan.”</w:t>
      </w:r>
    </w:p>
    <w:p>
      <w:pPr>
        <w:spacing w:after="0" w:line="212"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and Rattler’s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did not establish and do not direct the compensation policies or practices of Diamondback. Except with respect to awards granted under the LTIP, compensation paid or awarded by us in 2021 consisted only of the portion of compensation paid by Diamondback that is allocated to us and our General Partner pursuant to Diamondback’s allocation methodology and subject to the terms of the partnership agreement.</w:t>
      </w:r>
    </w:p>
    <w:p>
      <w:pPr>
        <w:spacing w:after="0" w:line="19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2022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included in Diamondback’s 2022 proxy statement, with awards outstanding pursuant to our LTIP separately identified.</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48" w:lineRule="exact"/>
        <w:rPr>
          <w:sz w:val="20"/>
          <w:szCs w:val="20"/>
          <w:color w:val="auto"/>
        </w:rPr>
      </w:pPr>
    </w:p>
    <w:p>
      <w:pPr>
        <w:jc w:val="both"/>
        <w:ind w:right="20" w:firstLine="643"/>
        <w:spacing w:after="0" w:line="335" w:lineRule="auto"/>
        <w:rPr>
          <w:sz w:val="20"/>
          <w:szCs w:val="20"/>
          <w:color w:val="auto"/>
        </w:rPr>
      </w:pPr>
      <w:r>
        <w:rPr>
          <w:rFonts w:ascii="Arial" w:cs="Arial" w:eastAsia="Arial" w:hAnsi="Arial"/>
          <w:sz w:val="16"/>
          <w:szCs w:val="16"/>
          <w:color w:val="auto"/>
        </w:rPr>
        <w:t>In order to incentivize our management and directors to continue to grow our business, the board of directors of our General Partner adopted the LTIP for employees, officers, consultants and directors of our General Partner and any of its affiliates, including Diamondback, who perform services for us.</w:t>
      </w:r>
    </w:p>
    <w:p>
      <w:pPr>
        <w:spacing w:after="0" w:line="156"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(collectively, “awards”). These awards are intended to align the interests of employees, officers, consultants and directors with those of our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8"/>
          <w:szCs w:val="18"/>
          <w:color w:val="auto"/>
        </w:rPr>
        <w:t>During 2021, our General Partner made grants under the LTIP of phantom units to the non-employee directors of our General Partner (see “Director Compensation” below for information regarding those awards). No grants under the LTIP were made to the executive officers of our General Partner in 2021.</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4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Upon a “change in control” (as defined in the LTIP), the committee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committee deems appropriate to reflect the change in control.</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Neither we nor the board of directors of our General Partner has a compensation committee.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243"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The Board of Directors of Viper Energy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22860</wp:posOffset>
            </wp:positionV>
            <wp:extent cx="3545205" cy="153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545205" cy="153035"/>
                    </a:xfrm>
                    <a:prstGeom prst="rect">
                      <a:avLst/>
                    </a:prstGeom>
                    <a:noFill/>
                  </pic:spPr>
                </pic:pic>
              </a:graphicData>
            </a:graphic>
          </wp:anchor>
        </w:drawing>
      </w:r>
    </w:p>
    <w:p>
      <w:pPr>
        <w:spacing w:after="0" w:line="2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Travis D. Stice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Steven E. West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 Wesley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-130175</wp:posOffset>
            </wp:positionV>
            <wp:extent cx="3545205" cy="144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45205" cy="144780"/>
                    </a:xfrm>
                    <a:prstGeom prst="rect">
                      <a:avLst/>
                    </a:prstGeom>
                    <a:noFill/>
                  </pic:spPr>
                </pic:pic>
              </a:graphicData>
            </a:graphic>
          </wp:anchor>
        </w:drawing>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Spencer D. Armour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James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-130175</wp:posOffset>
            </wp:positionV>
            <wp:extent cx="3545205" cy="14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45205" cy="144780"/>
                    </a:xfrm>
                    <a:prstGeom prst="rect">
                      <a:avLst/>
                    </a:prstGeom>
                    <a:noFill/>
                  </pic:spPr>
                </pic:pic>
              </a:graphicData>
            </a:graphic>
          </wp:anchor>
        </w:drawing>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Rosalind Redfern Grover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2"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7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Each non-employee director receives a compensation package that consists of an annual cash retainer of $60,000 plus an additional annual payment of $15,000 for the chairperson and $10,000 for each other member of the audit committee and $10,000 for the chairperson and $5,000 for each other member of each other committee. In addition, each non-employee director receives an equity award of phantom units under the LTIP granted annually at the close of business on July 10th of each year or, if not a business day, the first business day thereafter. The number of phantom units awarded is calculated by dividing $100,000 by the average closing price of our common units for the five trading days immediately preceding the date of grant. The awards vest on the first anniversary of the grant date. Our directors are also reimbursed for out-of-pocket expenses in connection with attending meetings of the board of directors or its committees.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202"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the aggregate dollar amount of all fees paid to each of the non-employee directors of our General Partner during 2021 for their services on the board: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Fees Earned or Paid in</w:t>
            </w:r>
          </w:p>
        </w:tc>
        <w:tc>
          <w:tcPr>
            <w:tcW w:w="18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Unit Awards(b)</w:t>
            </w:r>
          </w:p>
        </w:tc>
        <w:tc>
          <w:tcPr>
            <w:tcW w:w="320" w:type="dxa"/>
            <w:vAlign w:val="bottom"/>
          </w:tcPr>
          <w:p>
            <w:pPr>
              <w:spacing w:after="0"/>
              <w:rPr>
                <w:sz w:val="14"/>
                <w:szCs w:val="14"/>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cash(a)</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80" w:type="dxa"/>
            <w:vAlign w:val="bottom"/>
            <w:tcBorders>
              <w:top w:val="single" w:sz="8" w:color="auto"/>
            </w:tcBorders>
            <w:shd w:val="clear" w:color="auto" w:fill="CCEEFF"/>
          </w:tcPr>
          <w:p>
            <w:pPr>
              <w:ind w:left="20"/>
              <w:spacing w:after="0" w:line="222" w:lineRule="exact"/>
              <w:rPr>
                <w:sz w:val="20"/>
                <w:szCs w:val="20"/>
                <w:color w:val="auto"/>
              </w:rPr>
            </w:pPr>
            <w:r>
              <w:rPr>
                <w:rFonts w:ascii="Arial" w:cs="Arial" w:eastAsia="Arial" w:hAnsi="Arial"/>
                <w:sz w:val="18"/>
                <w:szCs w:val="18"/>
                <w:color w:val="auto"/>
              </w:rPr>
              <w:t>Spencer D. Armour</w:t>
            </w:r>
            <w:r>
              <w:rPr>
                <w:rFonts w:ascii="Arial" w:cs="Arial" w:eastAsia="Arial" w:hAnsi="Arial"/>
                <w:sz w:val="23"/>
                <w:szCs w:val="23"/>
                <w:color w:val="auto"/>
                <w:vertAlign w:val="superscript"/>
              </w:rPr>
              <w:t>(c)(d)</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175,833</w:t>
            </w:r>
          </w:p>
        </w:tc>
        <w:tc>
          <w:tcPr>
            <w:tcW w:w="0" w:type="dxa"/>
            <w:vAlign w:val="bottom"/>
          </w:tcPr>
          <w:p>
            <w:pPr>
              <w:spacing w:after="0"/>
              <w:rPr>
                <w:sz w:val="1"/>
                <w:szCs w:val="1"/>
                <w:color w:val="auto"/>
              </w:rPr>
            </w:pPr>
          </w:p>
        </w:tc>
      </w:tr>
      <w:tr>
        <w:trPr>
          <w:trHeight w:val="228"/>
        </w:trPr>
        <w:tc>
          <w:tcPr>
            <w:tcW w:w="67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Rosalind Redfern Grover</w:t>
            </w:r>
            <w:r>
              <w:rPr>
                <w:rFonts w:ascii="Arial" w:cs="Arial" w:eastAsia="Arial" w:hAnsi="Arial"/>
                <w:sz w:val="23"/>
                <w:szCs w:val="23"/>
                <w:color w:val="auto"/>
                <w:vertAlign w:val="superscript"/>
              </w:rPr>
              <w:t>(c)(d)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100,833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175,833</w:t>
            </w:r>
          </w:p>
        </w:tc>
        <w:tc>
          <w:tcPr>
            <w:tcW w:w="0" w:type="dxa"/>
            <w:vAlign w:val="bottom"/>
          </w:tcPr>
          <w:p>
            <w:pPr>
              <w:spacing w:after="0"/>
              <w:rPr>
                <w:sz w:val="1"/>
                <w:szCs w:val="1"/>
                <w:color w:val="auto"/>
              </w:rPr>
            </w:pPr>
          </w:p>
        </w:tc>
      </w:tr>
      <w:tr>
        <w:trPr>
          <w:trHeight w:val="228"/>
        </w:trPr>
        <w:tc>
          <w:tcPr>
            <w:tcW w:w="67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W. Wesley Perry</w:t>
            </w:r>
            <w:r>
              <w:rPr>
                <w:rFonts w:ascii="Arial" w:cs="Arial" w:eastAsia="Arial" w:hAnsi="Arial"/>
                <w:sz w:val="23"/>
                <w:szCs w:val="23"/>
                <w:color w:val="auto"/>
                <w:vertAlign w:val="superscript"/>
              </w:rPr>
              <w:t>(c)(d)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185,833</w:t>
            </w:r>
          </w:p>
        </w:tc>
        <w:tc>
          <w:tcPr>
            <w:tcW w:w="0" w:type="dxa"/>
            <w:vAlign w:val="bottom"/>
          </w:tcPr>
          <w:p>
            <w:pPr>
              <w:spacing w:after="0"/>
              <w:rPr>
                <w:sz w:val="1"/>
                <w:szCs w:val="1"/>
                <w:color w:val="auto"/>
              </w:rPr>
            </w:pPr>
          </w:p>
        </w:tc>
      </w:tr>
      <w:tr>
        <w:trPr>
          <w:trHeight w:val="228"/>
        </w:trPr>
        <w:tc>
          <w:tcPr>
            <w:tcW w:w="67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James L. Rubin</w:t>
            </w:r>
            <w:r>
              <w:rPr>
                <w:rFonts w:ascii="Arial" w:cs="Arial" w:eastAsia="Arial" w:hAnsi="Arial"/>
                <w:sz w:val="23"/>
                <w:szCs w:val="23"/>
                <w:color w:val="auto"/>
                <w:vertAlign w:val="superscript"/>
              </w:rPr>
              <w:t>(c)(d)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100,833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160,833</w:t>
            </w:r>
          </w:p>
        </w:tc>
        <w:tc>
          <w:tcPr>
            <w:tcW w:w="0" w:type="dxa"/>
            <w:vAlign w:val="bottom"/>
          </w:tcPr>
          <w:p>
            <w:pPr>
              <w:spacing w:after="0"/>
              <w:rPr>
                <w:sz w:val="1"/>
                <w:szCs w:val="1"/>
                <w:color w:val="auto"/>
              </w:rPr>
            </w:pPr>
          </w:p>
        </w:tc>
      </w:tr>
      <w:tr>
        <w:trPr>
          <w:trHeight w:val="228"/>
        </w:trPr>
        <w:tc>
          <w:tcPr>
            <w:tcW w:w="67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(c)(d)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160,833</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reflects the value of a director’s annual retainer.</w:t>
      </w:r>
    </w:p>
    <w:p>
      <w:pPr>
        <w:spacing w:after="0" w:line="20" w:lineRule="exact"/>
        <w:rPr>
          <w:rFonts w:ascii="Arial" w:cs="Arial" w:eastAsia="Arial" w:hAnsi="Arial"/>
          <w:sz w:val="18"/>
          <w:szCs w:val="18"/>
          <w:color w:val="auto"/>
        </w:rPr>
      </w:pPr>
    </w:p>
    <w:p>
      <w:pPr>
        <w:jc w:val="both"/>
        <w:ind w:left="320" w:hanging="313"/>
        <w:spacing w:after="0" w:line="248"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 Distribution equivalent rights are not reflected in the aggregate grant date fair value of phantom unit awards.</w:t>
      </w:r>
    </w:p>
    <w:p>
      <w:pPr>
        <w:spacing w:after="0" w:line="1" w:lineRule="exact"/>
        <w:rPr>
          <w:rFonts w:ascii="Arial" w:cs="Arial" w:eastAsia="Arial" w:hAnsi="Arial"/>
          <w:sz w:val="18"/>
          <w:szCs w:val="18"/>
          <w:color w:val="auto"/>
        </w:rPr>
      </w:pPr>
    </w:p>
    <w:p>
      <w:pPr>
        <w:jc w:val="both"/>
        <w:ind w:left="320" w:hanging="313"/>
        <w:spacing w:after="0" w:line="248" w:lineRule="auto"/>
        <w:tabs>
          <w:tab w:leader="none" w:pos="3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Ms. Grover and Messrs. Armour, Perry, Rubin and West received a grant of 9,970 phantom units on July 10, 2020, which vested and settled on July 10, 2021, pursuant to the LTIP, with each unit having a grant date fair value of $9.82. Each phantom unit is the economic equivalent of one of our common units.</w:t>
      </w:r>
    </w:p>
    <w:p>
      <w:pPr>
        <w:spacing w:after="0" w:line="1" w:lineRule="exact"/>
        <w:rPr>
          <w:rFonts w:ascii="Arial" w:cs="Arial" w:eastAsia="Arial" w:hAnsi="Arial"/>
          <w:sz w:val="18"/>
          <w:szCs w:val="18"/>
          <w:color w:val="auto"/>
        </w:rPr>
      </w:pPr>
    </w:p>
    <w:p>
      <w:pPr>
        <w:jc w:val="both"/>
        <w:ind w:left="320" w:hanging="313"/>
        <w:spacing w:after="0" w:line="252"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Ms. Grover and Messrs. Armour, Perry, Rubin and West received a grant of 5,513 phantom units on July 12, 2021, which will vest and settle on July 12, 2022, pursuant to the LTIP, with each unit having a grant date fair value of $18.29. Each phantom unit is the economic equivalent of one of our common units.</w:t>
      </w:r>
    </w:p>
    <w:p>
      <w:pPr>
        <w:spacing w:after="0" w:line="21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Mr. Stice is a director of our General Partner, but is also an executive officer of our General Partner and Mr. Stice is an employee of Diamondback E&amp;P LLC. Mr. Stice has received awards pursuant to the LTIP for his service as an executive officer or employee, respectively, and unrelated to his service as director. These awards are reflected in the tables contained in Diamondback’s 2022 proxy statement under the heading “Compensation Discussion and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2" w:lineRule="exact"/>
        <w:rPr>
          <w:sz w:val="20"/>
          <w:szCs w:val="20"/>
          <w:color w:val="auto"/>
        </w:rPr>
      </w:pPr>
    </w:p>
    <w:p>
      <w:pPr>
        <w:jc w:val="both"/>
        <w:ind w:firstLine="643"/>
        <w:spacing w:after="0" w:line="252" w:lineRule="auto"/>
        <w:rPr>
          <w:rFonts w:ascii="Arial" w:cs="Arial" w:eastAsia="Arial" w:hAnsi="Arial"/>
          <w:sz w:val="18"/>
          <w:szCs w:val="18"/>
          <w:color w:val="auto"/>
        </w:rPr>
      </w:pPr>
      <w:r>
        <w:rPr>
          <w:rFonts w:ascii="Arial" w:cs="Arial" w:eastAsia="Arial" w:hAnsi="Arial"/>
          <w:sz w:val="18"/>
          <w:szCs w:val="18"/>
          <w:color w:val="auto"/>
        </w:rPr>
        <w:t>As previously noted, our General Partner’s board of directors is not required to maintain, and does not maintain, a separate compensation committee. Mr. Stice, a director and executive officer of our General Partner, is also a director and executive officer of Diamondback. However, all compensation decisions with respect to Mr. Stice are made by Diamondback and Mr. Stice does not receive any compensation directly from us or our General Partner except for awards under our LTIP. As described in “—Compensation Discussion and Analysis,” decisions regarding the compensation of our General Partner’s executive officers are made by Diamondback. Please read “</w:t>
      </w:r>
      <w:hyperlink w:anchor="page8">
        <w:r>
          <w:rPr>
            <w:rFonts w:ascii="Arial" w:cs="Arial" w:eastAsia="Arial" w:hAnsi="Arial"/>
            <w:sz w:val="18"/>
            <w:szCs w:val="18"/>
            <w:u w:val="single" w:color="auto"/>
            <w:color w:val="0000FF"/>
          </w:rPr>
          <w:t>Items 1 and 2. Business and Properties–Our Relationship with Diamondback</w:t>
        </w:r>
      </w:hyperlink>
      <w:r>
        <w:rPr>
          <w:rFonts w:ascii="Arial" w:cs="Arial" w:eastAsia="Arial" w:hAnsi="Arial"/>
          <w:sz w:val="18"/>
          <w:szCs w:val="18"/>
          <w:color w:val="auto"/>
        </w:rPr>
        <w:t>” and “</w:t>
      </w:r>
      <w:hyperlink w:anchor="page66">
        <w:r>
          <w:rPr>
            <w:rFonts w:ascii="Arial" w:cs="Arial" w:eastAsia="Arial" w:hAnsi="Arial"/>
            <w:sz w:val="18"/>
            <w:szCs w:val="18"/>
            <w:u w:val="single" w:color="auto"/>
            <w:color w:val="0000FF"/>
          </w:rPr>
          <w:t>Item 13. Certain Relationships and Related Transactions, and Director Independence</w:t>
        </w:r>
      </w:hyperlink>
      <w:r>
        <w:rPr>
          <w:rFonts w:ascii="Arial" w:cs="Arial" w:eastAsia="Arial" w:hAnsi="Arial"/>
          <w:sz w:val="18"/>
          <w:szCs w:val="18"/>
          <w:color w:val="auto"/>
        </w:rPr>
        <w:t>” for more information about relationships among us, our General Partner and Diamondback.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52" w:lineRule="exact"/>
        <w:rPr>
          <w:sz w:val="20"/>
          <w:szCs w:val="20"/>
          <w:color w:val="auto"/>
        </w:rPr>
      </w:pPr>
    </w:p>
    <w:p>
      <w:pPr>
        <w:jc w:val="both"/>
        <w:ind w:firstLine="643"/>
        <w:spacing w:after="0" w:line="253" w:lineRule="auto"/>
        <w:rPr>
          <w:rFonts w:ascii="Arial" w:cs="Arial" w:eastAsia="Arial" w:hAnsi="Arial"/>
          <w:sz w:val="18"/>
          <w:szCs w:val="18"/>
          <w:color w:val="0000FF"/>
        </w:rPr>
      </w:pPr>
      <w:r>
        <w:rPr>
          <w:rFonts w:ascii="Arial" w:cs="Arial" w:eastAsia="Arial" w:hAnsi="Arial"/>
          <w:sz w:val="18"/>
          <w:szCs w:val="18"/>
          <w:color w:val="auto"/>
        </w:rPr>
        <w:t xml:space="preserve">We do not have any employees. We are managed and operated by the directors and officers of our General Partner and employees of Diamondback </w:t>
      </w:r>
      <w:hyperlink w:anchor="page8">
        <w:r>
          <w:rPr>
            <w:rFonts w:ascii="Arial" w:cs="Arial" w:eastAsia="Arial" w:hAnsi="Arial"/>
            <w:sz w:val="18"/>
            <w:szCs w:val="18"/>
            <w:color w:val="auto"/>
          </w:rPr>
          <w:t>perform services on our behalf. Please read “—Compensation Discussion and Analysis” and “</w:t>
        </w:r>
        <w:r>
          <w:rPr>
            <w:rFonts w:ascii="Arial" w:cs="Arial" w:eastAsia="Arial" w:hAnsi="Arial"/>
            <w:sz w:val="18"/>
            <w:szCs w:val="18"/>
            <w:u w:val="single" w:color="auto"/>
            <w:color w:val="0000FF"/>
          </w:rPr>
          <w:t>Items 1 and 2. Business and Properties–Our Relationship with</w:t>
        </w:r>
      </w:hyperlink>
      <w:r>
        <w:rPr>
          <w:rFonts w:ascii="Arial" w:cs="Arial" w:eastAsia="Arial" w:hAnsi="Arial"/>
          <w:sz w:val="18"/>
          <w:szCs w:val="18"/>
          <w:color w:val="auto"/>
        </w:rPr>
        <w:t xml:space="preserve"> </w:t>
      </w:r>
      <w:hyperlink w:anchor="page8">
        <w:r>
          <w:rPr>
            <w:rFonts w:ascii="Arial" w:cs="Arial" w:eastAsia="Arial" w:hAnsi="Arial"/>
            <w:sz w:val="18"/>
            <w:szCs w:val="18"/>
            <w:u w:val="single" w:color="auto"/>
            <w:color w:val="0000FF"/>
          </w:rPr>
          <w:t>Diamondback</w:t>
        </w:r>
        <w:r>
          <w:rPr>
            <w:rFonts w:ascii="Arial" w:cs="Arial" w:eastAsia="Arial" w:hAnsi="Arial"/>
            <w:sz w:val="18"/>
            <w:szCs w:val="18"/>
            <w:color w:val="000000"/>
          </w:rPr>
          <w:t>” for more information about this arrangement. For an analysis of any risks arising from Diamondback’s compensation policies and practices,</w:t>
        </w:r>
      </w:hyperlink>
      <w:r>
        <w:rPr>
          <w:rFonts w:ascii="Arial" w:cs="Arial" w:eastAsia="Arial" w:hAnsi="Arial"/>
          <w:sz w:val="18"/>
          <w:szCs w:val="18"/>
          <w:color w:val="0000FF"/>
        </w:rPr>
        <w:t xml:space="preserve"> </w:t>
      </w:r>
      <w:r>
        <w:rPr>
          <w:rFonts w:ascii="Arial" w:cs="Arial" w:eastAsia="Arial" w:hAnsi="Arial"/>
          <w:sz w:val="18"/>
          <w:szCs w:val="18"/>
          <w:color w:val="000000"/>
        </w:rPr>
        <w:t>please read Diamondback’s 2022 proxy statement. We have made awards of unit options subject to time-based vesting under our LTIP, which we believe drive a long-term perspective and which we believe make it less likely that executive officers will take unreasonable risks because the unit options retain value even in a depressed market.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Officers and Directors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January 31, 2022 by:</w:t>
      </w:r>
    </w:p>
    <w:p>
      <w:pPr>
        <w:spacing w:after="0" w:line="248" w:lineRule="exact"/>
        <w:rPr>
          <w:sz w:val="20"/>
          <w:szCs w:val="20"/>
          <w:color w:val="auto"/>
        </w:rPr>
      </w:pPr>
    </w:p>
    <w:p>
      <w:pPr>
        <w:ind w:left="760" w:hanging="311"/>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14" w:lineRule="exact"/>
        <w:rPr>
          <w:rFonts w:ascii="Arial" w:cs="Arial" w:eastAsia="Arial" w:hAnsi="Arial"/>
          <w:sz w:val="18"/>
          <w:szCs w:val="18"/>
          <w:color w:val="auto"/>
        </w:rPr>
      </w:pPr>
    </w:p>
    <w:p>
      <w:pPr>
        <w:ind w:left="760" w:hanging="311"/>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 and</w:t>
      </w:r>
    </w:p>
    <w:p>
      <w:pPr>
        <w:spacing w:after="0" w:line="114" w:lineRule="exact"/>
        <w:rPr>
          <w:rFonts w:ascii="Arial" w:cs="Arial" w:eastAsia="Arial" w:hAnsi="Arial"/>
          <w:sz w:val="18"/>
          <w:szCs w:val="18"/>
          <w:color w:val="auto"/>
        </w:rPr>
      </w:pPr>
    </w:p>
    <w:p>
      <w:pPr>
        <w:ind w:left="760" w:hanging="311"/>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ind w:left="2960"/>
              <w:spacing w:after="0"/>
              <w:rPr>
                <w:sz w:val="20"/>
                <w:szCs w:val="20"/>
                <w:color w:val="auto"/>
              </w:rPr>
            </w:pPr>
            <w:r>
              <w:rPr>
                <w:rFonts w:ascii="Arial" w:cs="Arial" w:eastAsia="Arial" w:hAnsi="Arial"/>
                <w:sz w:val="14"/>
                <w:szCs w:val="14"/>
                <w:b w:val="1"/>
                <w:bCs w:val="1"/>
                <w:color w:val="auto"/>
              </w:rPr>
              <w:t>Name of Beneficial Owner</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Units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Common Units</w:t>
            </w:r>
          </w:p>
        </w:tc>
        <w:tc>
          <w:tcPr>
            <w:tcW w:w="0" w:type="dxa"/>
            <w:vAlign w:val="bottom"/>
          </w:tcPr>
          <w:p>
            <w:pPr>
              <w:spacing w:after="0"/>
              <w:rPr>
                <w:sz w:val="1"/>
                <w:szCs w:val="1"/>
                <w:color w:val="auto"/>
              </w:rPr>
            </w:pPr>
          </w:p>
        </w:tc>
      </w:tr>
      <w:tr>
        <w:trPr>
          <w:trHeight w:val="187"/>
        </w:trPr>
        <w:tc>
          <w:tcPr>
            <w:tcW w:w="7620" w:type="dxa"/>
            <w:vAlign w:val="bottom"/>
            <w:gridSpan w:val="2"/>
            <w:vMerge w:val="continue"/>
          </w:tcPr>
          <w:p>
            <w:pPr>
              <w:spacing w:after="0"/>
              <w:rPr>
                <w:sz w:val="16"/>
                <w:szCs w:val="16"/>
                <w:color w:val="auto"/>
              </w:rPr>
            </w:pPr>
          </w:p>
        </w:tc>
        <w:tc>
          <w:tcPr>
            <w:tcW w:w="1740" w:type="dxa"/>
            <w:vAlign w:val="bottom"/>
            <w:gridSpan w:val="2"/>
          </w:tcPr>
          <w:p>
            <w:pPr>
              <w:jc w:val="center"/>
              <w:ind w:right="120"/>
              <w:spacing w:after="0" w:line="188" w:lineRule="exact"/>
              <w:rPr>
                <w:sz w:val="20"/>
                <w:szCs w:val="20"/>
                <w:color w:val="auto"/>
              </w:rPr>
            </w:pPr>
            <w:r>
              <w:rPr>
                <w:rFonts w:ascii="Arial" w:cs="Arial" w:eastAsia="Arial" w:hAnsi="Arial"/>
                <w:sz w:val="14"/>
                <w:szCs w:val="14"/>
                <w:b w:val="1"/>
                <w:bCs w:val="1"/>
                <w:color w:val="auto"/>
                <w:w w:val="90"/>
              </w:rPr>
              <w:t>Beneficially Owned</w:t>
            </w:r>
            <w:r>
              <w:rPr>
                <w:rFonts w:ascii="Arial" w:cs="Arial" w:eastAsia="Arial" w:hAnsi="Arial"/>
                <w:sz w:val="18"/>
                <w:szCs w:val="18"/>
                <w:b w:val="1"/>
                <w:bCs w:val="1"/>
                <w:color w:val="auto"/>
                <w:w w:val="90"/>
                <w:vertAlign w:val="superscript"/>
              </w:rPr>
              <w:t>(1)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221"/>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Diamondback Energy, Inc.</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Viper Energy Partners GP LLC</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Kaes Van't Hof</w:t>
            </w:r>
          </w:p>
        </w:tc>
        <w:tc>
          <w:tcPr>
            <w:tcW w:w="1640" w:type="dxa"/>
            <w:vAlign w:val="bottom"/>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Thomas F. Hawkins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Zmigrosky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72,777</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W. Wesley Perry</w:t>
            </w:r>
            <w:r>
              <w:rPr>
                <w:rFonts w:ascii="Arial" w:cs="Arial" w:eastAsia="Arial" w:hAnsi="Arial"/>
                <w:sz w:val="23"/>
                <w:szCs w:val="23"/>
                <w:color w:val="auto"/>
                <w:vertAlign w:val="superscript"/>
              </w:rPr>
              <w:t>(3)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Spencer D. Armour</w:t>
            </w:r>
            <w:r>
              <w:rPr>
                <w:rFonts w:ascii="Arial" w:cs="Arial" w:eastAsia="Arial" w:hAnsi="Arial"/>
                <w:sz w:val="23"/>
                <w:szCs w:val="23"/>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22,704</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James L. Rubin</w:t>
            </w:r>
            <w:r>
              <w:rPr>
                <w:rFonts w:ascii="Arial" w:cs="Arial" w:eastAsia="Arial" w:hAnsi="Arial"/>
                <w:sz w:val="23"/>
                <w:szCs w:val="23"/>
                <w:color w:val="auto"/>
                <w:vertAlign w:val="superscript"/>
              </w:rPr>
              <w:t>(4)</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Rosalind Redfern Grover</w:t>
            </w:r>
            <w:r>
              <w:rPr>
                <w:rFonts w:ascii="Arial" w:cs="Arial" w:eastAsia="Arial" w:hAnsi="Arial"/>
                <w:sz w:val="23"/>
                <w:szCs w:val="23"/>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33,066</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(10 persons)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0" w:lineRule="exact"/>
        <w:rPr>
          <w:sz w:val="20"/>
          <w:szCs w:val="20"/>
          <w:color w:val="auto"/>
        </w:rPr>
      </w:pPr>
    </w:p>
    <w:p>
      <w:pPr>
        <w:jc w:val="both"/>
        <w:ind w:left="320" w:hanging="313"/>
        <w:spacing w:after="0" w:line="248"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In computing percentage ownership of each person, (i) common units subject to options held by that person that are exercisable as of January 31, 2022 and (ii) common units subject to options or phantom units held by that person that are exercisable or vesting within 60 days of January 31, 2022 are all deemed to be beneficially owned. These common units, however, are not deemed outstanding for the purpose of computing the percentage ownership of each other person. The percentage of common units beneficially owned is based on 76,966,203 common units outstanding as of January 31, 2022. Unless otherwise indicated, all amounts exclude common units issuable upon the exercise of outstanding options and vesting of phantom units that are not exercisable and/or vested as of January 31, 2022 or within 60 days of January 31, 2022. Unless otherwise noted, the address for each beneficial owner listed below is 500 West Texas Avenue, Suite 1200, Midland, Texas 79701. Except as noted, each unitholder in the above table is believed to have sole voting and sole investment power with respect to the units beneficially held.</w:t>
      </w:r>
    </w:p>
    <w:p>
      <w:pPr>
        <w:spacing w:after="0" w:line="3" w:lineRule="exact"/>
        <w:rPr>
          <w:rFonts w:ascii="Arial" w:cs="Arial" w:eastAsia="Arial" w:hAnsi="Arial"/>
          <w:sz w:val="18"/>
          <w:szCs w:val="18"/>
          <w:color w:val="auto"/>
        </w:rPr>
      </w:pPr>
    </w:p>
    <w:p>
      <w:pPr>
        <w:ind w:left="320" w:hanging="313"/>
        <w:spacing w:after="0" w:line="248"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w:t>
      </w: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5,513 phantom units that are scheduled to vest on July 12, 2022.</w:t>
      </w:r>
    </w:p>
    <w:p>
      <w:pPr>
        <w:spacing w:after="0" w:line="7" w:lineRule="exact"/>
        <w:rPr>
          <w:rFonts w:ascii="Arial" w:cs="Arial" w:eastAsia="Arial" w:hAnsi="Arial"/>
          <w:sz w:val="18"/>
          <w:szCs w:val="18"/>
          <w:color w:val="auto"/>
        </w:rPr>
      </w:pPr>
    </w:p>
    <w:p>
      <w:pPr>
        <w:ind w:left="320" w:hanging="313"/>
        <w:spacing w:after="0" w:line="286" w:lineRule="auto"/>
        <w:tabs>
          <w:tab w:leader="none" w:pos="3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39,732 common units (representing vested phantom units previously granted to Mr. Rubin) and 5,513 phantom units that are scheduled to vest on July 12, 2022, all of which have been assigned by Mr. Rubin to Wexford under the terms of his employment with Wexford.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as of January 31, 2022, the number of shares of common stock of Diamondback beneficially owned by each of the directors and executive officers of our General Partner and all directors and executive officers of our General Partner as a group.</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Shares of Diamondback Common Stock Beneficially Owned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7"/>
        </w:trPr>
        <w:tc>
          <w:tcPr>
            <w:tcW w:w="666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Name of Beneficial Owner</w:t>
            </w:r>
          </w:p>
        </w:tc>
        <w:tc>
          <w:tcPr>
            <w:tcW w:w="24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Amount and Nature of Beneficial</w:t>
            </w:r>
          </w:p>
        </w:tc>
        <w:tc>
          <w:tcPr>
            <w:tcW w:w="21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6"/>
        </w:trPr>
        <w:tc>
          <w:tcPr>
            <w:tcW w:w="6660" w:type="dxa"/>
            <w:vAlign w:val="bottom"/>
            <w:gridSpan w:val="2"/>
            <w:vMerge w:val="continue"/>
          </w:tcPr>
          <w:p>
            <w:pPr>
              <w:spacing w:after="0"/>
              <w:rPr>
                <w:sz w:val="16"/>
                <w:szCs w:val="16"/>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22"/>
        </w:trPr>
        <w:tc>
          <w:tcPr>
            <w:tcW w:w="6560" w:type="dxa"/>
            <w:vAlign w:val="bottom"/>
            <w:tcBorders>
              <w:top w:val="single" w:sz="8" w:color="auto"/>
            </w:tcBorders>
            <w:shd w:val="clear" w:color="auto" w:fill="CCEEFF"/>
          </w:tcPr>
          <w:p>
            <w:pPr>
              <w:ind w:left="20"/>
              <w:spacing w:after="0" w:line="222"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Kaes Van't Hof</w:t>
            </w:r>
            <w:r>
              <w:rPr>
                <w:rFonts w:ascii="Arial" w:cs="Arial" w:eastAsia="Arial" w:hAnsi="Arial"/>
                <w:sz w:val="23"/>
                <w:szCs w:val="23"/>
                <w:color w:val="auto"/>
                <w:vertAlign w:val="superscript"/>
              </w:rPr>
              <w:t>(3)</w:t>
            </w:r>
          </w:p>
        </w:tc>
        <w:tc>
          <w:tcPr>
            <w:tcW w:w="2320" w:type="dxa"/>
            <w:vAlign w:val="bottom"/>
          </w:tcPr>
          <w:p>
            <w:pPr>
              <w:jc w:val="right"/>
              <w:spacing w:after="0"/>
              <w:rPr>
                <w:sz w:val="20"/>
                <w:szCs w:val="20"/>
                <w:color w:val="auto"/>
              </w:rPr>
            </w:pPr>
            <w:r>
              <w:rPr>
                <w:rFonts w:ascii="Arial" w:cs="Arial" w:eastAsia="Arial" w:hAnsi="Arial"/>
                <w:sz w:val="18"/>
                <w:szCs w:val="18"/>
                <w:color w:val="auto"/>
              </w:rPr>
              <w:t>45,615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Teresa L. Dick</w:t>
            </w:r>
            <w:r>
              <w:rPr>
                <w:rFonts w:ascii="Arial" w:cs="Arial" w:eastAsia="Arial" w:hAnsi="Arial"/>
                <w:sz w:val="23"/>
                <w:szCs w:val="23"/>
                <w:color w:val="auto"/>
                <w:vertAlign w:val="superscript"/>
              </w:rPr>
              <w:t>(4)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Thomas F. Hawkins</w:t>
            </w:r>
            <w:r>
              <w:rPr>
                <w:rFonts w:ascii="Arial" w:cs="Arial" w:eastAsia="Arial" w:hAnsi="Arial"/>
                <w:sz w:val="23"/>
                <w:szCs w:val="23"/>
                <w:color w:val="auto"/>
                <w:vertAlign w:val="superscript"/>
              </w:rPr>
              <w:t>(5)</w:t>
            </w:r>
          </w:p>
        </w:tc>
        <w:tc>
          <w:tcPr>
            <w:tcW w:w="2320" w:type="dxa"/>
            <w:vAlign w:val="bottom"/>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Matt Zmigrosky</w:t>
            </w:r>
            <w:r>
              <w:rPr>
                <w:rFonts w:ascii="Arial" w:cs="Arial" w:eastAsia="Arial" w:hAnsi="Arial"/>
                <w:sz w:val="23"/>
                <w:szCs w:val="23"/>
                <w:color w:val="auto"/>
                <w:vertAlign w:val="superscript"/>
              </w:rPr>
              <w:t>(6)</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(7)</w:t>
            </w:r>
          </w:p>
        </w:tc>
        <w:tc>
          <w:tcPr>
            <w:tcW w:w="23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 Wesley Perry</w:t>
            </w:r>
          </w:p>
        </w:tc>
        <w:tc>
          <w:tcPr>
            <w:tcW w:w="2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Spencer D. Armour</w:t>
            </w:r>
          </w:p>
        </w:tc>
        <w:tc>
          <w:tcPr>
            <w:tcW w:w="2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L. Rubin</w:t>
            </w:r>
          </w:p>
        </w:tc>
        <w:tc>
          <w:tcPr>
            <w:tcW w:w="2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Rosalind Redfern Grover</w:t>
            </w:r>
          </w:p>
        </w:tc>
        <w:tc>
          <w:tcPr>
            <w:tcW w:w="2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(10 persons)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529,053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0" w:lineRule="exact"/>
        <w:rPr>
          <w:sz w:val="20"/>
          <w:szCs w:val="20"/>
          <w:color w:val="auto"/>
        </w:rPr>
      </w:pPr>
    </w:p>
    <w:p>
      <w:pPr>
        <w:jc w:val="both"/>
        <w:ind w:left="440" w:hanging="393"/>
        <w:spacing w:after="0" w:line="263" w:lineRule="auto"/>
        <w:tabs>
          <w:tab w:leader="none" w:pos="434" w:val="left"/>
        </w:tabs>
        <w:numPr>
          <w:ilvl w:val="1"/>
          <w:numId w:val="23"/>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(i) shares of common stock subject to options held by that person that are exercisable as of January 31, 2022 and (ii) shares of common stock subject to options or restricted stock units held by that person that are exercisable or vesting within 60 days of January 31, 2022, are all deemed to be beneficially owned. These shares, however, are not deemed outstanding for the purpose of computing the percentage ownership of each other person. The percentage of shares beneficially owned is based on 177,412,057 shares of common stock outstanding as of January 31, 2022. Unless otherwise indicated, all amounts exclude shares issuable upon the exercise of outstanding options and vesting of restricted stock units that are not exercisable and/or vested as of January 31, 2022 or within 60 days of January 31, 2022. Except as noted, each stockholder in the above table is believed to have sole voting and sole investment power with respect to the shares of common stock beneficially held.</w:t>
      </w:r>
    </w:p>
    <w:p>
      <w:pPr>
        <w:jc w:val="both"/>
        <w:ind w:left="480" w:hanging="473"/>
        <w:spacing w:after="0" w:line="279" w:lineRule="auto"/>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of these shares are held by Stice Investments, Ltd., which is managed by Stice Management, LLC, its general partner. Mr. Stice and his spouse hold 100% of the membership interests in Stice Management, LLC, of which Mr. Stice is the manager. Includes 26,325 restricted stock units, that are scheduled to vest on March 1, 2022. Excludes 11,499 restricted stock units, that are scheduled to vest on March 1, 2023. Also excludes (i) 49,436 performance-based restricted stock units awarded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(ii) 66,714 performance-based restricted stock units awarded to Mr. Stice on March 1, 2020, which are subject to the satisfaction of certain stockholder return performance conditions relative to Diamondback’s peer group during the three-year performance period ending on December 31, 2022 and (iii) 51,748 performance-based restricted stock units awarded to Mr. Stice on March 1, 2021, which are subject to the satisfaction of certain stockholder return performance conditions relative to Diamondback’s peer group during the three-year performance period ending on December 31, 2023.</w:t>
      </w:r>
    </w:p>
    <w:p>
      <w:pPr>
        <w:spacing w:after="0" w:line="4" w:lineRule="exact"/>
        <w:rPr>
          <w:rFonts w:ascii="Arial" w:cs="Arial" w:eastAsia="Arial" w:hAnsi="Arial"/>
          <w:sz w:val="16"/>
          <w:szCs w:val="16"/>
          <w:color w:val="auto"/>
        </w:rPr>
      </w:pPr>
    </w:p>
    <w:p>
      <w:pPr>
        <w:jc w:val="both"/>
        <w:ind w:left="480" w:hanging="473"/>
        <w:spacing w:after="0" w:line="231" w:lineRule="auto"/>
        <w:tabs>
          <w:tab w:leader="none" w:pos="492" w:val="left"/>
        </w:tabs>
        <w:numPr>
          <w:ilvl w:val="0"/>
          <w:numId w:val="24"/>
        </w:numPr>
        <w:rPr>
          <w:rFonts w:ascii="Arial" w:cs="Arial" w:eastAsia="Arial" w:hAnsi="Arial"/>
          <w:sz w:val="19"/>
          <w:szCs w:val="19"/>
          <w:color w:val="auto"/>
        </w:rPr>
      </w:pPr>
      <w:r>
        <w:rPr>
          <w:rFonts w:ascii="Arial" w:cs="Arial" w:eastAsia="Arial" w:hAnsi="Arial"/>
          <w:sz w:val="17"/>
          <w:szCs w:val="17"/>
          <w:color w:val="auto"/>
        </w:rPr>
        <w:t>Includes 12,955 restricted stock units, that are scheduled to vest on March 1, 2022. Excludes (i) 6,038 restricted stock units, that are scheduled to vest on March 1, 2023, (ii) 8,790 restricted stock units, that are scheduled to vest in five equal annual installments beginning on March 1, 2025, (iii) 23,070 performance-based restricted stock units awarded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(iv) 13,183 performance-based restricted stock units awarded to Mr. Van’t Hof on March 1, 2019 (representing 100% vesting of the originally reported amount) based upon final determination upon certification of certain stockholders return performance conditions relative to Diamondback’s peer group during the three-year performance period ended on December 31, 2021, that are scheduled to vest in five equal installments beginning on March 1, 2025, (v) 31,133 performance-based restricted stock units awarded to Mr. Van’t Hof on March 1, 2020, that are subject to the satisfaction of certain stockholder return performance conditions relative to Diamondback’s peer group during the three-year performance period ending on December 31, 2022 and (vi) 27,168 performance-based restricted stock units awarded to Mr. Van’t Hof on March 1, 2021, which are subject to the satisfaction of certain stockholder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return performance conditions relative to Diamondback’s peer group during the three-year performance period ending on December 31, 2023.</w:t>
      </w:r>
    </w:p>
    <w:p>
      <w:pPr>
        <w:spacing w:after="0" w:line="21" w:lineRule="exact"/>
        <w:rPr>
          <w:sz w:val="20"/>
          <w:szCs w:val="20"/>
          <w:color w:val="auto"/>
        </w:rPr>
      </w:pPr>
    </w:p>
    <w:p>
      <w:pPr>
        <w:jc w:val="both"/>
        <w:ind w:left="480" w:hanging="473"/>
        <w:spacing w:after="0" w:line="262" w:lineRule="auto"/>
        <w:tabs>
          <w:tab w:leader="none" w:pos="47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7,403 restricted stock units, that are scheduled to vest on March 1, 2022. Excludes 3,450 restricted stock units, that are scheduled to vest on March 1, 2023. Also excludes (i) 13,183 performance-based restricted stock units awarded to Ms. Dick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(ii) 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 and (iii) 15,524 performance-based restricted stock units awarded to Ms. Dick on March 1, 2021, which are subject to the satisfaction of certain stockholder return performance conditions relative to Diamondback’s peer group during the three-year performance period ending on December 31, 2023.</w:t>
      </w:r>
    </w:p>
    <w:p>
      <w:pPr>
        <w:spacing w:after="0" w:line="4" w:lineRule="exact"/>
        <w:rPr>
          <w:rFonts w:ascii="Arial" w:cs="Arial" w:eastAsia="Arial" w:hAnsi="Arial"/>
          <w:sz w:val="17"/>
          <w:szCs w:val="17"/>
          <w:color w:val="auto"/>
        </w:rPr>
      </w:pPr>
    </w:p>
    <w:p>
      <w:pPr>
        <w:jc w:val="both"/>
        <w:ind w:left="480" w:hanging="473"/>
        <w:spacing w:after="0" w:line="263" w:lineRule="auto"/>
        <w:tabs>
          <w:tab w:leader="none" w:pos="47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4,811 restricted stock units that are scheduled to vest on March 1, 2022. Excludes 2,243 restricted stock units that are scheduled to vest on March 1, 2023. Also excludes 8,569 performance-based restricted stock units awarded to Mr. Hawkins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(ii) 11,564 performance-based restricted stock units awarded to Mr. Hawkins on March 1, 2020 that are subject to the satisfaction of certain stockholder return performance conditions relative to Diamondback’s peer group during the three-year performance period ending on December 31, 2022 and (iii) 10,091 performance-based restricted stock units awarded to Mr. Hawkins on March 1, 2021, which are subject to the satisfaction of certain stockholder return performance conditions relative to Diamondback’s peer group during the three-year performance period ending on December 31, 2023.</w:t>
      </w:r>
    </w:p>
    <w:p>
      <w:pPr>
        <w:jc w:val="both"/>
        <w:ind w:left="480" w:hanging="473"/>
        <w:spacing w:after="0" w:line="263" w:lineRule="auto"/>
        <w:tabs>
          <w:tab w:leader="none" w:pos="47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5,922 restricted stock units, that are scheduled to vest on March 1, 2022. Excludes 2,760 restricted stock units, that are scheduled to vest on March 1, 2023. Also excludes (i) 10,546 performance-based restricted stock units awarded to Mr. Zmigrosky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and (ii) 14,232 performance-based restricted stock units awarded to Mr. Zmigrosky on March 1, 2020, that are subject to the satisfaction of certain stockholder return performance conditions relative to Diamondback’s peer group during the three-year performance period ending on December 31, 2022 and (iii) 12,420 performance-based restricted stock units awarded to Mr. Zmigrosky on March 1, 2021, which are subject to the satisfaction of certain stockholder return performance conditions relative to Diamondback’s peer group during the three-year performance period ending on December 31, 2023.</w:t>
      </w:r>
    </w:p>
    <w:p>
      <w:pPr>
        <w:ind w:left="480" w:hanging="473"/>
        <w:spacing w:after="0" w:line="256" w:lineRule="auto"/>
        <w:tabs>
          <w:tab w:leader="none" w:pos="4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2,435 restricted stock units that are scheduled to vest on the earlier of the one-year anniversary of the date of grant and the date of the 2022 annual meeting of stockholders of Diamondback.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Major Stockholders</w:t>
      </w:r>
    </w:p>
    <w:p>
      <w:pPr>
        <w:spacing w:after="0" w:line="252"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units and Class B units as of January 31, 2021 by each unitholder known by us to beneficially own 5% or more of our common units or Class B units.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4"/>
          </w:tcPr>
          <w:p>
            <w:pPr>
              <w:ind w:left="340"/>
              <w:spacing w:after="0"/>
              <w:rPr>
                <w:sz w:val="20"/>
                <w:szCs w:val="20"/>
                <w:color w:val="auto"/>
              </w:rPr>
            </w:pPr>
            <w:r>
              <w:rPr>
                <w:rFonts w:ascii="Arial" w:cs="Arial" w:eastAsia="Arial" w:hAnsi="Arial"/>
                <w:sz w:val="14"/>
                <w:szCs w:val="14"/>
                <w:b w:val="1"/>
                <w:bCs w:val="1"/>
                <w:color w:val="auto"/>
              </w:rPr>
              <w:t>MAJOR UNITHOLDER TABLE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1177"/>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1238"/>
              <w:spacing w:after="0"/>
              <w:rPr>
                <w:sz w:val="20"/>
                <w:szCs w:val="20"/>
                <w:color w:val="auto"/>
              </w:rPr>
            </w:pPr>
            <w:r>
              <w:rPr>
                <w:rFonts w:ascii="Arial" w:cs="Arial" w:eastAsia="Arial" w:hAnsi="Arial"/>
                <w:sz w:val="14"/>
                <w:szCs w:val="14"/>
                <w:b w:val="1"/>
                <w:bCs w:val="1"/>
                <w:color w:val="auto"/>
              </w:rPr>
              <w:t>Class B Units</w:t>
            </w:r>
          </w:p>
        </w:tc>
        <w:tc>
          <w:tcPr>
            <w:tcW w:w="0" w:type="dxa"/>
            <w:vAlign w:val="bottom"/>
          </w:tcPr>
          <w:p>
            <w:pPr>
              <w:spacing w:after="0"/>
              <w:rPr>
                <w:sz w:val="1"/>
                <w:szCs w:val="1"/>
                <w:color w:val="auto"/>
              </w:rPr>
            </w:pPr>
          </w:p>
        </w:tc>
      </w:tr>
      <w:tr>
        <w:trPr>
          <w:trHeight w:val="187"/>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 and Nature of</w:t>
            </w:r>
          </w:p>
        </w:tc>
        <w:tc>
          <w:tcPr>
            <w:tcW w:w="184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Percentage of Class</w:t>
            </w: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 and Nature of</w:t>
            </w:r>
          </w:p>
        </w:tc>
        <w:tc>
          <w:tcPr>
            <w:tcW w:w="1740" w:type="dxa"/>
            <w:vAlign w:val="bottom"/>
          </w:tcPr>
          <w:p>
            <w:pPr>
              <w:jc w:val="right"/>
              <w:ind w:right="198"/>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7"/>
        </w:trPr>
        <w:tc>
          <w:tcPr>
            <w:tcW w:w="4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4"/>
                <w:szCs w:val="14"/>
                <w:b w:val="1"/>
                <w:bCs w:val="1"/>
                <w:color w:val="auto"/>
                <w:w w:val="95"/>
              </w:rPr>
              <w:t>Beneficial Ownership</w:t>
            </w:r>
            <w:r>
              <w:rPr>
                <w:rFonts w:ascii="Arial" w:cs="Arial" w:eastAsia="Arial" w:hAnsi="Arial"/>
                <w:sz w:val="18"/>
                <w:szCs w:val="18"/>
                <w:b w:val="1"/>
                <w:bCs w:val="1"/>
                <w:color w:val="auto"/>
                <w:w w:val="95"/>
                <w:vertAlign w:val="superscript"/>
              </w:rPr>
              <w:t>(1)</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0"/>
              <w:spacing w:after="0" w:line="188" w:lineRule="exact"/>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18"/>
                <w:szCs w:val="18"/>
                <w:b w:val="1"/>
                <w:bCs w:val="1"/>
                <w:color w:val="auto"/>
                <w:w w:val="94"/>
                <w:vertAlign w:val="superscript"/>
              </w:rPr>
              <w:t>(1)</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20"/>
        </w:trPr>
        <w:tc>
          <w:tcPr>
            <w:tcW w:w="4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3"/>
                <w:szCs w:val="23"/>
                <w:color w:val="auto"/>
                <w:vertAlign w:val="superscript"/>
              </w:rPr>
              <w:t>(2)</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500 West Texas Avenue, Suite 1200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Midland, Texas 79701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90,709,946</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7"/>
        </w:trPr>
        <w:tc>
          <w:tcPr>
            <w:tcW w:w="426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Blackstone, Inc.</w:t>
            </w:r>
            <w:r>
              <w:rPr>
                <w:rFonts w:ascii="Arial" w:cs="Arial" w:eastAsia="Arial" w:hAnsi="Arial"/>
                <w:sz w:val="23"/>
                <w:szCs w:val="23"/>
                <w:color w:val="auto"/>
                <w:vertAlign w:val="superscript"/>
              </w:rPr>
              <w:t>(3)</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345 Park Avenue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New York, NY 10154</w:t>
            </w:r>
          </w:p>
        </w:tc>
        <w:tc>
          <w:tcPr>
            <w:tcW w:w="1600" w:type="dxa"/>
            <w:vAlign w:val="bottom"/>
          </w:tcPr>
          <w:p>
            <w:pPr>
              <w:jc w:val="right"/>
              <w:spacing w:after="0"/>
              <w:rPr>
                <w:sz w:val="20"/>
                <w:szCs w:val="20"/>
                <w:color w:val="auto"/>
              </w:rPr>
            </w:pPr>
            <w:r>
              <w:rPr>
                <w:rFonts w:ascii="Arial" w:cs="Arial" w:eastAsia="Arial" w:hAnsi="Arial"/>
                <w:sz w:val="18"/>
                <w:szCs w:val="18"/>
                <w:color w:val="auto"/>
              </w:rPr>
              <w:t>13,707,227</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2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3"/>
                <w:szCs w:val="23"/>
                <w:color w:val="auto"/>
                <w:vertAlign w:val="superscript"/>
              </w:rPr>
              <w:t>(4)</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 Wellington Management Company LLP</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280 Congress Street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Boston, MA 02210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9,642,118</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26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Santa Elena Minerals, LP</w:t>
            </w:r>
            <w:r>
              <w:rPr>
                <w:rFonts w:ascii="Arial" w:cs="Arial" w:eastAsia="Arial" w:hAnsi="Arial"/>
                <w:sz w:val="23"/>
                <w:szCs w:val="23"/>
                <w:color w:val="auto"/>
                <w:vertAlign w:val="superscript"/>
              </w:rPr>
              <w:t>(5)</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400 W. Illinois, Suite 1300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Midland, TX 79701</w:t>
            </w:r>
          </w:p>
        </w:tc>
        <w:tc>
          <w:tcPr>
            <w:tcW w:w="1600" w:type="dxa"/>
            <w:vAlign w:val="bottom"/>
          </w:tcPr>
          <w:p>
            <w:pPr>
              <w:jc w:val="right"/>
              <w:spacing w:after="0"/>
              <w:rPr>
                <w:sz w:val="20"/>
                <w:szCs w:val="20"/>
                <w:color w:val="auto"/>
              </w:rPr>
            </w:pPr>
            <w:r>
              <w:rPr>
                <w:rFonts w:ascii="Arial" w:cs="Arial" w:eastAsia="Arial" w:hAnsi="Arial"/>
                <w:sz w:val="18"/>
                <w:szCs w:val="18"/>
                <w:color w:val="auto"/>
              </w:rPr>
              <w:t>5,152,124</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440" w:hanging="393"/>
        <w:spacing w:after="0" w:line="253" w:lineRule="auto"/>
        <w:tabs>
          <w:tab w:leader="none" w:pos="4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The percentage of common units beneficially owned is based on 76,966,203 common units outstanding as of January 31, 2021. Except as noted, each unitholder in the above table is believed to have sole voting and sole investment power with respect to the common units and Class B units beneficially held.</w:t>
      </w:r>
    </w:p>
    <w:p>
      <w:pPr>
        <w:jc w:val="both"/>
        <w:ind w:left="440" w:hanging="393"/>
        <w:spacing w:after="0" w:line="277" w:lineRule="auto"/>
        <w:tabs>
          <w:tab w:leader="none" w:pos="434"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Diamondback Energy, Inc. is a publicly traded company and holds 731,500 common units and 90,709,946 Class B units, with the same aggregate number of units of the Operating Company (each, an “OpCo unit”) that are exchangeable from time to time, in its discretion, for common units (that is, one OpCo unit and one Class B unit, together, are exchangeable for one common unit), and, as a result, Diamondback may be deemed to have the beneficial ownership of such common units. Diamondback has sole voting and dispositive power with respect to the common units and Class B units it holds. The directors of Diamondback are Travis D. Stice, Steven E. West, Vincent K. Brooks, Michael P. Cross, David L. Houston, Stephanie K. Mains, Mark L. Plaumann and Melanie M. Trent. Travis D. Stice is the sole director of Diamondback E&amp;P.</w:t>
      </w:r>
    </w:p>
    <w:p>
      <w:pPr>
        <w:spacing w:after="0" w:line="1" w:lineRule="exact"/>
        <w:rPr>
          <w:rFonts w:ascii="Arial" w:cs="Arial" w:eastAsia="Arial" w:hAnsi="Arial"/>
          <w:sz w:val="16"/>
          <w:szCs w:val="16"/>
          <w:color w:val="auto"/>
        </w:rPr>
      </w:pPr>
    </w:p>
    <w:p>
      <w:pPr>
        <w:jc w:val="both"/>
        <w:ind w:left="440" w:hanging="393"/>
        <w:spacing w:after="0" w:line="231" w:lineRule="auto"/>
        <w:tabs>
          <w:tab w:leader="none" w:pos="4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solely on Schedule 13D/A filed with the SEC on January 11, 2022. Represents common units held directly by BX Guidon Topco LLC (“BX Topco”). Guidon Energy Holdings LP is the managing member of Swallowtail Royalties LLC. The controlling membership interests of BX Topco are held by Blackstone Management Associates VI L.L.C. and Blackstone Energy Management Associates II L.L.C. BMA VI L.L.C. is the sole member of Blackstone Management Associates VI L.L.C. Blackstone EMA II L.L.C. is the sole member of Blackstone Energy Management Associates II L.L.C. Blackstone Holdings III L.P. is the managing member of each of BMA VI L.L.C. and Blackstone EMA II L.L.C.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of the above entities or persons may be deemed to beneficially own common units beneficially owned by BX Topco or indirectly controlled by such entity or person. Each of the above entities or persons disclaims beneficial ownership of such securities in excess of their respective pecuniary interest therein.</w:t>
      </w:r>
    </w:p>
    <w:p>
      <w:pPr>
        <w:spacing w:after="0" w:line="5" w:lineRule="exact"/>
        <w:rPr>
          <w:rFonts w:ascii="Arial" w:cs="Arial" w:eastAsia="Arial" w:hAnsi="Arial"/>
          <w:sz w:val="17"/>
          <w:szCs w:val="17"/>
          <w:color w:val="auto"/>
        </w:rPr>
      </w:pPr>
    </w:p>
    <w:p>
      <w:pPr>
        <w:jc w:val="both"/>
        <w:ind w:left="440" w:hanging="393"/>
        <w:spacing w:after="0" w:line="266" w:lineRule="auto"/>
        <w:tabs>
          <w:tab w:leader="none" w:pos="4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solely on Schedule 13G/A jointly filed with the SEC on February 4, 2021 by Wellington Management Group LLP (“Wellington Management”), Wellington Group Holdings LLP (“Wellington Holdings”), Wellington Investment Advisors Holdings LLP (“Wellington Advisors”) and Wellington Management Company LLP (“Wellington Company”). These units are owned of record by clients of Wellington Company, Wellington Management Canada LLC, Wellington Management Singapore Pte Ltd, Wellington Management Hong Kong Ltd, Wellington Management International Ltd, Wellington Management Japan Pte Ltd and Wellington Management Australia Pty Ltd (collectively, the “Wellington Investment Advisers”). Wellington Advisors controls directly, or indirectly through Wellington Management Global Holdings Ltd., the Wellington Investment Advisers. Wellington Advisors is owned by Wellington Holdings, which is 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turn owned by Wellington Management. The clients of the Wellington Investment Advisers have the right to receive, or the power to direct the receipt of, dividends from, or the proceeds from the sale of, such securities. No such client is known to have such right or power with respect to more than five percent of this class of securities. Each of Wellington Management, Wellington Holdings and Wellington Advisors reported shared voting power over 8,746,556 common units and shared dispositive power over 9,642,118 common units. Wellington Company reported shared voting power over 8,667,707 common units and shared dispositive power over 9,498,077 common units.</w:t>
      </w:r>
    </w:p>
    <w:p>
      <w:pPr>
        <w:spacing w:after="0" w:line="1" w:lineRule="exact"/>
        <w:rPr>
          <w:sz w:val="20"/>
          <w:szCs w:val="20"/>
          <w:color w:val="auto"/>
        </w:rPr>
      </w:pPr>
    </w:p>
    <w:p>
      <w:pPr>
        <w:ind w:left="440" w:hanging="393"/>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Viper’s records.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Number of securities to be issued upon</w:t>
            </w:r>
          </w:p>
        </w:tc>
        <w:tc>
          <w:tcPr>
            <w:tcW w:w="100" w:type="dxa"/>
            <w:vAlign w:val="bottom"/>
          </w:tcPr>
          <w:p>
            <w:pPr>
              <w:spacing w:after="0"/>
              <w:rPr>
                <w:sz w:val="14"/>
                <w:szCs w:val="14"/>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Weighted-average exercise price of</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34"/>
        </w:trPr>
        <w:tc>
          <w:tcPr>
            <w:tcW w:w="344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Plan Category</w:t>
            </w:r>
          </w:p>
        </w:tc>
        <w:tc>
          <w:tcPr>
            <w:tcW w:w="272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89"/>
              </w:rPr>
              <w:t>exercise of outstanding options, warrants</w:t>
            </w:r>
          </w:p>
        </w:tc>
        <w:tc>
          <w:tcPr>
            <w:tcW w:w="100" w:type="dxa"/>
            <w:vAlign w:val="bottom"/>
          </w:tcPr>
          <w:p>
            <w:pPr>
              <w:spacing w:after="0"/>
              <w:rPr>
                <w:sz w:val="11"/>
                <w:szCs w:val="11"/>
                <w:color w:val="auto"/>
              </w:rPr>
            </w:pPr>
          </w:p>
        </w:tc>
        <w:tc>
          <w:tcPr>
            <w:tcW w:w="2340" w:type="dxa"/>
            <w:vAlign w:val="bottom"/>
            <w:gridSpan w:val="2"/>
          </w:tcPr>
          <w:p>
            <w:pPr>
              <w:jc w:val="center"/>
              <w:ind w:right="200"/>
              <w:spacing w:after="0" w:line="134" w:lineRule="exact"/>
              <w:rPr>
                <w:sz w:val="20"/>
                <w:szCs w:val="20"/>
                <w:color w:val="auto"/>
              </w:rPr>
            </w:pPr>
            <w:r>
              <w:rPr>
                <w:rFonts w:ascii="Arial" w:cs="Arial" w:eastAsia="Arial" w:hAnsi="Arial"/>
                <w:sz w:val="14"/>
                <w:szCs w:val="14"/>
                <w:b w:val="1"/>
                <w:bCs w:val="1"/>
                <w:color w:val="auto"/>
                <w:w w:val="91"/>
              </w:rPr>
              <w:t>outstanding options, warrants and</w:t>
            </w:r>
          </w:p>
        </w:tc>
        <w:tc>
          <w:tcPr>
            <w:tcW w:w="26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86"/>
        </w:trPr>
        <w:tc>
          <w:tcPr>
            <w:tcW w:w="3440" w:type="dxa"/>
            <w:vAlign w:val="bottom"/>
            <w:gridSpan w:val="2"/>
            <w:vMerge w:val="continue"/>
          </w:tcPr>
          <w:p>
            <w:pPr>
              <w:spacing w:after="0"/>
              <w:rPr>
                <w:sz w:val="16"/>
                <w:szCs w:val="16"/>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6"/>
                <w:szCs w:val="16"/>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rights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69"/>
        </w:trPr>
        <w:tc>
          <w:tcPr>
            <w:tcW w:w="33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Equity compensation plans not approved by</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security holders</w:t>
            </w:r>
            <w:r>
              <w:rPr>
                <w:rFonts w:ascii="Arial" w:cs="Arial" w:eastAsia="Arial" w:hAnsi="Arial"/>
                <w:sz w:val="23"/>
                <w:szCs w:val="23"/>
                <w:color w:val="auto"/>
                <w:vertAlign w:val="superscript"/>
              </w:rPr>
              <w:t>(1)</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Long Term Incentive Plan</w:t>
            </w:r>
          </w:p>
        </w:tc>
        <w:tc>
          <w:tcPr>
            <w:tcW w:w="2620" w:type="dxa"/>
            <w:vAlign w:val="bottom"/>
          </w:tcPr>
          <w:p>
            <w:pPr>
              <w:jc w:val="right"/>
              <w:ind w:right="4"/>
              <w:spacing w:after="0"/>
              <w:rPr>
                <w:sz w:val="20"/>
                <w:szCs w:val="20"/>
                <w:color w:val="auto"/>
              </w:rPr>
            </w:pPr>
            <w:r>
              <w:rPr>
                <w:rFonts w:ascii="Arial" w:cs="Arial" w:eastAsia="Arial" w:hAnsi="Arial"/>
                <w:sz w:val="18"/>
                <w:szCs w:val="18"/>
                <w:color w:val="auto"/>
              </w:rPr>
              <w:t>136,879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4"/>
              <w:spacing w:after="0"/>
              <w:rPr>
                <w:sz w:val="20"/>
                <w:szCs w:val="20"/>
                <w:color w:val="auto"/>
              </w:rPr>
            </w:pPr>
            <w:r>
              <w:rPr>
                <w:rFonts w:ascii="Arial" w:cs="Arial" w:eastAsia="Arial" w:hAnsi="Arial"/>
                <w:sz w:val="18"/>
                <w:szCs w:val="18"/>
                <w:color w:val="auto"/>
              </w:rPr>
              <w:t>8,591,015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Our General Partner adopted the LTIP in connection with the IPO in June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5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executive officers of our General Partner held unvested equity awards under the LTIP as of December 31,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Transactions with Affiliates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certain agreements and transactions with Diamondback and its affiliates, as described in more detail below.</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Payments to our General Partner and its Affiliates</w:t>
      </w:r>
    </w:p>
    <w:p>
      <w:pPr>
        <w:spacing w:after="0" w:line="24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the terms of our partnership agreement, we are required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2021, our General Partner received $3.7 million in reimbursements from the Partnership.</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Distributions paid to Diamondback</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Diamondback is entitled to receive its pro rata portion of the distributions we make on our common units and the Operating Company makes in respect of the OpCo units. Holders of the Partnership’s Class B units are not entitled to receive cash distributions except to the extent of the cash preferred distributions equal to 8% per annum payable quarterly on the $1.0 million capital contribution made to us by Diamondback pursuant to the recapitalization agreement in connection with the issuance of the Class B units in the recapitalization transaction. During the year ended December 31, 2021, Diamondback received distributions from us and the Operating Company in the aggregate amount of $100.7 million.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On June 23, 2014, in connection with the IPO, we entered into a registration rights agreement with Diamondback. Pursuant to this registration rights agreement, we filed a registration statement on Form S-3 registering, under the Securities Act, the common units issued to Diamondback for resale. The registration rights agreement also includes provisions dealing with holdback agreements, indemnification and contribution and allocation of expenses. These registration rights are transferable to affiliates and, in certain circumstances, to third parties.</w:t>
      </w:r>
    </w:p>
    <w:p>
      <w:pPr>
        <w:spacing w:after="0" w:line="215"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In connection with our previously reported recapitalization transaction completed in May 2018, we and Diamondback entered into an amended and restated registration rights agreement, dated as of May 9, 2018, which amended and restated our original registration rights agreement with Diamondback entered into on June 23, 2014 in connection with our IPO. The amended and restated registration rights agreement amended the definition of “registrable securities” to include common units acquired or that may be acquired by Diamondback in accordance with our exchange agreement with Diamondback. In addition, whenever a holder has requested that any registrable securities be registered under the amended and restated registration rights agreement or has initiated an underwritten offering, the amended and restated registration rights agreement requires such holder, if applicable, to cause such registrable securities to be exchanged into common units in accordance with the terms of the exchange agreement before or substantially concurrently with the sale of such registrable securities.</w:t>
      </w:r>
    </w:p>
    <w:p>
      <w:pPr>
        <w:spacing w:after="0" w:line="196"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In July 2018, we filed a registration statement on Form S-3ASR pursuant to which, among other things, in accordance with the amended and restated registration rights agreement, we registered for resale by Diamondback (i) common units issuable to Diamondback upon exercise by Diamondback of its exchange right pursuant to the exchange agreement and Diamondback’s tender to us of an equivalent number of our outstanding Class B units and outstanding OpCo Units, in each case then held by Diamondback and (ii) common units then held by Diamondback.</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248"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In connection with the closing of the IPO, we entered into a tax sharing agreement with Diamondback, dated June 23, 2014, pursuant to which we agreed to reimburse Diamondback for our share of state and local income and other taxes for which our results are included in a combined or consolidated tax return filed by Diamondback with respect to taxable periods including or beginning on June 23, 2014. The amount of any such reimbursement is limited to the tax that we would have paid had we not been included in a combined group with Diamondback. Diamondback may use its tax attributes to cause its combined or consolidated group, of which we may be a member for this purpose, to owe less or no tax. In such a situation, we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agreed to reimburse Diamondback for the tax we would have owed had the tax attributes not been available or used for our benefit, even though Diamondback had no cash tax expense for that period. For the year ended December 31, 2021, we accrued $0.3 million of state income tax expense.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Bonus Payments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2021, Diamondback paid us $1.3 million in lease bonus payments for two new leases.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Surface Use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Diamondback periodically pays us for surface use charges and right of way easements related to properties that Diamondback leases from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Diamondback paid the Partnership $0.6 million for such purposes.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with Significant Unitholder</w:t>
      </w:r>
    </w:p>
    <w:p>
      <w:pPr>
        <w:spacing w:after="0" w:line="252"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On January 13, 2022, as part of our common unit repurchase program, we purchased 1.5 million common units with an aggregate purchase price of approximately $37.3 million in a privately negotiated transaction with an affiliate of Blackstone, Inc., or Blackstone. Immediately following this transaction, Blackstone beneficially owned approximately 17.5% of Viper’s outstanding common units, which were acquired in the Swallowtail Acquisition. An affiliate of Blackstone also beneficially owns approximately 6.0% of the outstanding common stock of Diamondback.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board of directors of our General Partner has adopted policies for the review, approval and ratification of transactions with related persons. The board has adopted a written code of business conduct and ethics, under which a director is expected to bring to the attention of the chief executive officer or the board any conflict or potential conflict of interest that may arise between the director or any affiliate of the director, on the one hand, and us or our General Partner on the other. The resolution of any such conflict or potential conflict should, at the discretion of the board in light of the circumstances, be determined by a majority of the disinterested directors.</w:t>
      </w:r>
    </w:p>
    <w:p>
      <w:pPr>
        <w:spacing w:after="0" w:line="217"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of our General Partner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executive officer is required to avoid conflicts of interest unless approved by the board of directors of our General Partner.</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code of business conduct and ethics described above was initially adopted in connection with the closing of the IPO as a result, the transactions described above that were effective at the time of the IPO were not reviewed according to such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2" w:lineRule="exact"/>
        <w:rPr>
          <w:sz w:val="20"/>
          <w:szCs w:val="20"/>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The information required by Item 407(a) of Regulation S-K is included in “</w:t>
      </w:r>
      <w:hyperlink w:anchor="page54">
        <w:r>
          <w:rPr>
            <w:rFonts w:ascii="Arial" w:cs="Arial" w:eastAsia="Arial" w:hAnsi="Arial"/>
            <w:sz w:val="17"/>
            <w:szCs w:val="17"/>
            <w:u w:val="single" w:color="auto"/>
            <w:color w:val="0000FF"/>
          </w:rPr>
          <w:t>Item 10. Directors, Executive Officers and Corporate Governance</w:t>
        </w:r>
      </w:hyperlink>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2021 and 2020.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2021 and 2020 were approved by the audit committee.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aggregate Grant Thornton LLP fees that were allocated to us for independent auditing, tax and related services: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5"/>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181"/>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5"/>
                <w:szCs w:val="15"/>
                <w:color w:val="auto"/>
              </w:rPr>
            </w:pPr>
          </w:p>
        </w:tc>
      </w:tr>
      <w:tr>
        <w:trPr>
          <w:trHeight w:val="229"/>
        </w:trPr>
        <w:tc>
          <w:tcPr>
            <w:tcW w:w="8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8"/>
        </w:trPr>
        <w:tc>
          <w:tcPr>
            <w:tcW w:w="8240" w:type="dxa"/>
            <w:vAlign w:val="bottom"/>
          </w:tcPr>
          <w:p>
            <w:pPr>
              <w:ind w:left="20"/>
              <w:spacing w:after="0" w:line="228"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tcPr>
          <w:p>
            <w:pPr>
              <w:ind w:left="20"/>
              <w:spacing w:after="0" w:line="228"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20" w:hanging="313"/>
        <w:spacing w:after="0" w:line="255"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represent aggregate fees for audit services, which relate to the fiscal year consolidated audit, quarterly reviews, registration statements and comfort letters.</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represent fees for an acquired business audit required pursuant to Regulation S-X, Rule 3-05.</w:t>
      </w:r>
    </w:p>
    <w:p>
      <w:pPr>
        <w:spacing w:after="0" w:line="7" w:lineRule="exact"/>
        <w:rPr>
          <w:rFonts w:ascii="Arial" w:cs="Arial" w:eastAsia="Arial" w:hAnsi="Arial"/>
          <w:sz w:val="18"/>
          <w:szCs w:val="18"/>
          <w:color w:val="auto"/>
        </w:rPr>
      </w:pPr>
    </w:p>
    <w:p>
      <w:pPr>
        <w:ind w:left="320" w:hanging="313"/>
        <w:spacing w:after="0" w:line="248"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45" w:lineRule="exact"/>
        <w:rPr>
          <w:sz w:val="20"/>
          <w:szCs w:val="20"/>
          <w:color w:val="auto"/>
        </w:rPr>
      </w:pPr>
    </w:p>
    <w:p>
      <w:pPr>
        <w:ind w:left="420" w:right="8340" w:hanging="395"/>
        <w:spacing w:after="0" w:line="263"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Documents included in this report: </w:t>
      </w:r>
      <w:r>
        <w:rPr>
          <w:rFonts w:ascii="Arial" w:cs="Arial" w:eastAsia="Arial" w:hAnsi="Arial"/>
          <w:sz w:val="18"/>
          <w:szCs w:val="18"/>
          <w:i w:val="1"/>
          <w:iCs w:val="1"/>
          <w:color w:val="auto"/>
        </w:rPr>
        <w:t>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08190"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8190" cy="144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0380" w:type="dxa"/>
            <w:vAlign w:val="bottom"/>
            <w:gridSpan w:val="21"/>
          </w:tcPr>
          <w:p>
            <w:pPr>
              <w:ind w:left="540"/>
              <w:spacing w:after="0" w:line="190" w:lineRule="exact"/>
              <w:rPr>
                <w:rFonts w:ascii="Arial" w:cs="Arial" w:eastAsia="Arial" w:hAnsi="Arial"/>
                <w:sz w:val="18"/>
                <w:szCs w:val="18"/>
                <w:color w:val="0000FF"/>
              </w:rPr>
            </w:pPr>
            <w:hyperlink w:anchor="page73">
              <w:r>
                <w:rPr>
                  <w:rFonts w:ascii="Arial" w:cs="Arial" w:eastAsia="Arial" w:hAnsi="Arial"/>
                  <w:sz w:val="18"/>
                  <w:szCs w:val="18"/>
                  <w:color w:val="0000FF"/>
                </w:rPr>
                <w:t xml:space="preserve">Report of Independent Registered Public Accounting Firm (PCAOB ID Number </w:t>
              </w:r>
            </w:hyperlink>
            <w:r>
              <w:rPr>
                <w:rFonts w:ascii="Arial" w:cs="Arial" w:eastAsia="Arial" w:hAnsi="Arial"/>
                <w:sz w:val="18"/>
                <w:szCs w:val="18"/>
                <w:color w:val="3051F2"/>
              </w:rPr>
              <w:t>248</w:t>
            </w:r>
            <w:hyperlink w:anchor="page73">
              <w:r>
                <w:rPr>
                  <w:rFonts w:ascii="Arial" w:cs="Arial" w:eastAsia="Arial" w:hAnsi="Arial"/>
                  <w:sz w:val="18"/>
                  <w:szCs w:val="18"/>
                  <w:u w:val="single" w:color="auto"/>
                  <w:color w:val="0000FF"/>
                </w:rPr>
                <w:t>)</w:t>
              </w:r>
            </w:hyperlink>
          </w:p>
        </w:tc>
        <w:tc>
          <w:tcPr>
            <w:tcW w:w="1020" w:type="dxa"/>
            <w:vAlign w:val="bottom"/>
            <w:gridSpan w:val="14"/>
          </w:tcPr>
          <w:p>
            <w:pPr>
              <w:ind w:left="300"/>
              <w:spacing w:after="0" w:line="190" w:lineRule="exact"/>
              <w:rPr>
                <w:rFonts w:ascii="Arial" w:cs="Arial" w:eastAsia="Arial" w:hAnsi="Arial"/>
                <w:sz w:val="18"/>
                <w:szCs w:val="18"/>
                <w:color w:val="3051F2"/>
              </w:rPr>
            </w:pPr>
            <w:r>
              <w:rPr>
                <w:rFonts w:ascii="Arial" w:cs="Arial" w:eastAsia="Arial" w:hAnsi="Arial"/>
                <w:sz w:val="18"/>
                <w:szCs w:val="18"/>
                <w:color w:val="3051F2"/>
              </w:rPr>
              <w:t>F-</w:t>
            </w:r>
            <w:hyperlink w:anchor="page7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shd w:val="clear" w:color="auto" w:fill="CCEEFF"/>
          </w:tcPr>
          <w:p>
            <w:pPr>
              <w:ind w:left="540"/>
              <w:spacing w:after="0" w:line="188"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Balance Sheets</w:t>
              </w:r>
            </w:hyperlink>
          </w:p>
        </w:tc>
        <w:tc>
          <w:tcPr>
            <w:tcW w:w="820" w:type="dxa"/>
            <w:vAlign w:val="bottom"/>
            <w:gridSpan w:val="4"/>
            <w:shd w:val="clear" w:color="auto" w:fill="CCEEFF"/>
          </w:tcPr>
          <w:p>
            <w:pPr>
              <w:ind w:left="300"/>
              <w:spacing w:after="0" w:line="188" w:lineRule="exact"/>
              <w:rPr>
                <w:rFonts w:ascii="Arial" w:cs="Arial" w:eastAsia="Arial" w:hAnsi="Arial"/>
                <w:sz w:val="18"/>
                <w:szCs w:val="18"/>
                <w:color w:val="3051F2"/>
              </w:rPr>
            </w:pPr>
            <w:r>
              <w:rPr>
                <w:rFonts w:ascii="Arial" w:cs="Arial" w:eastAsia="Arial" w:hAnsi="Arial"/>
                <w:sz w:val="18"/>
                <w:szCs w:val="18"/>
                <w:color w:val="3051F2"/>
              </w:rPr>
              <w:t>F-</w:t>
            </w:r>
            <w:hyperlink w:anchor="page76">
              <w:r>
                <w:rPr>
                  <w:rFonts w:ascii="Arial" w:cs="Arial" w:eastAsia="Arial" w:hAnsi="Arial"/>
                  <w:sz w:val="18"/>
                  <w:szCs w:val="18"/>
                  <w:color w:val="0000FF"/>
                </w:rPr>
                <w:t>3</w:t>
              </w:r>
            </w:hyperlink>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tcPr>
          <w:p>
            <w:pPr>
              <w:ind w:left="540"/>
              <w:spacing w:after="0" w:line="188"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Statements of Operations</w:t>
              </w:r>
            </w:hyperlink>
          </w:p>
        </w:tc>
        <w:tc>
          <w:tcPr>
            <w:tcW w:w="820" w:type="dxa"/>
            <w:vAlign w:val="bottom"/>
            <w:gridSpan w:val="4"/>
          </w:tcPr>
          <w:p>
            <w:pPr>
              <w:ind w:left="300"/>
              <w:spacing w:after="0" w:line="188" w:lineRule="exact"/>
              <w:rPr>
                <w:rFonts w:ascii="Arial" w:cs="Arial" w:eastAsia="Arial" w:hAnsi="Arial"/>
                <w:sz w:val="18"/>
                <w:szCs w:val="18"/>
                <w:color w:val="3051F2"/>
              </w:rPr>
            </w:pPr>
            <w:r>
              <w:rPr>
                <w:rFonts w:ascii="Arial" w:cs="Arial" w:eastAsia="Arial" w:hAnsi="Arial"/>
                <w:sz w:val="18"/>
                <w:szCs w:val="18"/>
                <w:color w:val="3051F2"/>
              </w:rPr>
              <w:t>F-</w:t>
            </w:r>
            <w:hyperlink w:anchor="page76">
              <w:r>
                <w:rPr>
                  <w:rFonts w:ascii="Arial" w:cs="Arial" w:eastAsia="Arial" w:hAnsi="Arial"/>
                  <w:sz w:val="18"/>
                  <w:szCs w:val="18"/>
                  <w:color w:val="0000FF"/>
                </w:rPr>
                <w:t>4</w:t>
              </w:r>
            </w:hyperlink>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shd w:val="clear" w:color="auto" w:fill="CCEEFF"/>
          </w:tcPr>
          <w:p>
            <w:pPr>
              <w:ind w:left="540"/>
              <w:spacing w:after="0" w:line="188" w:lineRule="exact"/>
              <w:rPr>
                <w:rFonts w:ascii="Arial" w:cs="Arial" w:eastAsia="Arial" w:hAnsi="Arial"/>
                <w:sz w:val="18"/>
                <w:szCs w:val="18"/>
                <w:color w:val="0000FF"/>
              </w:rPr>
            </w:pPr>
            <w:hyperlink w:anchor="page77">
              <w:r>
                <w:rPr>
                  <w:rFonts w:ascii="Arial" w:cs="Arial" w:eastAsia="Arial" w:hAnsi="Arial"/>
                  <w:sz w:val="18"/>
                  <w:szCs w:val="18"/>
                  <w:color w:val="0000FF"/>
                </w:rPr>
                <w:t>Consolidated Statement of Unitholders’ Equity</w:t>
              </w:r>
            </w:hyperlink>
          </w:p>
        </w:tc>
        <w:tc>
          <w:tcPr>
            <w:tcW w:w="820" w:type="dxa"/>
            <w:vAlign w:val="bottom"/>
            <w:gridSpan w:val="4"/>
            <w:shd w:val="clear" w:color="auto" w:fill="CCEEFF"/>
          </w:tcPr>
          <w:p>
            <w:pPr>
              <w:ind w:left="300"/>
              <w:spacing w:after="0" w:line="188" w:lineRule="exact"/>
              <w:rPr>
                <w:rFonts w:ascii="Arial" w:cs="Arial" w:eastAsia="Arial" w:hAnsi="Arial"/>
                <w:sz w:val="18"/>
                <w:szCs w:val="18"/>
                <w:color w:val="3051F2"/>
              </w:rPr>
            </w:pPr>
            <w:r>
              <w:rPr>
                <w:rFonts w:ascii="Arial" w:cs="Arial" w:eastAsia="Arial" w:hAnsi="Arial"/>
                <w:sz w:val="18"/>
                <w:szCs w:val="18"/>
                <w:color w:val="3051F2"/>
              </w:rPr>
              <w:t>F-</w:t>
            </w:r>
            <w:hyperlink w:anchor="page77">
              <w:r>
                <w:rPr>
                  <w:rFonts w:ascii="Arial" w:cs="Arial" w:eastAsia="Arial" w:hAnsi="Arial"/>
                  <w:sz w:val="18"/>
                  <w:szCs w:val="18"/>
                  <w:color w:val="0000FF"/>
                </w:rPr>
                <w:t>5</w:t>
              </w:r>
            </w:hyperlink>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tcPr>
          <w:p>
            <w:pPr>
              <w:ind w:left="540"/>
              <w:spacing w:after="0" w:line="188" w:lineRule="exact"/>
              <w:rPr>
                <w:rFonts w:ascii="Arial" w:cs="Arial" w:eastAsia="Arial" w:hAnsi="Arial"/>
                <w:sz w:val="18"/>
                <w:szCs w:val="18"/>
                <w:color w:val="0000FF"/>
              </w:rPr>
            </w:pPr>
            <w:hyperlink w:anchor="page79">
              <w:r>
                <w:rPr>
                  <w:rFonts w:ascii="Arial" w:cs="Arial" w:eastAsia="Arial" w:hAnsi="Arial"/>
                  <w:sz w:val="18"/>
                  <w:szCs w:val="18"/>
                  <w:color w:val="0000FF"/>
                </w:rPr>
                <w:t>Consolidated Statements of Cash Flows</w:t>
              </w:r>
            </w:hyperlink>
          </w:p>
        </w:tc>
        <w:tc>
          <w:tcPr>
            <w:tcW w:w="820" w:type="dxa"/>
            <w:vAlign w:val="bottom"/>
            <w:gridSpan w:val="4"/>
          </w:tcPr>
          <w:p>
            <w:pPr>
              <w:ind w:left="300"/>
              <w:spacing w:after="0" w:line="188" w:lineRule="exact"/>
              <w:rPr>
                <w:rFonts w:ascii="Arial" w:cs="Arial" w:eastAsia="Arial" w:hAnsi="Arial"/>
                <w:sz w:val="18"/>
                <w:szCs w:val="18"/>
                <w:color w:val="3051F2"/>
              </w:rPr>
            </w:pPr>
            <w:r>
              <w:rPr>
                <w:rFonts w:ascii="Arial" w:cs="Arial" w:eastAsia="Arial" w:hAnsi="Arial"/>
                <w:sz w:val="18"/>
                <w:szCs w:val="18"/>
                <w:color w:val="3051F2"/>
              </w:rPr>
              <w:t>F-</w:t>
            </w:r>
            <w:hyperlink w:anchor="page79">
              <w:r>
                <w:rPr>
                  <w:rFonts w:ascii="Arial" w:cs="Arial" w:eastAsia="Arial" w:hAnsi="Arial"/>
                  <w:sz w:val="18"/>
                  <w:szCs w:val="18"/>
                  <w:color w:val="0000FF"/>
                </w:rPr>
                <w:t>7</w:t>
              </w:r>
            </w:hyperlink>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380" w:type="dxa"/>
            <w:vAlign w:val="bottom"/>
            <w:gridSpan w:val="21"/>
            <w:shd w:val="clear" w:color="auto" w:fill="CCEEFF"/>
          </w:tcPr>
          <w:p>
            <w:pPr>
              <w:ind w:left="540"/>
              <w:spacing w:after="0" w:line="188" w:lineRule="exact"/>
              <w:rPr>
                <w:rFonts w:ascii="Arial" w:cs="Arial" w:eastAsia="Arial" w:hAnsi="Arial"/>
                <w:sz w:val="18"/>
                <w:szCs w:val="18"/>
                <w:color w:val="0000FF"/>
              </w:rPr>
            </w:pPr>
            <w:hyperlink w:anchor="page80">
              <w:r>
                <w:rPr>
                  <w:rFonts w:ascii="Arial" w:cs="Arial" w:eastAsia="Arial" w:hAnsi="Arial"/>
                  <w:sz w:val="18"/>
                  <w:szCs w:val="18"/>
                  <w:color w:val="0000FF"/>
                </w:rPr>
                <w:t>Notes to Consolidated Financial Statements</w:t>
              </w:r>
            </w:hyperlink>
          </w:p>
        </w:tc>
        <w:tc>
          <w:tcPr>
            <w:tcW w:w="820" w:type="dxa"/>
            <w:vAlign w:val="bottom"/>
            <w:gridSpan w:val="4"/>
            <w:shd w:val="clear" w:color="auto" w:fill="CCEEFF"/>
          </w:tcPr>
          <w:p>
            <w:pPr>
              <w:ind w:left="300"/>
              <w:spacing w:after="0" w:line="188" w:lineRule="exact"/>
              <w:rPr>
                <w:rFonts w:ascii="Arial" w:cs="Arial" w:eastAsia="Arial" w:hAnsi="Arial"/>
                <w:sz w:val="18"/>
                <w:szCs w:val="18"/>
                <w:color w:val="3051F2"/>
              </w:rPr>
            </w:pPr>
            <w:r>
              <w:rPr>
                <w:rFonts w:ascii="Arial" w:cs="Arial" w:eastAsia="Arial" w:hAnsi="Arial"/>
                <w:sz w:val="18"/>
                <w:szCs w:val="18"/>
                <w:color w:val="3051F2"/>
              </w:rPr>
              <w:t>F-</w:t>
            </w:r>
            <w:hyperlink w:anchor="page80">
              <w:r>
                <w:rPr>
                  <w:rFonts w:ascii="Arial" w:cs="Arial" w:eastAsia="Arial" w:hAnsi="Arial"/>
                  <w:sz w:val="18"/>
                  <w:szCs w:val="18"/>
                  <w:color w:val="0000FF"/>
                </w:rPr>
                <w:t>8</w:t>
              </w:r>
            </w:hyperlink>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gridSpan w:val="2"/>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0380" w:type="dxa"/>
            <w:vAlign w:val="bottom"/>
            <w:gridSpan w:val="21"/>
            <w:shd w:val="clear" w:color="auto" w:fill="CCEEFF"/>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380" w:type="dxa"/>
            <w:vAlign w:val="bottom"/>
            <w:gridSpan w:val="21"/>
          </w:tcPr>
          <w:p>
            <w:pPr>
              <w:ind w:left="540"/>
              <w:spacing w:after="0" w:line="174" w:lineRule="exact"/>
              <w:rPr>
                <w:sz w:val="20"/>
                <w:szCs w:val="20"/>
                <w:color w:val="auto"/>
              </w:rPr>
            </w:pPr>
            <w:r>
              <w:rPr>
                <w:rFonts w:ascii="Arial" w:cs="Arial" w:eastAsia="Arial" w:hAnsi="Arial"/>
                <w:sz w:val="18"/>
                <w:szCs w:val="18"/>
                <w:color w:val="auto"/>
                <w:w w:val="91"/>
              </w:rPr>
              <w:t>Financial statement schedules have been omitted because they are either not required, not applicable or the information required to be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380" w:type="dxa"/>
            <w:vAlign w:val="bottom"/>
            <w:gridSpan w:val="21"/>
          </w:tcPr>
          <w:p>
            <w:pPr>
              <w:ind w:left="540"/>
              <w:spacing w:after="0"/>
              <w:rPr>
                <w:sz w:val="20"/>
                <w:szCs w:val="20"/>
                <w:color w:val="auto"/>
              </w:rPr>
            </w:pPr>
            <w:r>
              <w:rPr>
                <w:rFonts w:ascii="Arial" w:cs="Arial" w:eastAsia="Arial" w:hAnsi="Arial"/>
                <w:sz w:val="18"/>
                <w:szCs w:val="18"/>
                <w:color w:val="auto"/>
              </w:rPr>
              <w:t>presented is included in the Partnership’s consolidated financial statements and related notes.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1500" w:type="dxa"/>
            <w:vAlign w:val="bottom"/>
            <w:gridSpan w:val="3"/>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24"/>
                <w:szCs w:val="24"/>
                <w:color w:val="auto"/>
              </w:rPr>
            </w:pPr>
          </w:p>
        </w:tc>
        <w:tc>
          <w:tcPr>
            <w:tcW w:w="8860" w:type="dxa"/>
            <w:vAlign w:val="bottom"/>
            <w:gridSpan w:val="17"/>
          </w:tcPr>
          <w:p>
            <w:pPr>
              <w:ind w:left="40"/>
              <w:spacing w:after="0"/>
              <w:rPr>
                <w:sz w:val="20"/>
                <w:szCs w:val="20"/>
                <w:color w:val="auto"/>
              </w:rPr>
            </w:pPr>
            <w:r>
              <w:rPr>
                <w:rFonts w:ascii="Arial" w:cs="Arial" w:eastAsia="Arial" w:hAnsi="Arial"/>
                <w:sz w:val="16"/>
                <w:szCs w:val="16"/>
                <w:b w:val="1"/>
                <w:bCs w:val="1"/>
                <w:color w:val="auto"/>
              </w:rPr>
              <w:t>Description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5"/>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3620" w:type="dxa"/>
            <w:vAlign w:val="bottom"/>
            <w:tcBorders>
              <w:bottom w:val="single" w:sz="8" w:color="auto"/>
            </w:tcBorders>
            <w:gridSpan w:val="4"/>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80" w:type="dxa"/>
            <w:vAlign w:val="bottom"/>
            <w:gridSpan w:val="31"/>
            <w:shd w:val="clear" w:color="auto" w:fill="CCEEFF"/>
          </w:tcPr>
          <w:p>
            <w:pPr>
              <w:spacing w:after="0" w:line="168" w:lineRule="exact"/>
              <w:rPr>
                <w:sz w:val="20"/>
                <w:szCs w:val="20"/>
                <w:color w:val="auto"/>
              </w:rPr>
            </w:pPr>
            <w:r>
              <w:rPr>
                <w:rFonts w:ascii="Arial" w:cs="Arial" w:eastAsia="Arial" w:hAnsi="Arial"/>
                <w:sz w:val="18"/>
                <w:szCs w:val="18"/>
                <w:color w:val="auto"/>
              </w:rPr>
              <w:t>Purchase and Sale Agreement dated August 6, 2021 by and among Swallowtail Royalties LLC, Swallowtail Royalties II LLC</w:t>
            </w:r>
          </w:p>
        </w:tc>
        <w:tc>
          <w:tcPr>
            <w:tcW w:w="0" w:type="dxa"/>
            <w:vAlign w:val="bottom"/>
          </w:tcPr>
          <w:p>
            <w:pPr>
              <w:spacing w:after="0"/>
              <w:rPr>
                <w:sz w:val="1"/>
                <w:szCs w:val="1"/>
                <w:color w:val="auto"/>
              </w:rPr>
            </w:pPr>
          </w:p>
        </w:tc>
      </w:tr>
      <w:tr>
        <w:trPr>
          <w:trHeight w:val="174"/>
        </w:trPr>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80" w:type="dxa"/>
            <w:vAlign w:val="bottom"/>
            <w:gridSpan w:val="31"/>
            <w:shd w:val="clear" w:color="auto" w:fill="CCEEFF"/>
          </w:tcPr>
          <w:p>
            <w:pPr>
              <w:spacing w:after="0" w:line="174" w:lineRule="exact"/>
              <w:rPr>
                <w:sz w:val="20"/>
                <w:szCs w:val="20"/>
                <w:color w:val="auto"/>
              </w:rPr>
            </w:pPr>
            <w:r>
              <w:rPr>
                <w:rFonts w:ascii="Arial" w:cs="Arial" w:eastAsia="Arial" w:hAnsi="Arial"/>
                <w:sz w:val="18"/>
                <w:szCs w:val="18"/>
                <w:color w:val="auto"/>
                <w:w w:val="95"/>
              </w:rPr>
              <w:t>(collectively, as seller), Viper Energy Partners LLC (as buyer) and Viper Energy Partners LP (as parent, and collectively with Viper</w:t>
            </w:r>
          </w:p>
        </w:tc>
        <w:tc>
          <w:tcPr>
            <w:tcW w:w="0" w:type="dxa"/>
            <w:vAlign w:val="bottom"/>
          </w:tcPr>
          <w:p>
            <w:pPr>
              <w:spacing w:after="0"/>
              <w:rPr>
                <w:sz w:val="1"/>
                <w:szCs w:val="1"/>
                <w:color w:val="auto"/>
              </w:rPr>
            </w:pPr>
          </w:p>
        </w:tc>
      </w:tr>
      <w:tr>
        <w:trPr>
          <w:trHeight w:val="174"/>
        </w:trPr>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80" w:type="dxa"/>
            <w:vAlign w:val="bottom"/>
            <w:gridSpan w:val="31"/>
            <w:shd w:val="clear" w:color="auto" w:fill="CCEEFF"/>
          </w:tcPr>
          <w:p>
            <w:pPr>
              <w:spacing w:after="0" w:line="174" w:lineRule="exact"/>
              <w:rPr>
                <w:sz w:val="20"/>
                <w:szCs w:val="20"/>
                <w:color w:val="auto"/>
              </w:rPr>
            </w:pPr>
            <w:r>
              <w:rPr>
                <w:rFonts w:ascii="Arial" w:cs="Arial" w:eastAsia="Arial" w:hAnsi="Arial"/>
                <w:sz w:val="18"/>
                <w:szCs w:val="18"/>
                <w:color w:val="auto"/>
                <w:w w:val="92"/>
              </w:rPr>
              <w:t>Energy Partners LLC, as buyer parties) (incorporated by reference to Exhibit 2.1 of the Partnership’s Current Report on Form 8-K (File</w:t>
            </w:r>
          </w:p>
        </w:tc>
        <w:tc>
          <w:tcPr>
            <w:tcW w:w="0" w:type="dxa"/>
            <w:vAlign w:val="bottom"/>
          </w:tcPr>
          <w:p>
            <w:pPr>
              <w:spacing w:after="0"/>
              <w:rPr>
                <w:sz w:val="1"/>
                <w:szCs w:val="1"/>
                <w:color w:val="auto"/>
              </w:rPr>
            </w:pPr>
          </w:p>
        </w:tc>
      </w:tr>
      <w:tr>
        <w:trPr>
          <w:trHeight w:val="228"/>
        </w:trPr>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001-36505) filed on August 12, 2021).</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31"/>
          </w:tcPr>
          <w:p>
            <w:pPr>
              <w:spacing w:after="0" w:line="188" w:lineRule="exact"/>
              <w:rPr>
                <w:rFonts w:ascii="Arial" w:cs="Arial" w:eastAsia="Arial" w:hAnsi="Arial"/>
                <w:sz w:val="18"/>
                <w:szCs w:val="18"/>
                <w:color w:val="0000FF"/>
              </w:rPr>
            </w:pPr>
            <w:hyperlink r:id="rId97">
              <w:r>
                <w:rPr>
                  <w:rFonts w:ascii="Arial" w:cs="Arial" w:eastAsia="Arial" w:hAnsi="Arial"/>
                  <w:sz w:val="18"/>
                  <w:szCs w:val="18"/>
                  <w:color w:val="0000FF"/>
                </w:rPr>
                <w:t>Certificate of Limited Partnership of Viper Energy Partners LP (incorporated by reference to Exhibit 3.1 of the Partnership’s</w:t>
              </w:r>
            </w:hyperlink>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97">
              <w:r>
                <w:rPr>
                  <w:rFonts w:ascii="Arial" w:cs="Arial" w:eastAsia="Arial" w:hAnsi="Arial"/>
                  <w:sz w:val="17"/>
                  <w:szCs w:val="17"/>
                  <w:color w:val="0000FF"/>
                </w:rPr>
                <w:t>Registration Statement on Form S-1 (File No. 333-195769) filed on May 7, 2014).</w:t>
              </w:r>
            </w:hyperlink>
          </w:p>
        </w:tc>
        <w:tc>
          <w:tcPr>
            <w:tcW w:w="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3.2</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88"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Second Amended and Restated Agreement of Limited Partnership of Viper Energy Partners LP, dated as of May 9, 2018, as amended</w:t>
              </w:r>
            </w:hyperlink>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25"/>
            <w:shd w:val="clear" w:color="auto" w:fill="CCEEFF"/>
          </w:tcPr>
          <w:p>
            <w:pPr>
              <w:spacing w:after="0" w:line="154" w:lineRule="exact"/>
              <w:rPr>
                <w:rFonts w:ascii="Arial" w:cs="Arial" w:eastAsia="Arial" w:hAnsi="Arial"/>
                <w:sz w:val="17"/>
                <w:szCs w:val="17"/>
                <w:color w:val="0000FF"/>
                <w:w w:val="98"/>
              </w:rPr>
            </w:pPr>
            <w:hyperlink r:id="rId98">
              <w:r>
                <w:rPr>
                  <w:rFonts w:ascii="Arial" w:cs="Arial" w:eastAsia="Arial" w:hAnsi="Arial"/>
                  <w:sz w:val="17"/>
                  <w:szCs w:val="17"/>
                  <w:color w:val="0000FF"/>
                  <w:w w:val="98"/>
                </w:rPr>
                <w:t>as of May 10, 2018 (incorporated by reference to 3.1 of the Partnership’s Current Report on Form 8-K (File 001-36505) filed on May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gridSpan w:val="3"/>
            <w:shd w:val="clear" w:color="auto" w:fill="CCEEFF"/>
          </w:tcPr>
          <w:p>
            <w:pPr>
              <w:spacing w:after="0" w:line="154" w:lineRule="exact"/>
              <w:rPr>
                <w:rFonts w:ascii="Arial" w:cs="Arial" w:eastAsia="Arial" w:hAnsi="Arial"/>
                <w:sz w:val="17"/>
                <w:szCs w:val="17"/>
                <w:color w:val="0000FF"/>
              </w:rPr>
            </w:pPr>
            <w:hyperlink r:id="rId98">
              <w:r>
                <w:rPr>
                  <w:rFonts w:ascii="Arial" w:cs="Arial" w:eastAsia="Arial" w:hAnsi="Arial"/>
                  <w:sz w:val="17"/>
                  <w:szCs w:val="17"/>
                  <w:color w:val="0000FF"/>
                </w:rPr>
                <w:t>15, 2018)</w:t>
              </w:r>
            </w:hyperlink>
          </w:p>
        </w:tc>
        <w:tc>
          <w:tcPr>
            <w:tcW w:w="1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15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29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31"/>
          </w:tcPr>
          <w:p>
            <w:pPr>
              <w:spacing w:after="0" w:line="188"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First Amendment to Second Amended and Restated Agreement of Limited Partnership of Viper Energy Partners LP, dated as of May</w:t>
              </w:r>
            </w:hyperlink>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7"/>
          </w:tcPr>
          <w:p>
            <w:pPr>
              <w:spacing w:after="0" w:line="154" w:lineRule="exact"/>
              <w:rPr>
                <w:rFonts w:ascii="Arial" w:cs="Arial" w:eastAsia="Arial" w:hAnsi="Arial"/>
                <w:sz w:val="17"/>
                <w:szCs w:val="17"/>
                <w:color w:val="0000FF"/>
                <w:w w:val="97"/>
              </w:rPr>
            </w:pPr>
            <w:hyperlink r:id="rId99">
              <w:r>
                <w:rPr>
                  <w:rFonts w:ascii="Arial" w:cs="Arial" w:eastAsia="Arial" w:hAnsi="Arial"/>
                  <w:sz w:val="17"/>
                  <w:szCs w:val="17"/>
                  <w:color w:val="0000FF"/>
                  <w:w w:val="97"/>
                </w:rPr>
                <w:t>10, 2018. (incorporated by reference to Exhibit 3.2 of the Partnership’s Current Report on Form 8-K, (File 001-36505) filed on May 15,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4" w:lineRule="exact"/>
              <w:rPr>
                <w:rFonts w:ascii="Arial" w:cs="Arial" w:eastAsia="Arial" w:hAnsi="Arial"/>
                <w:sz w:val="17"/>
                <w:szCs w:val="17"/>
                <w:color w:val="0000FF"/>
                <w:w w:val="91"/>
              </w:rPr>
            </w:pPr>
            <w:hyperlink r:id="rId99">
              <w:r>
                <w:rPr>
                  <w:rFonts w:ascii="Arial" w:cs="Arial" w:eastAsia="Arial" w:hAnsi="Arial"/>
                  <w:sz w:val="17"/>
                  <w:szCs w:val="17"/>
                  <w:color w:val="0000FF"/>
                  <w:w w:val="91"/>
                </w:rPr>
                <w:t>2018).</w:t>
              </w:r>
            </w:hyperlink>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88"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Second Amended and Restated Limited Liability Company Agreement of Viper Energy Partners LLC, dated as of May 9, 2018</w:t>
              </w:r>
            </w:hyperlink>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500" w:type="dxa"/>
            <w:vAlign w:val="bottom"/>
            <w:tcBorders>
              <w:top w:val="single" w:sz="8" w:color="0000FF"/>
              <w:bottom w:val="single" w:sz="8" w:color="0000FF"/>
            </w:tcBorders>
            <w:gridSpan w:val="20"/>
            <w:shd w:val="clear" w:color="auto" w:fill="CCEEFF"/>
          </w:tcPr>
          <w:p>
            <w:pPr>
              <w:spacing w:after="0" w:line="154" w:lineRule="exact"/>
              <w:rPr>
                <w:rFonts w:ascii="Arial" w:cs="Arial" w:eastAsia="Arial" w:hAnsi="Arial"/>
                <w:sz w:val="17"/>
                <w:szCs w:val="17"/>
                <w:color w:val="0000FF"/>
                <w:w w:val="96"/>
              </w:rPr>
            </w:pPr>
            <w:hyperlink r:id="rId100">
              <w:r>
                <w:rPr>
                  <w:rFonts w:ascii="Arial" w:cs="Arial" w:eastAsia="Arial" w:hAnsi="Arial"/>
                  <w:sz w:val="17"/>
                  <w:szCs w:val="17"/>
                  <w:color w:val="0000FF"/>
                  <w:w w:val="96"/>
                </w:rPr>
                <w:t>(incorporated by reference to Exhibit 3.3 of the Partnership’s Current Report on Form 8-K (File 001-36505), filed on May 15, 2018).</w:t>
              </w:r>
            </w:hyperlink>
          </w:p>
        </w:tc>
        <w:tc>
          <w:tcPr>
            <w:tcW w:w="22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3.5</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31"/>
          </w:tcPr>
          <w:p>
            <w:pPr>
              <w:spacing w:after="0" w:line="188"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First Amendment to Second Amended and Restated Limited Liability Company Agreement of Viper Energy Partners LLC, dated as of</w:t>
              </w:r>
            </w:hyperlink>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9"/>
          </w:tcPr>
          <w:p>
            <w:pPr>
              <w:spacing w:after="0" w:line="154" w:lineRule="exact"/>
              <w:rPr>
                <w:rFonts w:ascii="Arial" w:cs="Arial" w:eastAsia="Arial" w:hAnsi="Arial"/>
                <w:sz w:val="17"/>
                <w:szCs w:val="17"/>
                <w:color w:val="0000FF"/>
                <w:w w:val="99"/>
              </w:rPr>
            </w:pPr>
            <w:hyperlink r:id="rId101">
              <w:r>
                <w:rPr>
                  <w:rFonts w:ascii="Arial" w:cs="Arial" w:eastAsia="Arial" w:hAnsi="Arial"/>
                  <w:sz w:val="17"/>
                  <w:szCs w:val="17"/>
                  <w:color w:val="0000FF"/>
                  <w:w w:val="99"/>
                </w:rPr>
                <w:t>March 30, 2020, (incorporated by reference to Exhibit 3.1 of the Partnership’s Current Report on Form 8-K (File 001-36505)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spacing w:after="0" w:line="154" w:lineRule="exact"/>
              <w:rPr>
                <w:rFonts w:ascii="Arial" w:cs="Arial" w:eastAsia="Arial" w:hAnsi="Arial"/>
                <w:sz w:val="17"/>
                <w:szCs w:val="17"/>
                <w:color w:val="0000FF"/>
                <w:w w:val="95"/>
              </w:rPr>
            </w:pPr>
            <w:hyperlink r:id="rId101">
              <w:r>
                <w:rPr>
                  <w:rFonts w:ascii="Arial" w:cs="Arial" w:eastAsia="Arial" w:hAnsi="Arial"/>
                  <w:sz w:val="17"/>
                  <w:szCs w:val="17"/>
                  <w:color w:val="0000FF"/>
                  <w:w w:val="95"/>
                </w:rPr>
                <w:t>March 31, 2020)</w:t>
              </w:r>
            </w:hyperlink>
          </w:p>
        </w:tc>
        <w:tc>
          <w:tcPr>
            <w:tcW w:w="320" w:type="dxa"/>
            <w:vAlign w:val="bottom"/>
            <w:gridSpan w:val="2"/>
          </w:tcPr>
          <w:p>
            <w:pPr>
              <w:jc w:val="right"/>
              <w:ind w:right="280"/>
              <w:spacing w:after="0"/>
              <w:rPr>
                <w:rFonts w:ascii="Arial" w:cs="Arial" w:eastAsia="Arial" w:hAnsi="Arial"/>
                <w:sz w:val="10"/>
                <w:szCs w:val="10"/>
                <w:color w:val="0000FF"/>
                <w:w w:val="70"/>
              </w:rPr>
            </w:pPr>
            <w:hyperlink r:id="rId101">
              <w:r>
                <w:rPr>
                  <w:rFonts w:ascii="Arial" w:cs="Arial" w:eastAsia="Arial" w:hAnsi="Arial"/>
                  <w:sz w:val="10"/>
                  <w:szCs w:val="10"/>
                  <w:color w:val="0000FF"/>
                  <w:w w:val="70"/>
                </w:rPr>
                <w:t>.</w:t>
              </w:r>
            </w:hyperlink>
          </w:p>
        </w:tc>
        <w:tc>
          <w:tcPr>
            <w:tcW w:w="180" w:type="dxa"/>
            <w:vAlign w:val="bottom"/>
          </w:tcPr>
          <w:p>
            <w:pPr>
              <w:spacing w:after="0"/>
              <w:rPr>
                <w:sz w:val="13"/>
                <w:szCs w:val="13"/>
                <w:color w:val="auto"/>
              </w:rPr>
            </w:pPr>
          </w:p>
        </w:tc>
        <w:tc>
          <w:tcPr>
            <w:tcW w:w="70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5580" w:type="dxa"/>
            <w:vAlign w:val="bottom"/>
            <w:gridSpan w:val="4"/>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3.6</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88"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Second Amendment to the Second Amended and Restated Limited Liability Company Agreement of Viper Energy Partners LLC, dated</w:t>
              </w:r>
            </w:hyperlink>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24"/>
            <w:shd w:val="clear" w:color="auto" w:fill="CCEEFF"/>
          </w:tcPr>
          <w:p>
            <w:pPr>
              <w:spacing w:after="0" w:line="154" w:lineRule="exact"/>
              <w:rPr>
                <w:rFonts w:ascii="Arial" w:cs="Arial" w:eastAsia="Arial" w:hAnsi="Arial"/>
                <w:sz w:val="17"/>
                <w:szCs w:val="17"/>
                <w:color w:val="0000FF"/>
                <w:w w:val="97"/>
              </w:rPr>
            </w:pPr>
            <w:hyperlink r:id="rId102">
              <w:r>
                <w:rPr>
                  <w:rFonts w:ascii="Arial" w:cs="Arial" w:eastAsia="Arial" w:hAnsi="Arial"/>
                  <w:sz w:val="17"/>
                  <w:szCs w:val="17"/>
                  <w:color w:val="0000FF"/>
                  <w:w w:val="97"/>
                </w:rPr>
                <w:t>as of December 27, 2021 (incorporated by reference to 3.1 of the Partnership’s Current Report on Form 8-K (File 001-36505) filed on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3"/>
              </w:rPr>
            </w:pPr>
            <w:hyperlink r:id="rId102">
              <w:r>
                <w:rPr>
                  <w:rFonts w:ascii="Arial" w:cs="Arial" w:eastAsia="Arial" w:hAnsi="Arial"/>
                  <w:sz w:val="17"/>
                  <w:szCs w:val="17"/>
                  <w:color w:val="0000FF"/>
                  <w:w w:val="93"/>
                </w:rPr>
                <w:t>December 28, 2021).</w:t>
              </w:r>
            </w:hyperlink>
          </w:p>
        </w:tc>
        <w:tc>
          <w:tcPr>
            <w:tcW w:w="734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4.1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31"/>
          </w:tcPr>
          <w:p>
            <w:pPr>
              <w:spacing w:after="0" w:line="188"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Description of Securities of the Partnership (incorporated by reference to Exhibit 4.1 to the Partnership’s Annual Report on Form 10-K</w:t>
              </w:r>
            </w:hyperlink>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03">
              <w:r>
                <w:rPr>
                  <w:rFonts w:ascii="Arial" w:cs="Arial" w:eastAsia="Arial" w:hAnsi="Arial"/>
                  <w:sz w:val="17"/>
                  <w:szCs w:val="17"/>
                  <w:color w:val="0000FF"/>
                </w:rPr>
                <w:t>(File 001-36505) filed on February 18, 2020).</w:t>
              </w:r>
            </w:hyperlink>
          </w:p>
        </w:tc>
        <w:tc>
          <w:tcPr>
            <w:tcW w:w="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88" w:lineRule="exact"/>
              <w:rPr>
                <w:rFonts w:ascii="Arial" w:cs="Arial" w:eastAsia="Arial" w:hAnsi="Arial"/>
                <w:sz w:val="18"/>
                <w:szCs w:val="18"/>
                <w:color w:val="0000FF"/>
                <w:w w:val="96"/>
              </w:rPr>
            </w:pPr>
            <w:hyperlink r:id="rId104">
              <w:r>
                <w:rPr>
                  <w:rFonts w:ascii="Arial" w:cs="Arial" w:eastAsia="Arial" w:hAnsi="Arial"/>
                  <w:sz w:val="18"/>
                  <w:szCs w:val="18"/>
                  <w:color w:val="0000FF"/>
                  <w:w w:val="96"/>
                </w:rPr>
                <w:t>Amended and Restated Registration Rights Agreement, dated as of May 9, 2018, by and between Viper Energy Partners LP and</w:t>
              </w:r>
            </w:hyperlink>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2"/>
            <w:shd w:val="clear" w:color="auto" w:fill="CCEEFF"/>
          </w:tcPr>
          <w:p>
            <w:pPr>
              <w:spacing w:after="0" w:line="154" w:lineRule="exact"/>
              <w:rPr>
                <w:rFonts w:ascii="Arial" w:cs="Arial" w:eastAsia="Arial" w:hAnsi="Arial"/>
                <w:sz w:val="17"/>
                <w:szCs w:val="17"/>
                <w:color w:val="0000FF"/>
                <w:w w:val="96"/>
              </w:rPr>
            </w:pPr>
            <w:hyperlink r:id="rId104">
              <w:r>
                <w:rPr>
                  <w:rFonts w:ascii="Arial" w:cs="Arial" w:eastAsia="Arial" w:hAnsi="Arial"/>
                  <w:sz w:val="17"/>
                  <w:szCs w:val="17"/>
                  <w:color w:val="0000FF"/>
                  <w:w w:val="96"/>
                </w:rPr>
                <w:t>Diamondback Energy, Inc. (incorporated by reference to Exhibit 4.1 of the Partnership’s Current Report on Form 8-K (File 001-36505)</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0000FF"/>
              <w:bottom w:val="single" w:sz="8" w:color="0000FF"/>
            </w:tcBorders>
            <w:gridSpan w:val="7"/>
            <w:shd w:val="clear" w:color="auto" w:fill="CCEEFF"/>
          </w:tcPr>
          <w:p>
            <w:pPr>
              <w:spacing w:after="0" w:line="154" w:lineRule="exact"/>
              <w:rPr>
                <w:rFonts w:ascii="Arial" w:cs="Arial" w:eastAsia="Arial" w:hAnsi="Arial"/>
                <w:sz w:val="17"/>
                <w:szCs w:val="17"/>
                <w:color w:val="0000FF"/>
                <w:w w:val="97"/>
              </w:rPr>
            </w:pPr>
            <w:hyperlink r:id="rId104">
              <w:r>
                <w:rPr>
                  <w:rFonts w:ascii="Arial" w:cs="Arial" w:eastAsia="Arial" w:hAnsi="Arial"/>
                  <w:sz w:val="17"/>
                  <w:szCs w:val="17"/>
                  <w:color w:val="0000FF"/>
                  <w:w w:val="97"/>
                </w:rPr>
                <w:t>filed on May 15, 2018).</w:t>
              </w:r>
            </w:hyperlink>
          </w:p>
        </w:tc>
        <w:tc>
          <w:tcPr>
            <w:tcW w:w="71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4.3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31"/>
          </w:tcPr>
          <w:p>
            <w:pPr>
              <w:spacing w:after="0" w:line="188"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Registration Rights Agreement, dated as of October 1, 2021, by and among Viper Energy Partners LP, Swallowtail Royalties LLC and</w:t>
              </w:r>
            </w:hyperlink>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05">
              <w:r>
                <w:rPr>
                  <w:rFonts w:ascii="Arial" w:cs="Arial" w:eastAsia="Arial" w:hAnsi="Arial"/>
                  <w:sz w:val="17"/>
                  <w:szCs w:val="17"/>
                  <w:color w:val="0000FF"/>
                </w:rPr>
                <w:t>Swallowtail Royalties II LLC (incorporated by reference to Exhibit 4.1 of the Partnership’s Current Report on Form 8-K (File 001-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05">
              <w:r>
                <w:rPr>
                  <w:rFonts w:ascii="Arial" w:cs="Arial" w:eastAsia="Arial" w:hAnsi="Arial"/>
                  <w:sz w:val="17"/>
                  <w:szCs w:val="17"/>
                  <w:color w:val="0000FF"/>
                </w:rPr>
                <w:t>36505) filed on October 7, 2021).</w:t>
              </w:r>
            </w:hyperlink>
          </w:p>
        </w:tc>
        <w:tc>
          <w:tcPr>
            <w:tcW w:w="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88" w:lineRule="exact"/>
              <w:rPr>
                <w:rFonts w:ascii="Arial" w:cs="Arial" w:eastAsia="Arial" w:hAnsi="Arial"/>
                <w:sz w:val="18"/>
                <w:szCs w:val="18"/>
                <w:color w:val="0000FF"/>
                <w:w w:val="94"/>
              </w:rPr>
            </w:pPr>
            <w:hyperlink r:id="rId106">
              <w:r>
                <w:rPr>
                  <w:rFonts w:ascii="Arial" w:cs="Arial" w:eastAsia="Arial" w:hAnsi="Arial"/>
                  <w:sz w:val="18"/>
                  <w:szCs w:val="18"/>
                  <w:color w:val="0000FF"/>
                  <w:w w:val="94"/>
                </w:rPr>
                <w:t>Indenture, dated as of October 16, 2019, among Viper Energy Partners LP, as issuer, Viper Energy Partners LLC, as guarantor and</w:t>
              </w:r>
            </w:hyperlink>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30"/>
            <w:shd w:val="clear" w:color="auto" w:fill="CCEEFF"/>
          </w:tcPr>
          <w:p>
            <w:pPr>
              <w:spacing w:after="0" w:line="154" w:lineRule="exact"/>
              <w:rPr>
                <w:rFonts w:ascii="Arial" w:cs="Arial" w:eastAsia="Arial" w:hAnsi="Arial"/>
                <w:sz w:val="17"/>
                <w:szCs w:val="17"/>
                <w:color w:val="0000FF"/>
                <w:w w:val="98"/>
              </w:rPr>
            </w:pPr>
            <w:hyperlink r:id="rId106">
              <w:r>
                <w:rPr>
                  <w:rFonts w:ascii="Arial" w:cs="Arial" w:eastAsia="Arial" w:hAnsi="Arial"/>
                  <w:sz w:val="17"/>
                  <w:szCs w:val="17"/>
                  <w:color w:val="0000FF"/>
                  <w:w w:val="98"/>
                </w:rPr>
                <w:t>Wells Fargo Bank, National Association, as trustee (including the form of Viper Energy Partners LP’s 5.375% Senior Notes due 2027)</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740" w:type="dxa"/>
            <w:vAlign w:val="bottom"/>
            <w:tcBorders>
              <w:top w:val="single" w:sz="8" w:color="0000FF"/>
              <w:bottom w:val="single" w:sz="8" w:color="0000FF"/>
            </w:tcBorders>
            <w:gridSpan w:val="24"/>
            <w:shd w:val="clear" w:color="auto" w:fill="CCEEFF"/>
          </w:tcPr>
          <w:p>
            <w:pPr>
              <w:spacing w:after="0" w:line="154" w:lineRule="exact"/>
              <w:rPr>
                <w:rFonts w:ascii="Arial" w:cs="Arial" w:eastAsia="Arial" w:hAnsi="Arial"/>
                <w:sz w:val="17"/>
                <w:szCs w:val="17"/>
                <w:color w:val="0000FF"/>
                <w:w w:val="96"/>
              </w:rPr>
            </w:pPr>
            <w:hyperlink r:id="rId106">
              <w:r>
                <w:rPr>
                  <w:rFonts w:ascii="Arial" w:cs="Arial" w:eastAsia="Arial" w:hAnsi="Arial"/>
                  <w:sz w:val="17"/>
                  <w:szCs w:val="17"/>
                  <w:color w:val="0000FF"/>
                  <w:w w:val="96"/>
                </w:rPr>
                <w:t>(incorporated by reference to Exhibit 4.1 of the Partnership’s Current Report on Form 8-K (File 001-36505) filed on October 17, 2019).</w:t>
              </w:r>
            </w:hyperlink>
          </w:p>
        </w:tc>
        <w:tc>
          <w:tcPr>
            <w:tcW w:w="4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09"/>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15"/>
          </w:tcPr>
          <w:p>
            <w:pPr>
              <w:jc w:val="right"/>
              <w:ind w:right="60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Exhibit Number</w:t>
            </w:r>
          </w:p>
        </w:tc>
        <w:tc>
          <w:tcPr>
            <w:tcW w:w="10220" w:type="dxa"/>
            <w:vAlign w:val="bottom"/>
            <w:gridSpan w:val="42"/>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00"/>
        </w:trPr>
        <w:tc>
          <w:tcPr>
            <w:tcW w:w="1520" w:type="dxa"/>
            <w:vAlign w:val="bottom"/>
          </w:tcPr>
          <w:p>
            <w:pPr>
              <w:ind w:left="20"/>
              <w:spacing w:after="0"/>
              <w:rPr>
                <w:sz w:val="20"/>
                <w:szCs w:val="20"/>
                <w:color w:val="auto"/>
              </w:rPr>
            </w:pPr>
            <w:r>
              <w:rPr>
                <w:rFonts w:ascii="Arial" w:cs="Arial" w:eastAsia="Arial" w:hAnsi="Arial"/>
                <w:sz w:val="18"/>
                <w:szCs w:val="18"/>
                <w:color w:val="auto"/>
              </w:rPr>
              <w:t>10.1</w:t>
            </w:r>
          </w:p>
        </w:tc>
        <w:tc>
          <w:tcPr>
            <w:tcW w:w="10220" w:type="dxa"/>
            <w:vAlign w:val="bottom"/>
            <w:gridSpan w:val="42"/>
          </w:tcPr>
          <w:p>
            <w:pPr>
              <w:spacing w:after="0"/>
              <w:rPr>
                <w:rFonts w:ascii="Arial" w:cs="Arial" w:eastAsia="Arial" w:hAnsi="Arial"/>
                <w:sz w:val="18"/>
                <w:szCs w:val="18"/>
                <w:color w:val="0000FF"/>
                <w:w w:val="96"/>
              </w:rPr>
            </w:pPr>
            <w:hyperlink r:id="rId109">
              <w:r>
                <w:rPr>
                  <w:rFonts w:ascii="Arial" w:cs="Arial" w:eastAsia="Arial" w:hAnsi="Arial"/>
                  <w:sz w:val="18"/>
                  <w:szCs w:val="18"/>
                  <w:color w:val="0000FF"/>
                  <w:w w:val="96"/>
                </w:rPr>
                <w:t>Amended and Restated Credit Agreement, dated as of July 20, 2018, by and among, Viper Energy Partners LLC, as borrower, Viper</w:t>
              </w:r>
            </w:hyperlink>
          </w:p>
        </w:tc>
      </w:tr>
      <w:tr>
        <w:trPr>
          <w:trHeight w:val="154"/>
        </w:trPr>
        <w:tc>
          <w:tcPr>
            <w:tcW w:w="1520" w:type="dxa"/>
            <w:vAlign w:val="bottom"/>
          </w:tcPr>
          <w:p>
            <w:pPr>
              <w:spacing w:after="0"/>
              <w:rPr>
                <w:sz w:val="13"/>
                <w:szCs w:val="13"/>
                <w:color w:val="auto"/>
              </w:rPr>
            </w:pPr>
          </w:p>
        </w:tc>
        <w:tc>
          <w:tcPr>
            <w:tcW w:w="10000" w:type="dxa"/>
            <w:vAlign w:val="bottom"/>
            <w:tcBorders>
              <w:top w:val="single" w:sz="8" w:color="0000FF"/>
            </w:tcBorders>
            <w:gridSpan w:val="31"/>
          </w:tcPr>
          <w:p>
            <w:pPr>
              <w:spacing w:after="0" w:line="154" w:lineRule="exact"/>
              <w:rPr>
                <w:rFonts w:ascii="Arial" w:cs="Arial" w:eastAsia="Arial" w:hAnsi="Arial"/>
                <w:sz w:val="17"/>
                <w:szCs w:val="17"/>
                <w:color w:val="0000FF"/>
              </w:rPr>
            </w:pPr>
            <w:hyperlink r:id="rId109">
              <w:r>
                <w:rPr>
                  <w:rFonts w:ascii="Arial" w:cs="Arial" w:eastAsia="Arial" w:hAnsi="Arial"/>
                  <w:sz w:val="17"/>
                  <w:szCs w:val="17"/>
                  <w:color w:val="0000FF"/>
                </w:rPr>
                <w:t>Energy Partners LP, as guarantor, Wells Fargo Bank, National Association, as administrative agent, and the lenders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4" w:lineRule="exact"/>
              <w:rPr>
                <w:rFonts w:ascii="Arial" w:cs="Arial" w:eastAsia="Arial" w:hAnsi="Arial"/>
                <w:sz w:val="17"/>
                <w:szCs w:val="17"/>
                <w:color w:val="0000FF"/>
                <w:w w:val="98"/>
              </w:rPr>
            </w:pPr>
            <w:hyperlink r:id="rId109">
              <w:r>
                <w:rPr>
                  <w:rFonts w:ascii="Arial" w:cs="Arial" w:eastAsia="Arial" w:hAnsi="Arial"/>
                  <w:sz w:val="17"/>
                  <w:szCs w:val="17"/>
                  <w:color w:val="0000FF"/>
                  <w:w w:val="98"/>
                </w:rPr>
                <w:t>(incorporated by reference to Exhibit 10.1 of the Partnership’s Current Report on Form 8-K (File 001-36505) filed on July 26,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10.2+</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Viper Energy Partners LP Long Term Incentive Plan (incorporated by reference to Exhibit 10.2 of the Partnership’s Current Report on</w:t>
              </w:r>
            </w:hyperlink>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402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6"/>
              </w:rPr>
            </w:pPr>
            <w:hyperlink r:id="rId110">
              <w:r>
                <w:rPr>
                  <w:rFonts w:ascii="Arial" w:cs="Arial" w:eastAsia="Arial" w:hAnsi="Arial"/>
                  <w:sz w:val="17"/>
                  <w:szCs w:val="17"/>
                  <w:color w:val="0000FF"/>
                  <w:w w:val="96"/>
                </w:rPr>
                <w:t>Form 8-K (File No. 001-36505) filed on June 23, 2014).</w:t>
              </w:r>
            </w:hyperlink>
          </w:p>
        </w:tc>
        <w:tc>
          <w:tcPr>
            <w:tcW w:w="580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10.3</w:t>
            </w:r>
          </w:p>
        </w:tc>
        <w:tc>
          <w:tcPr>
            <w:tcW w:w="10220" w:type="dxa"/>
            <w:vAlign w:val="bottom"/>
            <w:gridSpan w:val="42"/>
          </w:tcPr>
          <w:p>
            <w:pPr>
              <w:spacing w:after="0" w:line="188"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Form of Indemnification Agreement (incorporated by reference to Exhibit 10.4 of the Partnership’s Current Report on Form 8-K (File</w:t>
              </w:r>
            </w:hyperlink>
          </w:p>
        </w:tc>
      </w:tr>
      <w:tr>
        <w:trPr>
          <w:trHeight w:val="154"/>
        </w:trPr>
        <w:tc>
          <w:tcPr>
            <w:tcW w:w="1520" w:type="dxa"/>
            <w:vAlign w:val="bottom"/>
          </w:tcPr>
          <w:p>
            <w:pPr>
              <w:spacing w:after="0"/>
              <w:rPr>
                <w:sz w:val="13"/>
                <w:szCs w:val="13"/>
                <w:color w:val="auto"/>
              </w:rPr>
            </w:pPr>
          </w:p>
        </w:tc>
        <w:tc>
          <w:tcPr>
            <w:tcW w:w="10040" w:type="dxa"/>
            <w:vAlign w:val="bottom"/>
            <w:tcBorders>
              <w:top w:val="single" w:sz="8" w:color="0000FF"/>
            </w:tcBorders>
            <w:gridSpan w:val="33"/>
          </w:tcPr>
          <w:p>
            <w:pPr>
              <w:spacing w:after="0" w:line="154" w:lineRule="exact"/>
              <w:rPr>
                <w:rFonts w:ascii="Arial" w:cs="Arial" w:eastAsia="Arial" w:hAnsi="Arial"/>
                <w:sz w:val="17"/>
                <w:szCs w:val="17"/>
                <w:color w:val="0000FF"/>
              </w:rPr>
            </w:pPr>
            <w:hyperlink r:id="rId111">
              <w:r>
                <w:rPr>
                  <w:rFonts w:ascii="Arial" w:cs="Arial" w:eastAsia="Arial" w:hAnsi="Arial"/>
                  <w:sz w:val="17"/>
                  <w:szCs w:val="17"/>
                  <w:color w:val="0000FF"/>
                </w:rPr>
                <w:t>No. 001-36505) filed on June 23,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10.4</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Tax Sharing Agreement, dated June 23, 2014, by and between Viper Energy Partners LP and Diamondback Energy, Inc. (incorporated</w:t>
              </w:r>
            </w:hyperlink>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8840" w:type="dxa"/>
            <w:vAlign w:val="bottom"/>
            <w:tcBorders>
              <w:top w:val="single" w:sz="8" w:color="0000FF"/>
              <w:bottom w:val="single" w:sz="8" w:color="0000FF"/>
            </w:tcBorders>
            <w:gridSpan w:val="14"/>
            <w:shd w:val="clear" w:color="auto" w:fill="CCEEFF"/>
          </w:tcPr>
          <w:p>
            <w:pPr>
              <w:spacing w:after="0" w:line="154" w:lineRule="exact"/>
              <w:rPr>
                <w:rFonts w:ascii="Arial" w:cs="Arial" w:eastAsia="Arial" w:hAnsi="Arial"/>
                <w:sz w:val="17"/>
                <w:szCs w:val="17"/>
                <w:color w:val="0000FF"/>
                <w:w w:val="96"/>
              </w:rPr>
            </w:pPr>
            <w:hyperlink r:id="rId112">
              <w:r>
                <w:rPr>
                  <w:rFonts w:ascii="Arial" w:cs="Arial" w:eastAsia="Arial" w:hAnsi="Arial"/>
                  <w:sz w:val="17"/>
                  <w:szCs w:val="17"/>
                  <w:color w:val="0000FF"/>
                  <w:w w:val="96"/>
                </w:rPr>
                <w:t>by reference to Exhibit 10.5 of the Partnership’s Current Report on Form 8-K (File No. 001-36505) filed on June 23, 2014).</w:t>
              </w:r>
            </w:hyperlink>
          </w:p>
        </w:tc>
        <w:tc>
          <w:tcPr>
            <w:tcW w:w="98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10.5+</w:t>
            </w:r>
          </w:p>
        </w:tc>
        <w:tc>
          <w:tcPr>
            <w:tcW w:w="10220" w:type="dxa"/>
            <w:vAlign w:val="bottom"/>
            <w:gridSpan w:val="42"/>
          </w:tcPr>
          <w:p>
            <w:pPr>
              <w:spacing w:after="0" w:line="188"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Form of Unit Option Agreement (incorporated by reference to Exhibit 10.6 of the Partnership’s Current Report on Form 8-K (File No.</w:t>
              </w:r>
            </w:hyperlink>
          </w:p>
        </w:tc>
      </w:tr>
      <w:tr>
        <w:trPr>
          <w:trHeight w:val="154"/>
        </w:trPr>
        <w:tc>
          <w:tcPr>
            <w:tcW w:w="1520" w:type="dxa"/>
            <w:vAlign w:val="bottom"/>
          </w:tcPr>
          <w:p>
            <w:pPr>
              <w:spacing w:after="0"/>
              <w:rPr>
                <w:sz w:val="13"/>
                <w:szCs w:val="13"/>
                <w:color w:val="auto"/>
              </w:rPr>
            </w:pPr>
          </w:p>
        </w:tc>
        <w:tc>
          <w:tcPr>
            <w:tcW w:w="1002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113">
              <w:r>
                <w:rPr>
                  <w:rFonts w:ascii="Arial" w:cs="Arial" w:eastAsia="Arial" w:hAnsi="Arial"/>
                  <w:sz w:val="17"/>
                  <w:szCs w:val="17"/>
                  <w:color w:val="0000FF"/>
                </w:rPr>
                <w:t>001-36505) filed on June 23,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10.6+</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14">
              <w:r>
                <w:rPr>
                  <w:rFonts w:ascii="Arial" w:cs="Arial" w:eastAsia="Arial" w:hAnsi="Arial"/>
                  <w:sz w:val="18"/>
                  <w:szCs w:val="18"/>
                  <w:color w:val="0000FF"/>
                  <w:w w:val="98"/>
                </w:rPr>
                <w:t>Form of Phantom Unit Agreement (incorporated by reference to Exhibit 10.8 of the Partnership’s Annual Report on Form 10-K (File</w:t>
              </w:r>
            </w:hyperlink>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8"/>
            <w:shd w:val="clear" w:color="auto" w:fill="CCEEFF"/>
          </w:tcPr>
          <w:p>
            <w:pPr>
              <w:spacing w:after="0" w:line="154" w:lineRule="exact"/>
              <w:rPr>
                <w:rFonts w:ascii="Arial" w:cs="Arial" w:eastAsia="Arial" w:hAnsi="Arial"/>
                <w:sz w:val="17"/>
                <w:szCs w:val="17"/>
                <w:color w:val="0000FF"/>
              </w:rPr>
            </w:pPr>
            <w:hyperlink r:id="rId114">
              <w:r>
                <w:rPr>
                  <w:rFonts w:ascii="Arial" w:cs="Arial" w:eastAsia="Arial" w:hAnsi="Arial"/>
                  <w:sz w:val="17"/>
                  <w:szCs w:val="17"/>
                  <w:color w:val="0000FF"/>
                </w:rPr>
                <w:t>No. 001-36505) filed on February 18,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10.7</w:t>
            </w:r>
          </w:p>
        </w:tc>
        <w:tc>
          <w:tcPr>
            <w:tcW w:w="10220" w:type="dxa"/>
            <w:vAlign w:val="bottom"/>
            <w:gridSpan w:val="42"/>
          </w:tcPr>
          <w:p>
            <w:pPr>
              <w:spacing w:after="0" w:line="188"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Recapitalization Agreement, dated as of March 28, 2018, by and among Diamondback Energy, Inc., Viper Energy Partners LLC, Viper</w:t>
              </w:r>
            </w:hyperlink>
          </w:p>
        </w:tc>
      </w:tr>
      <w:tr>
        <w:trPr>
          <w:trHeight w:val="154"/>
        </w:trPr>
        <w:tc>
          <w:tcPr>
            <w:tcW w:w="1520" w:type="dxa"/>
            <w:vAlign w:val="bottom"/>
          </w:tcPr>
          <w:p>
            <w:pPr>
              <w:spacing w:after="0"/>
              <w:rPr>
                <w:sz w:val="13"/>
                <w:szCs w:val="13"/>
                <w:color w:val="auto"/>
              </w:rPr>
            </w:pPr>
          </w:p>
        </w:tc>
        <w:tc>
          <w:tcPr>
            <w:tcW w:w="10120" w:type="dxa"/>
            <w:vAlign w:val="bottom"/>
            <w:tcBorders>
              <w:top w:val="single" w:sz="8" w:color="0000FF"/>
            </w:tcBorders>
            <w:gridSpan w:val="37"/>
          </w:tcPr>
          <w:p>
            <w:pPr>
              <w:spacing w:after="0" w:line="154" w:lineRule="exact"/>
              <w:rPr>
                <w:rFonts w:ascii="Arial" w:cs="Arial" w:eastAsia="Arial" w:hAnsi="Arial"/>
                <w:sz w:val="17"/>
                <w:szCs w:val="17"/>
                <w:color w:val="0000FF"/>
              </w:rPr>
            </w:pPr>
            <w:hyperlink r:id="rId115">
              <w:r>
                <w:rPr>
                  <w:rFonts w:ascii="Arial" w:cs="Arial" w:eastAsia="Arial" w:hAnsi="Arial"/>
                  <w:sz w:val="17"/>
                  <w:szCs w:val="17"/>
                  <w:color w:val="0000FF"/>
                </w:rPr>
                <w:t>Energy Partners GP LLC and Viper Energy Partners LP (incorporated by reference to Annex C to the Partnership’s Definitive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10100" w:type="dxa"/>
            <w:vAlign w:val="bottom"/>
            <w:tcBorders>
              <w:top w:val="single" w:sz="8" w:color="0000FF"/>
            </w:tcBorders>
            <w:gridSpan w:val="36"/>
          </w:tcPr>
          <w:p>
            <w:pPr>
              <w:spacing w:after="0" w:line="154" w:lineRule="exact"/>
              <w:rPr>
                <w:rFonts w:ascii="Arial" w:cs="Arial" w:eastAsia="Arial" w:hAnsi="Arial"/>
                <w:sz w:val="17"/>
                <w:szCs w:val="17"/>
                <w:color w:val="0000FF"/>
              </w:rPr>
            </w:pPr>
            <w:hyperlink r:id="rId115">
              <w:r>
                <w:rPr>
                  <w:rFonts w:ascii="Arial" w:cs="Arial" w:eastAsia="Arial" w:hAnsi="Arial"/>
                  <w:sz w:val="17"/>
                  <w:szCs w:val="17"/>
                  <w:color w:val="0000FF"/>
                </w:rPr>
                <w:t>Information Statement on Schedule 14C (File No. 001-36505) filed on April 17,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10.8</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16">
              <w:r>
                <w:rPr>
                  <w:rFonts w:ascii="Arial" w:cs="Arial" w:eastAsia="Arial" w:hAnsi="Arial"/>
                  <w:sz w:val="18"/>
                  <w:szCs w:val="18"/>
                  <w:color w:val="0000FF"/>
                  <w:w w:val="98"/>
                </w:rPr>
                <w:t>First Amendment to Recapitalization Agreement dated as of May 9, 2018, by and among Diamondback Energy, Inc., Viper Energy</w:t>
              </w:r>
            </w:hyperlink>
          </w:p>
        </w:tc>
      </w:tr>
      <w:tr>
        <w:trPr>
          <w:trHeight w:val="154"/>
        </w:trPr>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9960" w:type="dxa"/>
            <w:vAlign w:val="bottom"/>
            <w:tcBorders>
              <w:top w:val="single" w:sz="8" w:color="0000FF"/>
              <w:bottom w:val="single" w:sz="8" w:color="0000FF"/>
            </w:tcBorders>
            <w:gridSpan w:val="29"/>
            <w:shd w:val="clear" w:color="auto" w:fill="CCEEFF"/>
          </w:tcPr>
          <w:p>
            <w:pPr>
              <w:spacing w:after="0" w:line="154" w:lineRule="exact"/>
              <w:rPr>
                <w:rFonts w:ascii="Arial" w:cs="Arial" w:eastAsia="Arial" w:hAnsi="Arial"/>
                <w:sz w:val="17"/>
                <w:szCs w:val="17"/>
                <w:color w:val="0000FF"/>
              </w:rPr>
            </w:pPr>
            <w:hyperlink r:id="rId116">
              <w:r>
                <w:rPr>
                  <w:rFonts w:ascii="Arial" w:cs="Arial" w:eastAsia="Arial" w:hAnsi="Arial"/>
                  <w:sz w:val="17"/>
                  <w:szCs w:val="17"/>
                  <w:color w:val="0000FF"/>
                </w:rPr>
                <w:t>Partners LLC, Viper Energy Partners GP LLC and Viper Energy Partners LP. (incorporated by reference to Exhibit 10.4 of the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4"/>
        </w:trPr>
        <w:tc>
          <w:tcPr>
            <w:tcW w:w="152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0000FF"/>
            </w:tcBorders>
            <w:gridSpan w:val="11"/>
            <w:shd w:val="clear" w:color="auto" w:fill="CCEEFF"/>
          </w:tcPr>
          <w:p>
            <w:pPr>
              <w:spacing w:after="0" w:line="154" w:lineRule="exact"/>
              <w:rPr>
                <w:rFonts w:ascii="Arial" w:cs="Arial" w:eastAsia="Arial" w:hAnsi="Arial"/>
                <w:sz w:val="17"/>
                <w:szCs w:val="17"/>
                <w:color w:val="0000FF"/>
                <w:w w:val="96"/>
              </w:rPr>
            </w:pPr>
            <w:hyperlink r:id="rId116">
              <w:r>
                <w:rPr>
                  <w:rFonts w:ascii="Arial" w:cs="Arial" w:eastAsia="Arial" w:hAnsi="Arial"/>
                  <w:sz w:val="17"/>
                  <w:szCs w:val="17"/>
                  <w:color w:val="0000FF"/>
                  <w:w w:val="96"/>
                </w:rPr>
                <w:t>Partnership’s Current Report on Form 8-K (File 001-36505) filed on May 15, 2018).</w:t>
              </w:r>
            </w:hyperlink>
          </w:p>
        </w:tc>
        <w:tc>
          <w:tcPr>
            <w:tcW w:w="4160" w:type="dxa"/>
            <w:vAlign w:val="bottom"/>
            <w:tcBorders>
              <w:bottom w:val="single" w:sz="8" w:color="CCEEFF"/>
            </w:tcBorders>
            <w:gridSpan w:val="30"/>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10.9</w:t>
            </w:r>
          </w:p>
        </w:tc>
        <w:tc>
          <w:tcPr>
            <w:tcW w:w="10220" w:type="dxa"/>
            <w:vAlign w:val="bottom"/>
            <w:gridSpan w:val="42"/>
          </w:tcPr>
          <w:p>
            <w:pPr>
              <w:spacing w:after="0" w:line="188"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Exchange Agreement, dated as of May 9, 2018, by and among Diamondback Energy, Inc., Viper Energy Partners LLC, Viper Energy</w:t>
              </w:r>
            </w:hyperlink>
          </w:p>
        </w:tc>
      </w:tr>
      <w:tr>
        <w:trPr>
          <w:trHeight w:val="154"/>
        </w:trPr>
        <w:tc>
          <w:tcPr>
            <w:tcW w:w="15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3"/>
          </w:tcPr>
          <w:p>
            <w:pPr>
              <w:spacing w:after="0" w:line="154" w:lineRule="exact"/>
              <w:rPr>
                <w:rFonts w:ascii="Arial" w:cs="Arial" w:eastAsia="Arial" w:hAnsi="Arial"/>
                <w:sz w:val="17"/>
                <w:szCs w:val="17"/>
                <w:color w:val="0000FF"/>
              </w:rPr>
            </w:pPr>
            <w:hyperlink r:id="rId117">
              <w:r>
                <w:rPr>
                  <w:rFonts w:ascii="Arial" w:cs="Arial" w:eastAsia="Arial" w:hAnsi="Arial"/>
                  <w:sz w:val="17"/>
                  <w:szCs w:val="17"/>
                  <w:color w:val="0000FF"/>
                </w:rPr>
                <w:t>Partners GP LLC and Viper Energy Partners LP. (incorporated by reference to Exhibit 10.1 of the Partnership’s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10180" w:type="dxa"/>
            <w:vAlign w:val="bottom"/>
            <w:gridSpan w:val="40"/>
          </w:tcPr>
          <w:p>
            <w:pPr>
              <w:spacing w:after="0" w:line="154" w:lineRule="exact"/>
              <w:rPr>
                <w:rFonts w:ascii="Arial" w:cs="Arial" w:eastAsia="Arial" w:hAnsi="Arial"/>
                <w:sz w:val="17"/>
                <w:szCs w:val="17"/>
                <w:color w:val="0000FF"/>
              </w:rPr>
            </w:pPr>
            <w:hyperlink r:id="rId117">
              <w:r>
                <w:rPr>
                  <w:rFonts w:ascii="Arial" w:cs="Arial" w:eastAsia="Arial" w:hAnsi="Arial"/>
                  <w:sz w:val="17"/>
                  <w:szCs w:val="17"/>
                  <w:color w:val="0000FF"/>
                </w:rPr>
                <w:t>Form 8-K (File 001-36505) filed on May 15, 2018).</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10.10</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4"/>
              </w:rPr>
            </w:pPr>
            <w:hyperlink r:id="rId118">
              <w:r>
                <w:rPr>
                  <w:rFonts w:ascii="Arial" w:cs="Arial" w:eastAsia="Arial" w:hAnsi="Arial"/>
                  <w:sz w:val="18"/>
                  <w:szCs w:val="18"/>
                  <w:color w:val="0000FF"/>
                  <w:w w:val="94"/>
                </w:rPr>
                <w:t>First Amendment to Exchange Agreement, dated as of May 10, 2018, by and among Diamondback Energy, Inc., Viper Energy Partners</w:t>
              </w:r>
            </w:hyperlink>
          </w:p>
        </w:tc>
      </w:tr>
      <w:tr>
        <w:trPr>
          <w:trHeight w:val="154"/>
        </w:trPr>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9900" w:type="dxa"/>
            <w:vAlign w:val="bottom"/>
            <w:tcBorders>
              <w:top w:val="single" w:sz="8" w:color="0000FF"/>
              <w:bottom w:val="single" w:sz="8" w:color="0000FF"/>
            </w:tcBorders>
            <w:gridSpan w:val="26"/>
            <w:shd w:val="clear" w:color="auto" w:fill="CCEEFF"/>
          </w:tcPr>
          <w:p>
            <w:pPr>
              <w:spacing w:after="0" w:line="154" w:lineRule="exact"/>
              <w:rPr>
                <w:rFonts w:ascii="Arial" w:cs="Arial" w:eastAsia="Arial" w:hAnsi="Arial"/>
                <w:sz w:val="17"/>
                <w:szCs w:val="17"/>
                <w:color w:val="0000FF"/>
              </w:rPr>
            </w:pPr>
            <w:hyperlink r:id="rId118">
              <w:r>
                <w:rPr>
                  <w:rFonts w:ascii="Arial" w:cs="Arial" w:eastAsia="Arial" w:hAnsi="Arial"/>
                  <w:sz w:val="17"/>
                  <w:szCs w:val="17"/>
                  <w:color w:val="0000FF"/>
                </w:rPr>
                <w:t>LLC, Viper Energy Partners GP LLC and Viper Energy Partners LP. (incorporated by reference to Exhibit 10.2 of the Partnership’s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74"/>
        </w:trPr>
        <w:tc>
          <w:tcPr>
            <w:tcW w:w="1520" w:type="dxa"/>
            <w:vAlign w:val="bottom"/>
            <w:tcBorders>
              <w:bottom w:val="single" w:sz="8" w:color="CCEEFF"/>
            </w:tcBorders>
            <w:shd w:val="clear" w:color="auto" w:fill="CCEEFF"/>
          </w:tcPr>
          <w:p>
            <w:pPr>
              <w:spacing w:after="0"/>
              <w:rPr>
                <w:sz w:val="15"/>
                <w:szCs w:val="15"/>
                <w:color w:val="auto"/>
              </w:rPr>
            </w:pPr>
          </w:p>
        </w:tc>
        <w:tc>
          <w:tcPr>
            <w:tcW w:w="5060" w:type="dxa"/>
            <w:vAlign w:val="bottom"/>
            <w:tcBorders>
              <w:bottom w:val="single" w:sz="8" w:color="0000FF"/>
            </w:tcBorders>
            <w:gridSpan w:val="10"/>
            <w:shd w:val="clear" w:color="auto" w:fill="CCEEFF"/>
          </w:tcPr>
          <w:p>
            <w:pPr>
              <w:spacing w:after="0" w:line="154" w:lineRule="exact"/>
              <w:rPr>
                <w:rFonts w:ascii="Arial" w:cs="Arial" w:eastAsia="Arial" w:hAnsi="Arial"/>
                <w:sz w:val="17"/>
                <w:szCs w:val="17"/>
                <w:color w:val="0000FF"/>
                <w:w w:val="97"/>
              </w:rPr>
            </w:pPr>
            <w:hyperlink r:id="rId118">
              <w:r>
                <w:rPr>
                  <w:rFonts w:ascii="Arial" w:cs="Arial" w:eastAsia="Arial" w:hAnsi="Arial"/>
                  <w:sz w:val="17"/>
                  <w:szCs w:val="17"/>
                  <w:color w:val="0000FF"/>
                  <w:w w:val="97"/>
                </w:rPr>
                <w:t>Current Report on Form 8-K (File 001-36505) filed on May 15, 2018).</w:t>
              </w:r>
            </w:hyperlink>
          </w:p>
        </w:tc>
        <w:tc>
          <w:tcPr>
            <w:tcW w:w="5100" w:type="dxa"/>
            <w:vAlign w:val="bottom"/>
            <w:tcBorders>
              <w:bottom w:val="single" w:sz="8" w:color="CCEEFF"/>
            </w:tcBorders>
            <w:gridSpan w:val="29"/>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10.11</w:t>
            </w:r>
          </w:p>
        </w:tc>
        <w:tc>
          <w:tcPr>
            <w:tcW w:w="10220" w:type="dxa"/>
            <w:vAlign w:val="bottom"/>
            <w:gridSpan w:val="42"/>
          </w:tcPr>
          <w:p>
            <w:pPr>
              <w:spacing w:after="0" w:line="188"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Second Amendment to Amended and Restated Senior Secured Revolving Credit Agreement, dated as of September 24, 2019, among</w:t>
              </w:r>
            </w:hyperlink>
          </w:p>
        </w:tc>
      </w:tr>
      <w:tr>
        <w:trPr>
          <w:trHeight w:val="154"/>
        </w:trPr>
        <w:tc>
          <w:tcPr>
            <w:tcW w:w="1520" w:type="dxa"/>
            <w:vAlign w:val="bottom"/>
          </w:tcPr>
          <w:p>
            <w:pPr>
              <w:spacing w:after="0"/>
              <w:rPr>
                <w:sz w:val="13"/>
                <w:szCs w:val="13"/>
                <w:color w:val="auto"/>
              </w:rPr>
            </w:pPr>
          </w:p>
        </w:tc>
        <w:tc>
          <w:tcPr>
            <w:tcW w:w="10140" w:type="dxa"/>
            <w:vAlign w:val="bottom"/>
            <w:tcBorders>
              <w:top w:val="single" w:sz="8" w:color="0000FF"/>
            </w:tcBorders>
            <w:gridSpan w:val="38"/>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Viper Energy Partners LLC, as borrower, Viper Energy Partners LP, as parent guarantor, Wells Fargo Bank, National Association, as</w:t>
              </w:r>
            </w:hyperlink>
          </w:p>
        </w:tc>
        <w:tc>
          <w:tcPr>
            <w:tcW w:w="80" w:type="dxa"/>
            <w:vAlign w:val="bottom"/>
            <w:gridSpan w:val="4"/>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9"/>
              </w:rPr>
            </w:pPr>
            <w:hyperlink r:id="rId119">
              <w:r>
                <w:rPr>
                  <w:rFonts w:ascii="Arial" w:cs="Arial" w:eastAsia="Arial" w:hAnsi="Arial"/>
                  <w:sz w:val="17"/>
                  <w:szCs w:val="17"/>
                  <w:color w:val="0000FF"/>
                  <w:w w:val="99"/>
                </w:rPr>
                <w:t>administrative agent, and the lender party thereto (incorporated by reference to Exhibit 10.1 of the Partnership’s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60" w:type="dxa"/>
            <w:vAlign w:val="bottom"/>
            <w:gridSpan w:val="19"/>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Form 8-K (File 001-36505) filed on September 30,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6"/>
              </w:rPr>
            </w:pPr>
            <w:hyperlink r:id="rId120">
              <w:r>
                <w:rPr>
                  <w:rFonts w:ascii="Arial" w:cs="Arial" w:eastAsia="Arial" w:hAnsi="Arial"/>
                  <w:sz w:val="18"/>
                  <w:szCs w:val="18"/>
                  <w:color w:val="0000FF"/>
                  <w:w w:val="96"/>
                </w:rPr>
                <w:t>Third Amendment to Amended and Restated Senior Secured Revolving Credit Agreement, dated as of October 8, 2019, among Viper</w:t>
              </w:r>
            </w:hyperlink>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5"/>
            <w:shd w:val="clear" w:color="auto" w:fill="CCEEFF"/>
          </w:tcPr>
          <w:p>
            <w:pPr>
              <w:spacing w:after="0" w:line="154" w:lineRule="exact"/>
              <w:rPr>
                <w:rFonts w:ascii="Arial" w:cs="Arial" w:eastAsia="Arial" w:hAnsi="Arial"/>
                <w:sz w:val="17"/>
                <w:szCs w:val="17"/>
                <w:color w:val="0000FF"/>
              </w:rPr>
            </w:pPr>
            <w:hyperlink r:id="rId120">
              <w:r>
                <w:rPr>
                  <w:rFonts w:ascii="Arial" w:cs="Arial" w:eastAsia="Arial" w:hAnsi="Arial"/>
                  <w:sz w:val="17"/>
                  <w:szCs w:val="17"/>
                  <w:color w:val="0000FF"/>
                </w:rPr>
                <w:t>Energy Partners LLC, as borrower, Viper Energy Partners LP, as parent guarantor, Wells Fargo Bank, National Association, as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20"/>
            <w:shd w:val="clear" w:color="auto" w:fill="CCEEFF"/>
          </w:tcPr>
          <w:p>
            <w:pPr>
              <w:spacing w:after="0" w:line="154" w:lineRule="exact"/>
              <w:rPr>
                <w:rFonts w:ascii="Arial" w:cs="Arial" w:eastAsia="Arial" w:hAnsi="Arial"/>
                <w:sz w:val="17"/>
                <w:szCs w:val="17"/>
                <w:color w:val="0000FF"/>
                <w:w w:val="99"/>
              </w:rPr>
            </w:pPr>
            <w:hyperlink r:id="rId120">
              <w:r>
                <w:rPr>
                  <w:rFonts w:ascii="Arial" w:cs="Arial" w:eastAsia="Arial" w:hAnsi="Arial"/>
                  <w:sz w:val="17"/>
                  <w:szCs w:val="17"/>
                  <w:color w:val="0000FF"/>
                  <w:w w:val="99"/>
                </w:rPr>
                <w:t>administrative agent, and the lender party thereto (incorporated by reference to Exhibit 10.1 of the Partnership’s Current Report on</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3960" w:type="dxa"/>
            <w:vAlign w:val="bottom"/>
            <w:tcBorders>
              <w:top w:val="single" w:sz="8" w:color="0000FF"/>
              <w:bottom w:val="single" w:sz="8" w:color="0000FF"/>
            </w:tcBorders>
            <w:gridSpan w:val="5"/>
            <w:shd w:val="clear" w:color="auto" w:fill="CCEEFF"/>
          </w:tcPr>
          <w:p>
            <w:pPr>
              <w:spacing w:after="0" w:line="154" w:lineRule="exact"/>
              <w:rPr>
                <w:rFonts w:ascii="Arial" w:cs="Arial" w:eastAsia="Arial" w:hAnsi="Arial"/>
                <w:sz w:val="17"/>
                <w:szCs w:val="17"/>
                <w:color w:val="0000FF"/>
                <w:w w:val="96"/>
              </w:rPr>
            </w:pPr>
            <w:hyperlink r:id="rId120">
              <w:r>
                <w:rPr>
                  <w:rFonts w:ascii="Arial" w:cs="Arial" w:eastAsia="Arial" w:hAnsi="Arial"/>
                  <w:sz w:val="17"/>
                  <w:szCs w:val="17"/>
                  <w:color w:val="0000FF"/>
                  <w:w w:val="96"/>
                </w:rPr>
                <w:t>Form 8-K (File 001-36505) filed on October 10, 2019).</w:t>
              </w:r>
            </w:hyperlink>
          </w:p>
        </w:tc>
        <w:tc>
          <w:tcPr>
            <w:tcW w:w="580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10.13</w:t>
            </w:r>
          </w:p>
        </w:tc>
        <w:tc>
          <w:tcPr>
            <w:tcW w:w="10220" w:type="dxa"/>
            <w:vAlign w:val="bottom"/>
            <w:gridSpan w:val="42"/>
          </w:tcPr>
          <w:p>
            <w:pPr>
              <w:spacing w:after="0" w:line="188"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Fourth Amendment to Amended and Restated Senior Secured Revolving Credit Agreement, dated as of November 29, 2019, among</w:t>
              </w:r>
            </w:hyperlink>
          </w:p>
        </w:tc>
      </w:tr>
      <w:tr>
        <w:trPr>
          <w:trHeight w:val="154"/>
        </w:trPr>
        <w:tc>
          <w:tcPr>
            <w:tcW w:w="1520" w:type="dxa"/>
            <w:vAlign w:val="bottom"/>
          </w:tcPr>
          <w:p>
            <w:pPr>
              <w:spacing w:after="0"/>
              <w:rPr>
                <w:sz w:val="13"/>
                <w:szCs w:val="13"/>
                <w:color w:val="auto"/>
              </w:rPr>
            </w:pPr>
          </w:p>
        </w:tc>
        <w:tc>
          <w:tcPr>
            <w:tcW w:w="9940" w:type="dxa"/>
            <w:vAlign w:val="bottom"/>
            <w:tcBorders>
              <w:top w:val="single" w:sz="8" w:color="0000FF"/>
            </w:tcBorders>
            <w:gridSpan w:val="28"/>
          </w:tcPr>
          <w:p>
            <w:pPr>
              <w:spacing w:after="0" w:line="154" w:lineRule="exact"/>
              <w:rPr>
                <w:rFonts w:ascii="Arial" w:cs="Arial" w:eastAsia="Arial" w:hAnsi="Arial"/>
                <w:sz w:val="17"/>
                <w:szCs w:val="17"/>
                <w:color w:val="0000FF"/>
                <w:w w:val="99"/>
              </w:rPr>
            </w:pPr>
            <w:hyperlink r:id="rId121">
              <w:r>
                <w:rPr>
                  <w:rFonts w:ascii="Arial" w:cs="Arial" w:eastAsia="Arial" w:hAnsi="Arial"/>
                  <w:sz w:val="17"/>
                  <w:szCs w:val="17"/>
                  <w:color w:val="0000FF"/>
                  <w:w w:val="99"/>
                </w:rPr>
                <w:t>Viper Energy Partners LLC, as borrower, Viper Energy Partners LP, as parent guarantor, Wells Fargo Bank, National Association, as</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8"/>
              </w:rPr>
            </w:pPr>
            <w:hyperlink r:id="rId121">
              <w:r>
                <w:rPr>
                  <w:rFonts w:ascii="Arial" w:cs="Arial" w:eastAsia="Arial" w:hAnsi="Arial"/>
                  <w:sz w:val="17"/>
                  <w:szCs w:val="17"/>
                  <w:color w:val="0000FF"/>
                  <w:w w:val="98"/>
                </w:rPr>
                <w:t>administrative agent, and the lenders party thereto (incorporated by reference to Exhibit 10.1 of the Partnership’s Current Report on</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920" w:type="dxa"/>
            <w:vAlign w:val="bottom"/>
            <w:gridSpan w:val="27"/>
          </w:tcPr>
          <w:p>
            <w:pPr>
              <w:spacing w:after="0" w:line="154" w:lineRule="exact"/>
              <w:rPr>
                <w:rFonts w:ascii="Arial" w:cs="Arial" w:eastAsia="Arial" w:hAnsi="Arial"/>
                <w:sz w:val="17"/>
                <w:szCs w:val="17"/>
                <w:color w:val="0000FF"/>
              </w:rPr>
            </w:pPr>
            <w:hyperlink r:id="rId121">
              <w:r>
                <w:rPr>
                  <w:rFonts w:ascii="Arial" w:cs="Arial" w:eastAsia="Arial" w:hAnsi="Arial"/>
                  <w:sz w:val="17"/>
                  <w:szCs w:val="17"/>
                  <w:color w:val="0000FF"/>
                </w:rPr>
                <w:t>Form 8-K (File No. 001-36505) filed on December 5, 2019).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10.14</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22">
              <w:r>
                <w:rPr>
                  <w:rFonts w:ascii="Arial" w:cs="Arial" w:eastAsia="Arial" w:hAnsi="Arial"/>
                  <w:sz w:val="18"/>
                  <w:szCs w:val="18"/>
                  <w:color w:val="0000FF"/>
                  <w:w w:val="98"/>
                </w:rPr>
                <w:t>Fifth Amendment to Amended and Restated Senior Secured Revolving Credit Agreement, dated as of May 11, 2020, among Viper</w:t>
              </w:r>
            </w:hyperlink>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24"/>
            <w:shd w:val="clear" w:color="auto" w:fill="CCEEFF"/>
          </w:tcPr>
          <w:p>
            <w:pPr>
              <w:spacing w:after="0" w:line="154" w:lineRule="exact"/>
              <w:rPr>
                <w:rFonts w:ascii="Arial" w:cs="Arial" w:eastAsia="Arial" w:hAnsi="Arial"/>
                <w:sz w:val="17"/>
                <w:szCs w:val="17"/>
                <w:color w:val="0000FF"/>
              </w:rPr>
            </w:pPr>
            <w:hyperlink r:id="rId122">
              <w:r>
                <w:rPr>
                  <w:rFonts w:ascii="Arial" w:cs="Arial" w:eastAsia="Arial" w:hAnsi="Arial"/>
                  <w:sz w:val="17"/>
                  <w:szCs w:val="17"/>
                  <w:color w:val="0000FF"/>
                </w:rPr>
                <w:t>Energy Partners LLC, as borrower, Viper Energy Partners LP, as parent guarantor, Wells Fargo Bank, National Association, as</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1"/>
            <w:shd w:val="clear" w:color="auto" w:fill="CCEEFF"/>
          </w:tcPr>
          <w:p>
            <w:pPr>
              <w:spacing w:after="0" w:line="154" w:lineRule="exact"/>
              <w:rPr>
                <w:rFonts w:ascii="Arial" w:cs="Arial" w:eastAsia="Arial" w:hAnsi="Arial"/>
                <w:sz w:val="17"/>
                <w:szCs w:val="17"/>
                <w:color w:val="0000FF"/>
                <w:w w:val="99"/>
              </w:rPr>
            </w:pPr>
            <w:hyperlink r:id="rId122">
              <w:r>
                <w:rPr>
                  <w:rFonts w:ascii="Arial" w:cs="Arial" w:eastAsia="Arial" w:hAnsi="Arial"/>
                  <w:sz w:val="17"/>
                  <w:szCs w:val="17"/>
                  <w:color w:val="0000FF"/>
                  <w:w w:val="99"/>
                </w:rPr>
                <w:t>administrative agent, and the lenders party thereto (incorporated by reference to Exhibit 10.1 of the Partnership’s Current Report on</w:t>
              </w:r>
            </w:hyperlink>
          </w:p>
        </w:tc>
        <w:tc>
          <w:tcPr>
            <w:tcW w:w="180" w:type="dxa"/>
            <w:vAlign w:val="bottom"/>
            <w:tcBorders>
              <w:top w:val="single" w:sz="8" w:color="CCEEFF"/>
            </w:tcBorders>
            <w:gridSpan w:val="9"/>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3720" w:type="dxa"/>
            <w:vAlign w:val="bottom"/>
            <w:tcBorders>
              <w:top w:val="single" w:sz="8" w:color="0000FF"/>
              <w:bottom w:val="single" w:sz="8" w:color="0000FF"/>
            </w:tcBorders>
            <w:gridSpan w:val="4"/>
            <w:shd w:val="clear" w:color="auto" w:fill="CCEEFF"/>
          </w:tcPr>
          <w:p>
            <w:pPr>
              <w:spacing w:after="0" w:line="154" w:lineRule="exact"/>
              <w:rPr>
                <w:rFonts w:ascii="Arial" w:cs="Arial" w:eastAsia="Arial" w:hAnsi="Arial"/>
                <w:sz w:val="17"/>
                <w:szCs w:val="17"/>
                <w:color w:val="0000FF"/>
                <w:w w:val="97"/>
              </w:rPr>
            </w:pPr>
            <w:hyperlink r:id="rId122">
              <w:r>
                <w:rPr>
                  <w:rFonts w:ascii="Arial" w:cs="Arial" w:eastAsia="Arial" w:hAnsi="Arial"/>
                  <w:sz w:val="17"/>
                  <w:szCs w:val="17"/>
                  <w:color w:val="0000FF"/>
                  <w:w w:val="97"/>
                </w:rPr>
                <w:t>Form 8-K (File 001-36505) filed on May 15, 2020).</w:t>
              </w:r>
            </w:hyperlink>
          </w:p>
        </w:tc>
        <w:tc>
          <w:tcPr>
            <w:tcW w:w="6200" w:type="dxa"/>
            <w:vAlign w:val="bottom"/>
            <w:tcBorders>
              <w:top w:val="single" w:sz="8" w:color="0000FF"/>
              <w:bottom w:val="single" w:sz="8" w:color="CCEEFF"/>
            </w:tcBorders>
            <w:gridSpan w:val="2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10.15</w:t>
            </w:r>
          </w:p>
        </w:tc>
        <w:tc>
          <w:tcPr>
            <w:tcW w:w="10220" w:type="dxa"/>
            <w:vAlign w:val="bottom"/>
            <w:gridSpan w:val="42"/>
          </w:tcPr>
          <w:p>
            <w:pPr>
              <w:spacing w:after="0" w:line="188"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Sixth Amendment to Amended and Restated Senior Secured Revolving Credit Agreement, dated as of November 6, 2020, among Viper</w:t>
              </w:r>
            </w:hyperlink>
          </w:p>
        </w:tc>
      </w:tr>
      <w:tr>
        <w:trPr>
          <w:trHeight w:val="154"/>
        </w:trPr>
        <w:tc>
          <w:tcPr>
            <w:tcW w:w="152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Energy Partners LLC, as borrower, Viper Energy Partners LP, as parent guarantor, Wells Fargo Bank, National Association, as</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4" w:lineRule="exact"/>
              <w:rPr>
                <w:rFonts w:ascii="Arial" w:cs="Arial" w:eastAsia="Arial" w:hAnsi="Arial"/>
                <w:sz w:val="17"/>
                <w:szCs w:val="17"/>
                <w:color w:val="0000FF"/>
                <w:w w:val="99"/>
              </w:rPr>
            </w:pPr>
            <w:hyperlink r:id="rId123">
              <w:r>
                <w:rPr>
                  <w:rFonts w:ascii="Arial" w:cs="Arial" w:eastAsia="Arial" w:hAnsi="Arial"/>
                  <w:sz w:val="17"/>
                  <w:szCs w:val="17"/>
                  <w:color w:val="0000FF"/>
                  <w:w w:val="99"/>
                </w:rPr>
                <w:t>administrative agent, and the lenders party thereto (incorporated by reference to Exhibit 10.1 of the Partnership’s Current Report on</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92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Form 8-K (File No. 001-36505) filed on November 12, 2020).</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10.16</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Seventh Amendment to Amended and Restated Senior Secured Revolving Credit Agreement and Second Amendment to Guaranty and</w:t>
              </w:r>
            </w:hyperlink>
          </w:p>
        </w:tc>
      </w:tr>
      <w:tr>
        <w:trPr>
          <w:trHeight w:val="154"/>
        </w:trPr>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30"/>
            <w:shd w:val="clear" w:color="auto" w:fill="CCEEFF"/>
          </w:tcPr>
          <w:p>
            <w:pPr>
              <w:spacing w:after="0" w:line="154" w:lineRule="exact"/>
              <w:rPr>
                <w:rFonts w:ascii="Arial" w:cs="Arial" w:eastAsia="Arial" w:hAnsi="Arial"/>
                <w:sz w:val="17"/>
                <w:szCs w:val="17"/>
                <w:color w:val="0000FF"/>
                <w:w w:val="98"/>
              </w:rPr>
            </w:pPr>
            <w:hyperlink r:id="rId124">
              <w:r>
                <w:rPr>
                  <w:rFonts w:ascii="Arial" w:cs="Arial" w:eastAsia="Arial" w:hAnsi="Arial"/>
                  <w:sz w:val="17"/>
                  <w:szCs w:val="17"/>
                  <w:color w:val="0000FF"/>
                  <w:w w:val="98"/>
                </w:rPr>
                <w:t>Collateral Agreement, dated as of June 2, 2021, by and among Viper Energy Partners LLC, as borrower, Viper Energy Partners LP, as</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r>
      <w:tr>
        <w:trPr>
          <w:trHeight w:val="154"/>
        </w:trPr>
        <w:tc>
          <w:tcPr>
            <w:tcW w:w="1520" w:type="dxa"/>
            <w:vAlign w:val="bottom"/>
            <w:shd w:val="clear" w:color="auto" w:fill="CCEEFF"/>
          </w:tcPr>
          <w:p>
            <w:pPr>
              <w:spacing w:after="0"/>
              <w:rPr>
                <w:sz w:val="13"/>
                <w:szCs w:val="13"/>
                <w:color w:val="auto"/>
              </w:rPr>
            </w:pPr>
          </w:p>
        </w:tc>
        <w:tc>
          <w:tcPr>
            <w:tcW w:w="10080" w:type="dxa"/>
            <w:vAlign w:val="bottom"/>
            <w:gridSpan w:val="35"/>
            <w:shd w:val="clear" w:color="auto" w:fill="CCEEFF"/>
          </w:tcPr>
          <w:p>
            <w:pPr>
              <w:spacing w:after="0" w:line="154" w:lineRule="exact"/>
              <w:rPr>
                <w:rFonts w:ascii="Arial" w:cs="Arial" w:eastAsia="Arial" w:hAnsi="Arial"/>
                <w:sz w:val="17"/>
                <w:szCs w:val="17"/>
                <w:color w:val="0000FF"/>
              </w:rPr>
            </w:pPr>
            <w:hyperlink r:id="rId124">
              <w:r>
                <w:rPr>
                  <w:rFonts w:ascii="Arial" w:cs="Arial" w:eastAsia="Arial" w:hAnsi="Arial"/>
                  <w:sz w:val="17"/>
                  <w:szCs w:val="17"/>
                  <w:color w:val="0000FF"/>
                </w:rPr>
                <w:t>parent guarantor, Wells Fargo Bank, National Association, as administrative agent, and the lenders party thereto (incorporated by</w:t>
              </w:r>
            </w:hyperlink>
          </w:p>
        </w:tc>
        <w:tc>
          <w:tcPr>
            <w:tcW w:w="140" w:type="dxa"/>
            <w:vAlign w:val="bottom"/>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0000FF"/>
            </w:tcBorders>
            <w:gridSpan w:val="34"/>
            <w:shd w:val="clear" w:color="auto" w:fill="CCEEFF"/>
          </w:tcPr>
          <w:p>
            <w:pPr>
              <w:spacing w:after="0" w:line="154" w:lineRule="exact"/>
              <w:rPr>
                <w:rFonts w:ascii="Arial" w:cs="Arial" w:eastAsia="Arial" w:hAnsi="Arial"/>
                <w:sz w:val="17"/>
                <w:szCs w:val="17"/>
                <w:color w:val="0000FF"/>
              </w:rPr>
            </w:pPr>
            <w:hyperlink r:id="rId124">
              <w:r>
                <w:rPr>
                  <w:rFonts w:ascii="Arial" w:cs="Arial" w:eastAsia="Arial" w:hAnsi="Arial"/>
                  <w:sz w:val="17"/>
                  <w:szCs w:val="17"/>
                  <w:color w:val="0000FF"/>
                </w:rPr>
                <w:t>reference to Exhibit 10.1 of the Partnership’s Current Report on Form 8-K (File 001-36505) filed on June 8, 2021).</w:t>
              </w:r>
            </w:hyperlink>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909"/>
        </w:trPr>
        <w:tc>
          <w:tcPr>
            <w:tcW w:w="1520" w:type="dxa"/>
            <w:vAlign w:val="bottom"/>
            <w:tcBorders>
              <w:top w:val="single" w:sz="8" w:color="CCEEFF"/>
            </w:tcBorders>
          </w:tcPr>
          <w:p>
            <w:pPr>
              <w:spacing w:after="0"/>
              <w:rPr>
                <w:sz w:val="24"/>
                <w:szCs w:val="24"/>
                <w:color w:val="auto"/>
              </w:rPr>
            </w:pPr>
          </w:p>
        </w:tc>
        <w:tc>
          <w:tcPr>
            <w:tcW w:w="4340" w:type="dxa"/>
            <w:vAlign w:val="bottom"/>
            <w:tcBorders>
              <w:top w:val="single" w:sz="8" w:color="0000FF"/>
            </w:tcBorders>
            <w:gridSpan w:val="8"/>
          </w:tcPr>
          <w:p>
            <w:pPr>
              <w:ind w:left="402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980" w:type="dxa"/>
            <w:vAlign w:val="bottom"/>
            <w:tcBorders>
              <w:top w:val="single" w:sz="8" w:color="0000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Exhibit Number</w:t>
            </w:r>
          </w:p>
        </w:tc>
        <w:tc>
          <w:tcPr>
            <w:tcW w:w="9820" w:type="dxa"/>
            <w:vAlign w:val="bottom"/>
            <w:gridSpan w:val="15"/>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00"/>
        </w:trPr>
        <w:tc>
          <w:tcPr>
            <w:tcW w:w="1520" w:type="dxa"/>
            <w:vAlign w:val="bottom"/>
          </w:tcPr>
          <w:p>
            <w:pPr>
              <w:ind w:left="20"/>
              <w:spacing w:after="0"/>
              <w:rPr>
                <w:sz w:val="20"/>
                <w:szCs w:val="20"/>
                <w:color w:val="auto"/>
              </w:rPr>
            </w:pPr>
            <w:r>
              <w:rPr>
                <w:rFonts w:ascii="Arial" w:cs="Arial" w:eastAsia="Arial" w:hAnsi="Arial"/>
                <w:sz w:val="18"/>
                <w:szCs w:val="18"/>
                <w:color w:val="auto"/>
              </w:rPr>
              <w:t>10.17</w:t>
            </w:r>
          </w:p>
        </w:tc>
        <w:tc>
          <w:tcPr>
            <w:tcW w:w="9820" w:type="dxa"/>
            <w:vAlign w:val="bottom"/>
            <w:gridSpan w:val="15"/>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Eighth Amendment to Amended and Restated Senior Secured Revolving Credit Agreement and Second Amendment to Guaranty and</w:t>
              </w:r>
            </w:hyperlink>
          </w:p>
        </w:tc>
      </w:tr>
      <w:tr>
        <w:trPr>
          <w:trHeight w:val="154"/>
        </w:trPr>
        <w:tc>
          <w:tcPr>
            <w:tcW w:w="15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9"/>
          </w:tcPr>
          <w:p>
            <w:pPr>
              <w:spacing w:after="0" w:line="154" w:lineRule="exact"/>
              <w:rPr>
                <w:rFonts w:ascii="Arial" w:cs="Arial" w:eastAsia="Arial" w:hAnsi="Arial"/>
                <w:sz w:val="17"/>
                <w:szCs w:val="17"/>
                <w:color w:val="0000FF"/>
                <w:w w:val="96"/>
              </w:rPr>
            </w:pPr>
            <w:hyperlink r:id="rId127">
              <w:r>
                <w:rPr>
                  <w:rFonts w:ascii="Arial" w:cs="Arial" w:eastAsia="Arial" w:hAnsi="Arial"/>
                  <w:sz w:val="17"/>
                  <w:szCs w:val="17"/>
                  <w:color w:val="0000FF"/>
                  <w:w w:val="96"/>
                </w:rPr>
                <w:t>Collateral Agreement, dated as of November 15, 2021, by and among Viper Energy Partners LLC, as borrower, Viper Energy Partners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00" w:type="dxa"/>
            <w:vAlign w:val="bottom"/>
            <w:tcBorders>
              <w:bottom w:val="single" w:sz="8" w:color="0000FF"/>
            </w:tcBorders>
            <w:gridSpan w:val="9"/>
          </w:tcPr>
          <w:p>
            <w:pPr>
              <w:spacing w:after="0" w:line="154" w:lineRule="exact"/>
              <w:rPr>
                <w:rFonts w:ascii="Arial" w:cs="Arial" w:eastAsia="Arial" w:hAnsi="Arial"/>
                <w:sz w:val="17"/>
                <w:szCs w:val="17"/>
                <w:color w:val="0000FF"/>
                <w:w w:val="94"/>
              </w:rPr>
            </w:pPr>
            <w:hyperlink r:id="rId127">
              <w:r>
                <w:rPr>
                  <w:rFonts w:ascii="Arial" w:cs="Arial" w:eastAsia="Arial" w:hAnsi="Arial"/>
                  <w:sz w:val="17"/>
                  <w:szCs w:val="17"/>
                  <w:color w:val="0000FF"/>
                  <w:w w:val="94"/>
                </w:rPr>
                <w:t>LP, as parent guarantor, Wells Fargo Bank, National Association,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80" w:type="dxa"/>
            <w:vAlign w:val="bottom"/>
            <w:gridSpan w:val="13"/>
          </w:tcPr>
          <w:p>
            <w:pPr>
              <w:spacing w:after="0" w:line="154" w:lineRule="exact"/>
              <w:rPr>
                <w:rFonts w:ascii="Arial" w:cs="Arial" w:eastAsia="Arial" w:hAnsi="Arial"/>
                <w:sz w:val="17"/>
                <w:szCs w:val="17"/>
                <w:color w:val="0000FF"/>
              </w:rPr>
            </w:pPr>
            <w:hyperlink r:id="rId127">
              <w:r>
                <w:rPr>
                  <w:rFonts w:ascii="Arial" w:cs="Arial" w:eastAsia="Arial" w:hAnsi="Arial"/>
                  <w:sz w:val="17"/>
                  <w:szCs w:val="17"/>
                  <w:color w:val="0000FF"/>
                </w:rPr>
                <w:t>reference to Exhibit 10.1 of the Partnership’s Current Report on Form 8-K (File No. 001-36505) filed on November 18,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1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10.18</w:t>
            </w:r>
          </w:p>
        </w:tc>
        <w:tc>
          <w:tcPr>
            <w:tcW w:w="9820" w:type="dxa"/>
            <w:vAlign w:val="bottom"/>
            <w:gridSpan w:val="15"/>
            <w:shd w:val="clear" w:color="auto" w:fill="CCEEFF"/>
          </w:tcPr>
          <w:p>
            <w:pPr>
              <w:spacing w:after="0" w:line="188"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Subordinated Promissory Note, dated as of October 16, 2019, by Viper Energy Partners LLC in favor of Viper Energy Partners LP</w:t>
              </w:r>
            </w:hyperlink>
          </w:p>
        </w:tc>
      </w:tr>
      <w:tr>
        <w:trPr>
          <w:trHeight w:val="154"/>
        </w:trPr>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9720" w:type="dxa"/>
            <w:vAlign w:val="bottom"/>
            <w:tcBorders>
              <w:top w:val="single" w:sz="8" w:color="0000FF"/>
              <w:bottom w:val="single" w:sz="8" w:color="0000FF"/>
            </w:tcBorders>
            <w:gridSpan w:val="10"/>
            <w:shd w:val="clear" w:color="auto" w:fill="CCEEFF"/>
          </w:tcPr>
          <w:p>
            <w:pPr>
              <w:spacing w:after="0" w:line="154" w:lineRule="exact"/>
              <w:rPr>
                <w:rFonts w:ascii="Arial" w:cs="Arial" w:eastAsia="Arial" w:hAnsi="Arial"/>
                <w:sz w:val="17"/>
                <w:szCs w:val="17"/>
                <w:color w:val="0000FF"/>
              </w:rPr>
            </w:pPr>
            <w:hyperlink r:id="rId128">
              <w:r>
                <w:rPr>
                  <w:rFonts w:ascii="Arial" w:cs="Arial" w:eastAsia="Arial" w:hAnsi="Arial"/>
                  <w:sz w:val="17"/>
                  <w:szCs w:val="17"/>
                  <w:color w:val="0000FF"/>
                </w:rPr>
                <w:t>(incorporated by reference to Exhibit 10.2 of the Partnership’s Current Report on Form 8-K (File 001-36505) filed on October 17,</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9"/>
        </w:trPr>
        <w:tc>
          <w:tcPr>
            <w:tcW w:w="15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0000FF"/>
            </w:tcBorders>
            <w:shd w:val="clear" w:color="auto" w:fill="CCEEFF"/>
          </w:tcPr>
          <w:p>
            <w:pPr>
              <w:spacing w:after="0" w:line="154" w:lineRule="exact"/>
              <w:rPr>
                <w:rFonts w:ascii="Arial" w:cs="Arial" w:eastAsia="Arial" w:hAnsi="Arial"/>
                <w:sz w:val="17"/>
                <w:szCs w:val="17"/>
                <w:color w:val="0000FF"/>
                <w:w w:val="91"/>
              </w:rPr>
            </w:pPr>
            <w:hyperlink r:id="rId128">
              <w:r>
                <w:rPr>
                  <w:rFonts w:ascii="Arial" w:cs="Arial" w:eastAsia="Arial" w:hAnsi="Arial"/>
                  <w:sz w:val="17"/>
                  <w:szCs w:val="17"/>
                  <w:color w:val="0000FF"/>
                  <w:w w:val="91"/>
                </w:rPr>
                <w:t>2019).</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7"/>
        </w:trPr>
        <w:tc>
          <w:tcPr>
            <w:tcW w:w="1520" w:type="dxa"/>
            <w:vAlign w:val="bottom"/>
            <w:tcBorders>
              <w:top w:val="single" w:sz="8" w:color="CCEEFF"/>
            </w:tcBorders>
          </w:tcPr>
          <w:p>
            <w:pPr>
              <w:ind w:left="20"/>
              <w:spacing w:after="0" w:line="188" w:lineRule="exact"/>
              <w:rPr>
                <w:sz w:val="20"/>
                <w:szCs w:val="20"/>
                <w:color w:val="auto"/>
              </w:rPr>
            </w:pPr>
            <w:r>
              <w:rPr>
                <w:rFonts w:ascii="Arial" w:cs="Arial" w:eastAsia="Arial" w:hAnsi="Arial"/>
                <w:sz w:val="18"/>
                <w:szCs w:val="18"/>
                <w:color w:val="auto"/>
              </w:rPr>
              <w:t>21.1*</w:t>
            </w:r>
          </w:p>
        </w:tc>
        <w:tc>
          <w:tcPr>
            <w:tcW w:w="9820" w:type="dxa"/>
            <w:vAlign w:val="bottom"/>
            <w:tcBorders>
              <w:top w:val="single" w:sz="8" w:color="CCEEFF"/>
            </w:tcBorders>
            <w:gridSpan w:val="15"/>
          </w:tcPr>
          <w:p>
            <w:pPr>
              <w:spacing w:after="0" w:line="188" w:lineRule="exact"/>
              <w:rPr>
                <w:rFonts w:ascii="Arial" w:cs="Arial" w:eastAsia="Arial" w:hAnsi="Arial"/>
                <w:sz w:val="18"/>
                <w:szCs w:val="18"/>
                <w:color w:val="0000FF"/>
              </w:rPr>
            </w:pPr>
            <w:hyperlink w:anchor="page100">
              <w:r>
                <w:rPr>
                  <w:rFonts w:ascii="Arial" w:cs="Arial" w:eastAsia="Arial" w:hAnsi="Arial"/>
                  <w:sz w:val="18"/>
                  <w:szCs w:val="18"/>
                  <w:color w:val="0000FF"/>
                </w:rPr>
                <w:t>List of Subsidiaries of Viper Energy Partners LP.</w:t>
              </w:r>
            </w:hyperlink>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23.1*</w:t>
            </w:r>
          </w:p>
        </w:tc>
        <w:tc>
          <w:tcPr>
            <w:tcW w:w="9820" w:type="dxa"/>
            <w:vAlign w:val="bottom"/>
            <w:gridSpan w:val="15"/>
            <w:shd w:val="clear" w:color="auto" w:fill="CCEEFF"/>
          </w:tcPr>
          <w:p>
            <w:pPr>
              <w:spacing w:after="0" w:line="188" w:lineRule="exact"/>
              <w:rPr>
                <w:rFonts w:ascii="Arial" w:cs="Arial" w:eastAsia="Arial" w:hAnsi="Arial"/>
                <w:sz w:val="18"/>
                <w:szCs w:val="18"/>
                <w:color w:val="0000FF"/>
              </w:rPr>
            </w:pPr>
            <w:hyperlink w:anchor="page101">
              <w:r>
                <w:rPr>
                  <w:rFonts w:ascii="Arial" w:cs="Arial" w:eastAsia="Arial" w:hAnsi="Arial"/>
                  <w:sz w:val="18"/>
                  <w:szCs w:val="18"/>
                  <w:color w:val="0000FF"/>
                </w:rPr>
                <w:t>Consent of Grant Thornton LLP.</w:t>
              </w:r>
            </w:hyperlink>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23.2*</w:t>
            </w:r>
          </w:p>
        </w:tc>
        <w:tc>
          <w:tcPr>
            <w:tcW w:w="9820" w:type="dxa"/>
            <w:vAlign w:val="bottom"/>
            <w:gridSpan w:val="15"/>
          </w:tcPr>
          <w:p>
            <w:pPr>
              <w:spacing w:after="0" w:line="188" w:lineRule="exact"/>
              <w:rPr>
                <w:rFonts w:ascii="Arial" w:cs="Arial" w:eastAsia="Arial" w:hAnsi="Arial"/>
                <w:sz w:val="18"/>
                <w:szCs w:val="18"/>
                <w:color w:val="0000FF"/>
              </w:rPr>
            </w:pPr>
            <w:hyperlink w:anchor="page102">
              <w:r>
                <w:rPr>
                  <w:rFonts w:ascii="Arial" w:cs="Arial" w:eastAsia="Arial" w:hAnsi="Arial"/>
                  <w:sz w:val="18"/>
                  <w:szCs w:val="18"/>
                  <w:color w:val="0000FF"/>
                </w:rPr>
                <w:t>Consent of Ryder Scott Company, LP.</w:t>
              </w:r>
            </w:hyperlink>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31.1*</w:t>
            </w:r>
          </w:p>
        </w:tc>
        <w:tc>
          <w:tcPr>
            <w:tcW w:w="9820" w:type="dxa"/>
            <w:vAlign w:val="bottom"/>
            <w:gridSpan w:val="15"/>
            <w:shd w:val="clear" w:color="auto" w:fill="CCEEFF"/>
          </w:tcPr>
          <w:p>
            <w:pPr>
              <w:spacing w:after="0" w:line="188" w:lineRule="exact"/>
              <w:rPr>
                <w:rFonts w:ascii="Arial" w:cs="Arial" w:eastAsia="Arial" w:hAnsi="Arial"/>
                <w:sz w:val="18"/>
                <w:szCs w:val="18"/>
                <w:color w:val="0000FF"/>
                <w:w w:val="97"/>
              </w:rPr>
            </w:pPr>
            <w:hyperlink w:anchor="page103">
              <w:r>
                <w:rPr>
                  <w:rFonts w:ascii="Arial" w:cs="Arial" w:eastAsia="Arial" w:hAnsi="Arial"/>
                  <w:sz w:val="18"/>
                  <w:szCs w:val="18"/>
                  <w:color w:val="0000FF"/>
                  <w:w w:val="97"/>
                </w:rPr>
                <w:t>Certification of Chief Executive Officer pursuant to Rule 13a-14(a) promulgated under the Securities Exchange Act of 1934, as</w:t>
              </w:r>
            </w:hyperlink>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0000FF"/>
              <w:bottom w:val="single" w:sz="8" w:color="0000FF"/>
            </w:tcBorders>
            <w:gridSpan w:val="2"/>
            <w:shd w:val="clear" w:color="auto" w:fill="CCEEFF"/>
          </w:tcPr>
          <w:p>
            <w:pPr>
              <w:spacing w:after="0" w:line="154" w:lineRule="exact"/>
              <w:rPr>
                <w:rFonts w:ascii="Arial" w:cs="Arial" w:eastAsia="Arial" w:hAnsi="Arial"/>
                <w:sz w:val="17"/>
                <w:szCs w:val="17"/>
                <w:color w:val="0000FF"/>
                <w:w w:val="89"/>
              </w:rPr>
            </w:pPr>
            <w:hyperlink w:anchor="page103">
              <w:r>
                <w:rPr>
                  <w:rFonts w:ascii="Arial" w:cs="Arial" w:eastAsia="Arial" w:hAnsi="Arial"/>
                  <w:sz w:val="17"/>
                  <w:szCs w:val="17"/>
                  <w:color w:val="0000FF"/>
                  <w:w w:val="89"/>
                </w:rPr>
                <w:t>amended.</w:t>
              </w:r>
            </w:hyperlink>
          </w:p>
        </w:tc>
        <w:tc>
          <w:tcPr>
            <w:tcW w:w="904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31.2*</w:t>
            </w:r>
          </w:p>
        </w:tc>
        <w:tc>
          <w:tcPr>
            <w:tcW w:w="9820" w:type="dxa"/>
            <w:vAlign w:val="bottom"/>
            <w:gridSpan w:val="15"/>
          </w:tcPr>
          <w:p>
            <w:pPr>
              <w:spacing w:after="0" w:line="188" w:lineRule="exact"/>
              <w:rPr>
                <w:rFonts w:ascii="Arial" w:cs="Arial" w:eastAsia="Arial" w:hAnsi="Arial"/>
                <w:sz w:val="18"/>
                <w:szCs w:val="18"/>
                <w:color w:val="0000FF"/>
                <w:w w:val="98"/>
              </w:rPr>
            </w:pPr>
            <w:hyperlink w:anchor="page104">
              <w:r>
                <w:rPr>
                  <w:rFonts w:ascii="Arial" w:cs="Arial" w:eastAsia="Arial" w:hAnsi="Arial"/>
                  <w:sz w:val="18"/>
                  <w:szCs w:val="18"/>
                  <w:color w:val="0000FF"/>
                  <w:w w:val="98"/>
                </w:rPr>
                <w:t>Certification of Chief Financial Officer pursuant to Rule 13a-14(a) promulgated under the Securities Exchange Act of 1934, as</w:t>
              </w:r>
            </w:hyperlink>
          </w:p>
        </w:tc>
      </w:tr>
      <w:tr>
        <w:trPr>
          <w:trHeight w:val="154"/>
        </w:trPr>
        <w:tc>
          <w:tcPr>
            <w:tcW w:w="152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w:anchor="page104">
              <w:r>
                <w:rPr>
                  <w:rFonts w:ascii="Arial" w:cs="Arial" w:eastAsia="Arial" w:hAnsi="Arial"/>
                  <w:sz w:val="17"/>
                  <w:szCs w:val="17"/>
                  <w:color w:val="0000FF"/>
                </w:rPr>
                <w:t>amended.</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32.1++</w:t>
            </w:r>
          </w:p>
        </w:tc>
        <w:tc>
          <w:tcPr>
            <w:tcW w:w="9820" w:type="dxa"/>
            <w:vAlign w:val="bottom"/>
            <w:gridSpan w:val="15"/>
            <w:shd w:val="clear" w:color="auto" w:fill="CCEEFF"/>
          </w:tcPr>
          <w:p>
            <w:pPr>
              <w:spacing w:after="0" w:line="188" w:lineRule="exact"/>
              <w:rPr>
                <w:rFonts w:ascii="Arial" w:cs="Arial" w:eastAsia="Arial" w:hAnsi="Arial"/>
                <w:sz w:val="18"/>
                <w:szCs w:val="18"/>
                <w:color w:val="0000FF"/>
                <w:w w:val="96"/>
              </w:rPr>
            </w:pPr>
            <w:hyperlink w:anchor="page105">
              <w:r>
                <w:rPr>
                  <w:rFonts w:ascii="Arial" w:cs="Arial" w:eastAsia="Arial" w:hAnsi="Arial"/>
                  <w:sz w:val="18"/>
                  <w:szCs w:val="18"/>
                  <w:color w:val="0000FF"/>
                  <w:w w:val="96"/>
                </w:rPr>
                <w:t>Certification of Chief Executive Officer and Chief Financial Officer pursuant to Rule 13a-14(b) promulgated under the Securities</w:t>
              </w:r>
            </w:hyperlink>
          </w:p>
        </w:tc>
      </w:tr>
      <w:tr>
        <w:trPr>
          <w:trHeight w:val="174"/>
        </w:trPr>
        <w:tc>
          <w:tcPr>
            <w:tcW w:w="152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12"/>
            <w:shd w:val="clear" w:color="auto" w:fill="CCEEFF"/>
          </w:tcPr>
          <w:p>
            <w:pPr>
              <w:spacing w:after="0" w:line="154" w:lineRule="exact"/>
              <w:rPr>
                <w:rFonts w:ascii="Arial" w:cs="Arial" w:eastAsia="Arial" w:hAnsi="Arial"/>
                <w:sz w:val="17"/>
                <w:szCs w:val="17"/>
                <w:color w:val="0000FF"/>
              </w:rPr>
            </w:pPr>
            <w:hyperlink w:anchor="page105">
              <w:r>
                <w:rPr>
                  <w:rFonts w:ascii="Arial" w:cs="Arial" w:eastAsia="Arial" w:hAnsi="Arial"/>
                  <w:sz w:val="17"/>
                  <w:szCs w:val="17"/>
                  <w:color w:val="0000FF"/>
                </w:rPr>
                <w:t>Exchange Act of 1934, as amended, and Section 1350 of Chapter 63 of Title 18 of the United States Code.</w:t>
              </w:r>
            </w:hyperlink>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187"/>
        </w:trPr>
        <w:tc>
          <w:tcPr>
            <w:tcW w:w="1520" w:type="dxa"/>
            <w:vAlign w:val="bottom"/>
            <w:tcBorders>
              <w:top w:val="single" w:sz="8" w:color="CCEEFF"/>
            </w:tcBorders>
          </w:tcPr>
          <w:p>
            <w:pPr>
              <w:ind w:left="60"/>
              <w:spacing w:after="0" w:line="188" w:lineRule="exact"/>
              <w:rPr>
                <w:sz w:val="20"/>
                <w:szCs w:val="20"/>
                <w:color w:val="auto"/>
              </w:rPr>
            </w:pPr>
            <w:r>
              <w:rPr>
                <w:rFonts w:ascii="Arial" w:cs="Arial" w:eastAsia="Arial" w:hAnsi="Arial"/>
                <w:sz w:val="18"/>
                <w:szCs w:val="18"/>
                <w:color w:val="auto"/>
              </w:rPr>
              <w:t>99.1*</w:t>
            </w:r>
          </w:p>
        </w:tc>
        <w:tc>
          <w:tcPr>
            <w:tcW w:w="7600" w:type="dxa"/>
            <w:vAlign w:val="bottom"/>
            <w:tcBorders>
              <w:top w:val="single" w:sz="8" w:color="0000FF"/>
            </w:tcBorders>
            <w:gridSpan w:val="7"/>
          </w:tcPr>
          <w:p>
            <w:pPr>
              <w:spacing w:after="0" w:line="188" w:lineRule="exact"/>
              <w:rPr>
                <w:rFonts w:ascii="Arial" w:cs="Arial" w:eastAsia="Arial" w:hAnsi="Arial"/>
                <w:sz w:val="18"/>
                <w:szCs w:val="18"/>
                <w:color w:val="0000FF"/>
              </w:rPr>
            </w:pPr>
            <w:hyperlink w:anchor="page106">
              <w:r>
                <w:rPr>
                  <w:rFonts w:ascii="Arial" w:cs="Arial" w:eastAsia="Arial" w:hAnsi="Arial"/>
                  <w:sz w:val="18"/>
                  <w:szCs w:val="18"/>
                  <w:color w:val="0000FF"/>
                </w:rPr>
                <w:t>Reserve Report of Ryder Scott Company, L.P.</w:t>
              </w:r>
            </w:hyperlink>
          </w:p>
        </w:tc>
        <w:tc>
          <w:tcPr>
            <w:tcW w:w="2220" w:type="dxa"/>
            <w:vAlign w:val="bottom"/>
            <w:tcBorders>
              <w:top w:val="single" w:sz="8" w:color="CCEEFF"/>
            </w:tcBorders>
            <w:gridSpan w:val="8"/>
          </w:tcPr>
          <w:p>
            <w:pPr>
              <w:spacing w:after="0"/>
              <w:rPr>
                <w:sz w:val="16"/>
                <w:szCs w:val="16"/>
                <w:color w:val="auto"/>
              </w:rPr>
            </w:pPr>
          </w:p>
        </w:tc>
      </w:tr>
      <w:tr>
        <w:trPr>
          <w:trHeight w:val="127"/>
        </w:trPr>
        <w:tc>
          <w:tcPr>
            <w:tcW w:w="1520" w:type="dxa"/>
            <w:vAlign w:val="bottom"/>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15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101</w:t>
            </w:r>
          </w:p>
        </w:tc>
        <w:tc>
          <w:tcPr>
            <w:tcW w:w="9820" w:type="dxa"/>
            <w:vAlign w:val="bottom"/>
            <w:gridSpan w:val="15"/>
            <w:shd w:val="clear" w:color="auto" w:fill="CCEEFF"/>
          </w:tcPr>
          <w:p>
            <w:pPr>
              <w:ind w:left="40"/>
              <w:spacing w:after="0" w:line="174" w:lineRule="exact"/>
              <w:rPr>
                <w:sz w:val="20"/>
                <w:szCs w:val="20"/>
                <w:color w:val="auto"/>
              </w:rPr>
            </w:pPr>
            <w:r>
              <w:rPr>
                <w:rFonts w:ascii="Arial" w:cs="Arial" w:eastAsia="Arial" w:hAnsi="Arial"/>
                <w:sz w:val="18"/>
                <w:szCs w:val="18"/>
                <w:color w:val="auto"/>
                <w:w w:val="97"/>
              </w:rPr>
              <w:t>The following financial information from the Registrant’s Annual Report on Form 10-K for the year ended December 31, 2021,</w:t>
            </w:r>
          </w:p>
        </w:tc>
      </w:tr>
      <w:tr>
        <w:trPr>
          <w:trHeight w:val="174"/>
        </w:trPr>
        <w:tc>
          <w:tcPr>
            <w:tcW w:w="1520" w:type="dxa"/>
            <w:vAlign w:val="bottom"/>
            <w:shd w:val="clear" w:color="auto" w:fill="CCEEFF"/>
          </w:tcPr>
          <w:p>
            <w:pPr>
              <w:spacing w:after="0"/>
              <w:rPr>
                <w:sz w:val="15"/>
                <w:szCs w:val="15"/>
                <w:color w:val="auto"/>
              </w:rPr>
            </w:pPr>
          </w:p>
        </w:tc>
        <w:tc>
          <w:tcPr>
            <w:tcW w:w="9820" w:type="dxa"/>
            <w:vAlign w:val="bottom"/>
            <w:gridSpan w:val="15"/>
            <w:shd w:val="clear" w:color="auto" w:fill="CCEEFF"/>
          </w:tcPr>
          <w:p>
            <w:pPr>
              <w:ind w:left="40"/>
              <w:spacing w:after="0" w:line="174" w:lineRule="exact"/>
              <w:rPr>
                <w:sz w:val="20"/>
                <w:szCs w:val="20"/>
                <w:color w:val="auto"/>
              </w:rPr>
            </w:pPr>
            <w:r>
              <w:rPr>
                <w:rFonts w:ascii="Arial" w:cs="Arial" w:eastAsia="Arial" w:hAnsi="Arial"/>
                <w:sz w:val="18"/>
                <w:szCs w:val="18"/>
                <w:color w:val="auto"/>
                <w:w w:val="93"/>
              </w:rPr>
              <w:t>formatted in Inline XBRL: (i) Consolidated Balance Sheets, (ii) Consolidated Statements of Operations, (iii) Consolidated Statement</w:t>
            </w:r>
          </w:p>
        </w:tc>
      </w:tr>
      <w:tr>
        <w:trPr>
          <w:trHeight w:val="248"/>
        </w:trPr>
        <w:tc>
          <w:tcPr>
            <w:tcW w:w="152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8"/>
                <w:szCs w:val="18"/>
                <w:color w:val="auto"/>
                <w:w w:val="93"/>
              </w:rPr>
              <w:t>of Changes in Unitholders’ Equity, (iv) Consolidated Statements of Cash Flows and (v) Notes to Consolidated Financial Statements.</w:t>
            </w:r>
          </w:p>
        </w:tc>
      </w:tr>
      <w:tr>
        <w:trPr>
          <w:trHeight w:val="227"/>
        </w:trPr>
        <w:tc>
          <w:tcPr>
            <w:tcW w:w="1520" w:type="dxa"/>
            <w:vAlign w:val="bottom"/>
          </w:tcPr>
          <w:p>
            <w:pPr>
              <w:ind w:left="20"/>
              <w:spacing w:after="0"/>
              <w:rPr>
                <w:sz w:val="20"/>
                <w:szCs w:val="20"/>
                <w:color w:val="auto"/>
              </w:rPr>
            </w:pPr>
            <w:r>
              <w:rPr>
                <w:rFonts w:ascii="Arial" w:cs="Arial" w:eastAsia="Arial" w:hAnsi="Arial"/>
                <w:sz w:val="18"/>
                <w:szCs w:val="18"/>
                <w:color w:val="auto"/>
              </w:rPr>
              <w:t>104.0</w:t>
            </w:r>
          </w:p>
        </w:tc>
        <w:tc>
          <w:tcPr>
            <w:tcW w:w="9820" w:type="dxa"/>
            <w:vAlign w:val="bottom"/>
            <w:gridSpan w:val="15"/>
          </w:tcPr>
          <w:p>
            <w:pPr>
              <w:ind w:left="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81" w:lineRule="exact"/>
        <w:rPr>
          <w:sz w:val="20"/>
          <w:szCs w:val="20"/>
          <w:color w:val="auto"/>
        </w:rPr>
      </w:pPr>
    </w:p>
    <w:p>
      <w:pPr>
        <w:ind w:left="540" w:hanging="475"/>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8" w:lineRule="exact"/>
        <w:rPr>
          <w:sz w:val="20"/>
          <w:szCs w:val="20"/>
          <w:color w:val="auto"/>
        </w:rPr>
      </w:pPr>
    </w:p>
    <w:p>
      <w:pPr>
        <w:ind w:left="540" w:hanging="475"/>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28" w:lineRule="exact"/>
        <w:rPr>
          <w:sz w:val="20"/>
          <w:szCs w:val="20"/>
          <w:color w:val="auto"/>
        </w:rPr>
      </w:pPr>
    </w:p>
    <w:p>
      <w:pPr>
        <w:jc w:val="both"/>
        <w:ind w:left="540" w:right="100" w:hanging="475"/>
        <w:spacing w:after="0" w:line="22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08" w:lineRule="exact"/>
        <w:rPr>
          <w:sz w:val="20"/>
          <w:szCs w:val="20"/>
          <w:color w:val="auto"/>
        </w:rPr>
      </w:pPr>
    </w:p>
    <w:p>
      <w:pPr>
        <w:ind w:left="500" w:right="100" w:hanging="435"/>
        <w:spacing w:after="0" w:line="232"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Schedules (or similar attachments) have been omitted pursuant to Item 601(a)(5) of Regulation S-K and will be provided to the Securities and Exchange Commission upon request.</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tab/>
        <w:t>FORM 10-K SUMMARY</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20" w:firstLine="643"/>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11220" w:type="dxa"/>
            <w:vAlign w:val="bottom"/>
            <w:gridSpan w:val="2"/>
          </w:tcPr>
          <w:p>
            <w:pPr>
              <w:ind w:left="5260"/>
              <w:spacing w:after="0"/>
              <w:rPr>
                <w:sz w:val="20"/>
                <w:szCs w:val="20"/>
                <w:color w:val="auto"/>
              </w:rPr>
            </w:pPr>
            <w:r>
              <w:rPr>
                <w:rFonts w:ascii="Arial" w:cs="Arial" w:eastAsia="Arial" w:hAnsi="Arial"/>
                <w:sz w:val="18"/>
                <w:szCs w:val="18"/>
                <w:b w:val="1"/>
                <w:bCs w:val="1"/>
                <w:color w:val="auto"/>
              </w:rPr>
              <w:t>VIPER ENERGY PARTNERS LP</w:t>
            </w:r>
          </w:p>
        </w:tc>
      </w:tr>
      <w:tr>
        <w:trPr>
          <w:trHeight w:val="228"/>
        </w:trPr>
        <w:tc>
          <w:tcPr>
            <w:tcW w:w="5960" w:type="dxa"/>
            <w:vAlign w:val="bottom"/>
          </w:tcPr>
          <w:p>
            <w:pPr>
              <w:spacing w:after="0"/>
              <w:rPr>
                <w:sz w:val="20"/>
                <w:szCs w:val="20"/>
                <w:color w:val="auto"/>
              </w:rPr>
            </w:pPr>
            <w:r>
              <w:rPr>
                <w:rFonts w:ascii="Arial" w:cs="Arial" w:eastAsia="Arial" w:hAnsi="Arial"/>
                <w:sz w:val="18"/>
                <w:szCs w:val="18"/>
                <w:color w:val="auto"/>
              </w:rPr>
              <w:t>Date:   February 24, 2022</w:t>
            </w:r>
          </w:p>
        </w:tc>
        <w:tc>
          <w:tcPr>
            <w:tcW w:w="5260" w:type="dxa"/>
            <w:vAlign w:val="bottom"/>
          </w:tcPr>
          <w:p>
            <w:pPr>
              <w:spacing w:after="0"/>
              <w:rPr>
                <w:sz w:val="19"/>
                <w:szCs w:val="19"/>
                <w:color w:val="auto"/>
              </w:rPr>
            </w:pPr>
          </w:p>
        </w:tc>
      </w:tr>
      <w:tr>
        <w:trPr>
          <w:trHeight w:val="228"/>
        </w:trPr>
        <w:tc>
          <w:tcPr>
            <w:tcW w:w="5960" w:type="dxa"/>
            <w:vAlign w:val="bottom"/>
          </w:tcPr>
          <w:p>
            <w:pPr>
              <w:ind w:left="5260"/>
              <w:spacing w:after="0"/>
              <w:rPr>
                <w:sz w:val="20"/>
                <w:szCs w:val="20"/>
                <w:color w:val="auto"/>
              </w:rPr>
            </w:pPr>
            <w:r>
              <w:rPr>
                <w:rFonts w:ascii="Arial" w:cs="Arial" w:eastAsia="Arial" w:hAnsi="Arial"/>
                <w:sz w:val="18"/>
                <w:szCs w:val="18"/>
                <w:color w:val="auto"/>
              </w:rPr>
              <w:t>By:</w:t>
            </w:r>
          </w:p>
        </w:tc>
        <w:tc>
          <w:tcPr>
            <w:tcW w:w="526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2"/>
        </w:trPr>
        <w:tc>
          <w:tcPr>
            <w:tcW w:w="5960" w:type="dxa"/>
            <w:vAlign w:val="bottom"/>
          </w:tcPr>
          <w:p>
            <w:pPr>
              <w:ind w:left="52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960" w:type="dxa"/>
            <w:vAlign w:val="bottom"/>
          </w:tcPr>
          <w:p>
            <w:pPr>
              <w:ind w:left="526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960" w:type="dxa"/>
            <w:vAlign w:val="bottom"/>
          </w:tcPr>
          <w:p>
            <w:pPr>
              <w:ind w:left="526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22"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14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0"/>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and 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2"/>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Chief Financial Officer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2"/>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 Wesley Perry</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W. Wesley Perry</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Spencer D. Armour</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Spencer D. Armour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James L. Rubin</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James L. Rubin</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Rosalind Redfern Grover</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24, 2022</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Rosalind Redfern Grover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Unitholders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audited the accompanying consolidated balance sheets of Viper Energy Partners LP (a Delaware limited partnership) and subsidiary (the “Partnership”) as of December 31, 2021 and 2020, the related consolidated statements of operations, unitholders’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Partnership’s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24, 2022 expressed an unqualified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Estimation of proved reserves as it relates to the calculation and recognition of depletion expense, the evaluation of impairment, and the valuation of oil and gas properties in the Swallowtail Acquisition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described in Note 2 to the financial statements, the Partnership accounts for its oil and gas properties using the full cost method of accounting, which requires management to make estimates of proved reserve volumes and future revenues to record depletion expense and measure its oil and gas properties for potential impairment. Additionally, as described in Note 4 to the financial statements, the Partnership entered into a significant acquisition of mineral and royalty interests from the Swallowtail entities during the year. To estimate the volume of proved reserves and future revenues, management makes significant estimates and assumptions including forecasting the production decline rate of producing properties and forecasting the timing and volume of production associated with the operator’s development plan for proved undeveloped properties. Management also utilizes an estimated fair value pricing model for the valuation of acquired proved producing reserves.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gas properties, including acquired reserves, due to its impact on depletion expense, impairment evaluation, and acquisition accounting, as a critical audit matter.</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principal consideration for our determination that the estimation of proved reserves as a critical audit matter is that relatively minor changes in certain inputs and assumptions, which require a high degree of subjectivity, necessary to estimate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volume and future revenues of the Partnership’s proved reserves could have a significant impact on the measurement of depletion expense or impairment expense, and the fair value of the acquired oil and gas properties. In turn, auditing those inputs and assumptions required subjective and complex auditor judgment.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114" w:lineRule="exact"/>
        <w:rPr>
          <w:sz w:val="20"/>
          <w:szCs w:val="20"/>
          <w:color w:val="auto"/>
        </w:rPr>
      </w:pPr>
    </w:p>
    <w:p>
      <w:pPr>
        <w:jc w:val="both"/>
        <w:ind w:left="640" w:hanging="312"/>
        <w:spacing w:after="0" w:line="290" w:lineRule="auto"/>
        <w:tabs>
          <w:tab w:leader="none" w:pos="6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tested the design and operating effectiveness of key controls relating to the preparation of the ceiling test calculation, management’s estimation of proved reserves for the purpose of estimating depletion expense, assessing the Partnership’s oil and gas properties for potential impairment, and management’s estimation of the fair value of the acquired mineral and royalty interests. Specifically, these controls related to the use of historical information in the estimation of proved reserves derived from the Partnership’s accounting records, the management review controls on information provided to the reservoir engineering specialists, the management review controls on the final proved reserve report and on the final fair value reserve report of the acquired mineral and royalty interests prepared by the Partnership’s specialists.</w:t>
      </w:r>
    </w:p>
    <w:p>
      <w:pPr>
        <w:spacing w:after="0" w:line="58" w:lineRule="exact"/>
        <w:rPr>
          <w:rFonts w:ascii="Arial" w:cs="Arial" w:eastAsia="Arial" w:hAnsi="Arial"/>
          <w:sz w:val="16"/>
          <w:szCs w:val="16"/>
          <w:color w:val="auto"/>
        </w:rPr>
      </w:pPr>
    </w:p>
    <w:p>
      <w:pPr>
        <w:jc w:val="both"/>
        <w:ind w:left="640" w:hanging="312"/>
        <w:spacing w:after="0" w:line="26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Partnership’s reservoir engineering specialists and their relationship to the Partnership, made inquiries of those reservoir engineers regarding the process followed and judgments made to estimate the Partnership’s proved reserve volumes, and read the reserve report prepared by the Partnership’s specialists.</w:t>
      </w:r>
    </w:p>
    <w:p>
      <w:pPr>
        <w:spacing w:after="0" w:line="77" w:lineRule="exact"/>
        <w:rPr>
          <w:rFonts w:ascii="Arial" w:cs="Arial" w:eastAsia="Arial" w:hAnsi="Arial"/>
          <w:sz w:val="18"/>
          <w:szCs w:val="18"/>
          <w:color w:val="auto"/>
        </w:rPr>
      </w:pPr>
    </w:p>
    <w:p>
      <w:pPr>
        <w:jc w:val="both"/>
        <w:ind w:left="640" w:hanging="312"/>
        <w:spacing w:after="0" w:line="256"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key, sensitive inputs and assumptions used to determine proved reserve volumes and other cash flow inputs and assumptions are derived from the Partnership’s accounting records, such as historical pricing differentials and ownership interests, we tested management’s process for determining the assumptions, including examining the underlying support, on a sample basis. Specifically, our audit procedures involved testing management’s assumptions as follows:</w:t>
      </w:r>
    </w:p>
    <w:p>
      <w:pPr>
        <w:spacing w:after="0" w:line="80" w:lineRule="exact"/>
        <w:rPr>
          <w:rFonts w:ascii="Arial" w:cs="Arial" w:eastAsia="Arial" w:hAnsi="Arial"/>
          <w:sz w:val="18"/>
          <w:szCs w:val="18"/>
          <w:color w:val="auto"/>
        </w:rPr>
      </w:pPr>
    </w:p>
    <w:p>
      <w:pPr>
        <w:ind w:left="1300" w:hanging="329"/>
        <w:spacing w:after="0" w:line="271"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Compared the estimated pricing differentials used in the reserve report to realized prices related to revenue transactions recorded in the current year and examined contractual support for the pricing differentials;</w:t>
      </w:r>
    </w:p>
    <w:p>
      <w:pPr>
        <w:spacing w:after="0" w:line="68" w:lineRule="exact"/>
        <w:rPr>
          <w:rFonts w:ascii="Arial" w:cs="Arial" w:eastAsia="Arial" w:hAnsi="Arial"/>
          <w:sz w:val="18"/>
          <w:szCs w:val="18"/>
          <w:color w:val="auto"/>
        </w:rPr>
      </w:pPr>
    </w:p>
    <w:p>
      <w:pPr>
        <w:ind w:left="1280" w:hanging="30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net revenue interests used in the reserve report by inspecting a sample of land and division order records;</w:t>
      </w:r>
    </w:p>
    <w:p>
      <w:pPr>
        <w:spacing w:after="0" w:line="114" w:lineRule="exact"/>
        <w:rPr>
          <w:rFonts w:ascii="Arial" w:cs="Arial" w:eastAsia="Arial" w:hAnsi="Arial"/>
          <w:sz w:val="18"/>
          <w:szCs w:val="18"/>
          <w:color w:val="auto"/>
        </w:rPr>
      </w:pPr>
    </w:p>
    <w:p>
      <w:pPr>
        <w:ind w:left="1300" w:hanging="329"/>
        <w:spacing w:after="0" w:line="301" w:lineRule="auto"/>
        <w:tabs>
          <w:tab w:leader="none" w:pos="129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Partnership’s evidence supporting the amount of proved undeveloped properties reflected in the reserve report by examining historical conversion rates and support for the operator’s intent to develop the proved undeveloped properties;</w:t>
      </w:r>
    </w:p>
    <w:p>
      <w:pPr>
        <w:spacing w:after="0" w:line="45" w:lineRule="exact"/>
        <w:rPr>
          <w:rFonts w:ascii="Arial" w:cs="Arial" w:eastAsia="Arial" w:hAnsi="Arial"/>
          <w:sz w:val="17"/>
          <w:szCs w:val="17"/>
          <w:color w:val="auto"/>
        </w:rPr>
      </w:pPr>
    </w:p>
    <w:p>
      <w:pPr>
        <w:ind w:left="1300" w:hanging="329"/>
        <w:spacing w:after="0" w:line="271"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estimated ultimate recovery of proved undeveloped properties to the estimated ultimate recovery of comparable proved developed producing properties; and</w:t>
      </w:r>
    </w:p>
    <w:p>
      <w:pPr>
        <w:spacing w:after="0" w:line="68" w:lineRule="exact"/>
        <w:rPr>
          <w:rFonts w:ascii="Arial" w:cs="Arial" w:eastAsia="Arial" w:hAnsi="Arial"/>
          <w:sz w:val="18"/>
          <w:szCs w:val="18"/>
          <w:color w:val="auto"/>
        </w:rPr>
      </w:pPr>
    </w:p>
    <w:p>
      <w:pPr>
        <w:ind w:left="1280" w:hanging="309"/>
        <w:spacing w:after="0"/>
        <w:tabs>
          <w:tab w:leader="none" w:pos="12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Applied analytical procedures to the reserve report by comparing to historical actual results and to the prior year reserve report.</w:t>
      </w:r>
    </w:p>
    <w:p>
      <w:pPr>
        <w:spacing w:after="0" w:line="125" w:lineRule="exact"/>
        <w:rPr>
          <w:rFonts w:ascii="Arial" w:cs="Arial" w:eastAsia="Arial" w:hAnsi="Arial"/>
          <w:sz w:val="17"/>
          <w:szCs w:val="17"/>
          <w:color w:val="auto"/>
        </w:rPr>
      </w:pPr>
    </w:p>
    <w:p>
      <w:pPr>
        <w:jc w:val="both"/>
        <w:ind w:left="640" w:hanging="312"/>
        <w:spacing w:after="0" w:line="26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key, sensitive inputs and assumptions used to determine the fair value of the acquired proved reserve volumes and other cash flow inputs were analyzed by testing management’s process for determining the assumptions, including examining the underlying support. Specifically, our audit procedures involved testing management’s assumptions as follows:</w:t>
      </w:r>
    </w:p>
    <w:p>
      <w:pPr>
        <w:spacing w:after="0" w:line="211" w:lineRule="exact"/>
        <w:rPr>
          <w:rFonts w:ascii="Arial" w:cs="Arial" w:eastAsia="Arial" w:hAnsi="Arial"/>
          <w:sz w:val="18"/>
          <w:szCs w:val="18"/>
          <w:color w:val="auto"/>
        </w:rPr>
      </w:pPr>
    </w:p>
    <w:p>
      <w:pPr>
        <w:ind w:left="1280" w:hanging="309"/>
        <w:spacing w:after="0"/>
        <w:tabs>
          <w:tab w:leader="none" w:pos="12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Compared the fair value pricing used in the acquisition reserve report to published product pricing on the acquisition close date;</w:t>
      </w:r>
    </w:p>
    <w:p>
      <w:pPr>
        <w:spacing w:after="0" w:line="125" w:lineRule="exact"/>
        <w:rPr>
          <w:rFonts w:ascii="Arial" w:cs="Arial" w:eastAsia="Arial" w:hAnsi="Arial"/>
          <w:sz w:val="17"/>
          <w:szCs w:val="17"/>
          <w:color w:val="auto"/>
        </w:rPr>
      </w:pPr>
    </w:p>
    <w:p>
      <w:pPr>
        <w:ind w:left="1280" w:hanging="309"/>
        <w:spacing w:after="0"/>
        <w:tabs>
          <w:tab w:leader="none" w:pos="12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Inspected, on a sample basis, the net revenue interests used in the acquisition reserve report to land and division order records;</w:t>
      </w:r>
    </w:p>
    <w:p>
      <w:pPr>
        <w:spacing w:after="0" w:line="125" w:lineRule="exact"/>
        <w:rPr>
          <w:rFonts w:ascii="Arial" w:cs="Arial" w:eastAsia="Arial" w:hAnsi="Arial"/>
          <w:sz w:val="17"/>
          <w:szCs w:val="17"/>
          <w:color w:val="auto"/>
        </w:rPr>
      </w:pPr>
    </w:p>
    <w:p>
      <w:pPr>
        <w:ind w:left="1280" w:hanging="30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Analyzed, on a sample basis, management’s estimated future production volumes and the production decline curves; and</w:t>
      </w:r>
    </w:p>
    <w:p>
      <w:pPr>
        <w:spacing w:after="0" w:line="114" w:lineRule="exact"/>
        <w:rPr>
          <w:rFonts w:ascii="Arial" w:cs="Arial" w:eastAsia="Arial" w:hAnsi="Arial"/>
          <w:sz w:val="18"/>
          <w:szCs w:val="18"/>
          <w:color w:val="auto"/>
        </w:rPr>
      </w:pPr>
    </w:p>
    <w:p>
      <w:pPr>
        <w:ind w:left="1280" w:hanging="30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Compared the acreage value allocated, on a per acre basis, to other recent acquisitions in the same or similar locations.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8"/>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w w:val="96"/>
              </w:rPr>
              <w:t>(In thousands, except unit amounts)</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6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Royalty income receivable (net of allowance for credit losses)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receivable—related party</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7"/>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1"/>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8"/>
                <w:szCs w:val="18"/>
                <w:color w:val="auto"/>
              </w:rPr>
              <w:t>Property:</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66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w w:val="93"/>
              </w:rPr>
              <w:t>Oil and natural gas interests, full cost method of accounting ($1,640,172 and $1,364,906 excluded</w:t>
            </w:r>
          </w:p>
        </w:tc>
        <w:tc>
          <w:tcPr>
            <w:tcW w:w="3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3,513,590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2,895,542</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depletion at December 31, 2021 and December 31, 2020, respectively)</w:t>
            </w:r>
          </w:p>
        </w:tc>
        <w:tc>
          <w:tcPr>
            <w:tcW w:w="3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depletion and impairment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Property, net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2,920,115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2,405,054</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3,034,021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60" w:type="dxa"/>
            <w:vAlign w:val="bottom"/>
            <w:shd w:val="clear" w:color="auto" w:fill="CCEEFF"/>
          </w:tcPr>
          <w:p>
            <w:pPr>
              <w:ind w:left="2640"/>
              <w:spacing w:after="0" w:line="181" w:lineRule="exact"/>
              <w:rPr>
                <w:sz w:val="20"/>
                <w:szCs w:val="20"/>
                <w:color w:val="auto"/>
              </w:rPr>
            </w:pPr>
            <w:r>
              <w:rPr>
                <w:rFonts w:ascii="Arial" w:cs="Arial" w:eastAsia="Arial" w:hAnsi="Arial"/>
                <w:sz w:val="16"/>
                <w:szCs w:val="16"/>
                <w:b w:val="1"/>
                <w:bCs w:val="1"/>
                <w:color w:val="auto"/>
              </w:rPr>
              <w:t>Liabilities and Unitholders’ Equity</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801,193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600,542</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Unitholders’ equity: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Partner</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74"/>
        </w:trPr>
        <w:tc>
          <w:tcPr>
            <w:tcW w:w="7660" w:type="dxa"/>
            <w:vAlign w:val="bottom"/>
          </w:tcPr>
          <w:p>
            <w:pPr>
              <w:ind w:left="340"/>
              <w:spacing w:after="0" w:line="174" w:lineRule="exact"/>
              <w:rPr>
                <w:sz w:val="20"/>
                <w:szCs w:val="20"/>
                <w:color w:val="auto"/>
              </w:rPr>
            </w:pPr>
            <w:r>
              <w:rPr>
                <w:rFonts w:ascii="Arial" w:cs="Arial" w:eastAsia="Arial" w:hAnsi="Arial"/>
                <w:sz w:val="18"/>
                <w:szCs w:val="18"/>
                <w:color w:val="auto"/>
                <w:w w:val="92"/>
              </w:rPr>
              <w:t>Common units (78,546,403 units issued and outstanding as of December 31, 2021 and 65,817,281</w:t>
            </w:r>
          </w:p>
        </w:tc>
        <w:tc>
          <w:tcPr>
            <w:tcW w:w="3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813,161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633,415</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units issued and outstanding as of December 31, 2020)</w:t>
            </w:r>
          </w:p>
        </w:tc>
        <w:tc>
          <w:tcPr>
            <w:tcW w:w="3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Class B units (90,709,946 units issued and outstanding December 31, 2021 and December 31, 2020)</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Viper Energy Partners LP unitholders’ equity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814,821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2,232,828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r>
        <w:trPr>
          <w:trHeight w:val="246"/>
        </w:trPr>
        <w:tc>
          <w:tcPr>
            <w:tcW w:w="7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unitholders’ equity</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3,034,021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322" w:right="3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6"/>
                <w:szCs w:val="16"/>
                <w:b w:val="1"/>
                <w:bCs w:val="1"/>
                <w:color w:val="auto"/>
                <w:w w:val="90"/>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4"/>
              </w:rPr>
              <w:t>2019</w:t>
            </w:r>
          </w:p>
        </w:tc>
      </w:tr>
      <w:tr>
        <w:trPr>
          <w:trHeight w:val="208"/>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center"/>
              <w:ind w:left="472"/>
              <w:spacing w:after="0"/>
              <w:rPr>
                <w:sz w:val="20"/>
                <w:szCs w:val="20"/>
                <w:color w:val="auto"/>
              </w:rPr>
            </w:pPr>
            <w:r>
              <w:rPr>
                <w:rFonts w:ascii="Arial" w:cs="Arial" w:eastAsia="Arial" w:hAnsi="Arial"/>
                <w:sz w:val="16"/>
                <w:szCs w:val="16"/>
                <w:b w:val="1"/>
                <w:bCs w:val="1"/>
                <w:color w:val="auto"/>
                <w:w w:val="90"/>
              </w:rPr>
              <w:t>(In thousands, except per unit amounts)</w:t>
            </w:r>
          </w:p>
        </w:tc>
        <w:tc>
          <w:tcPr>
            <w:tcW w:w="880" w:type="dxa"/>
            <w:vAlign w:val="bottom"/>
          </w:tcPr>
          <w:p>
            <w:pPr>
              <w:spacing w:after="0"/>
              <w:rPr>
                <w:sz w:val="18"/>
                <w:szCs w:val="18"/>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Royalty income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501,534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246,981</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293,811</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bonus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21"/>
        </w:trPr>
        <w:tc>
          <w:tcPr>
            <w:tcW w:w="6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298,283</w:t>
            </w: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19,076</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78,178</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r>
      <w:tr>
        <w:trPr>
          <w:trHeight w:val="221"/>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104,743</w:t>
            </w:r>
          </w:p>
        </w:tc>
      </w:tr>
      <w:tr>
        <w:trPr>
          <w:trHeight w:val="221"/>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193,540</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(21,076)</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4,832</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21"/>
        </w:trPr>
        <w:tc>
          <w:tcPr>
            <w:tcW w:w="67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179,628</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(41,582)</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221,210</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174,929</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28"/>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61,744</w:t>
            </w:r>
          </w:p>
        </w:tc>
      </w:tr>
      <w:tr>
        <w:trPr>
          <w:trHeight w:val="227"/>
        </w:trPr>
        <w:tc>
          <w:tcPr>
            <w:tcW w:w="67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Consolidated Unitholders’ Equity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Limited Partners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Class B</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1,237,042</w:t>
            </w:r>
          </w:p>
        </w:tc>
        <w:tc>
          <w:tcPr>
            <w:tcW w:w="0" w:type="dxa"/>
            <w:vAlign w:val="bottom"/>
          </w:tcPr>
          <w:p>
            <w:pPr>
              <w:spacing w:after="0"/>
              <w:rPr>
                <w:sz w:val="1"/>
                <w:szCs w:val="1"/>
                <w:color w:val="auto"/>
              </w:rPr>
            </w:pPr>
          </w:p>
        </w:tc>
      </w:tr>
      <w:tr>
        <w:trPr>
          <w:trHeight w:val="174"/>
        </w:trPr>
        <w:tc>
          <w:tcPr>
            <w:tcW w:w="3060" w:type="dxa"/>
            <w:vAlign w:val="bottom"/>
          </w:tcPr>
          <w:p>
            <w:pPr>
              <w:ind w:left="200"/>
              <w:spacing w:after="0" w:line="174" w:lineRule="exact"/>
              <w:rPr>
                <w:sz w:val="20"/>
                <w:szCs w:val="20"/>
                <w:color w:val="auto"/>
              </w:rPr>
            </w:pPr>
            <w:r>
              <w:rPr>
                <w:rFonts w:ascii="Arial" w:cs="Arial" w:eastAsia="Arial" w:hAnsi="Arial"/>
                <w:sz w:val="18"/>
                <w:szCs w:val="18"/>
                <w:color w:val="auto"/>
              </w:rPr>
              <w:t>Net proceeds from the issuance of</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340,860</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340,860</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common units - public</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Common units issued for acquisition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Offering costs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7"/>
        </w:trPr>
        <w:tc>
          <w:tcPr>
            <w:tcW w:w="3060" w:type="dxa"/>
            <w:vAlign w:val="bottom"/>
          </w:tcPr>
          <w:p>
            <w:pPr>
              <w:ind w:left="220"/>
              <w:spacing w:after="0"/>
              <w:rPr>
                <w:sz w:val="20"/>
                <w:szCs w:val="20"/>
                <w:color w:val="auto"/>
              </w:rPr>
            </w:pPr>
            <w:r>
              <w:rPr>
                <w:rFonts w:ascii="Arial" w:cs="Arial" w:eastAsia="Arial" w:hAnsi="Arial"/>
                <w:sz w:val="18"/>
                <w:szCs w:val="18"/>
                <w:color w:val="auto"/>
              </w:rPr>
              <w:t>Issuance of common units, net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w w:val="93"/>
              </w:rPr>
              <w:t>Class B and OpCo units issued for the</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497,162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497,412</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Drop-Down acquisition</w:t>
            </w: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(107,074)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(107,074)</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(133,211)</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w w:val="96"/>
              </w:rPr>
              <w:t>Change in ownership of consolidated</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(15,054)</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60" w:type="dxa"/>
            <w:vAlign w:val="bottom"/>
          </w:tcPr>
          <w:p>
            <w:pPr>
              <w:ind w:left="200"/>
              <w:spacing w:after="0" w:line="174" w:lineRule="exact"/>
              <w:rPr>
                <w:sz w:val="20"/>
                <w:szCs w:val="20"/>
                <w:color w:val="auto"/>
              </w:rPr>
            </w:pPr>
            <w:r>
              <w:rPr>
                <w:rFonts w:ascii="Arial" w:cs="Arial" w:eastAsia="Arial" w:hAnsi="Arial"/>
                <w:sz w:val="18"/>
                <w:szCs w:val="18"/>
                <w:color w:val="auto"/>
              </w:rPr>
              <w:t>Cash paid for tax withholding on</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vested common units</w:t>
            </w: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221,210</w:t>
            </w: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929,116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1,254,285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2,185,420</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7"/>
        </w:trPr>
        <w:tc>
          <w:tcPr>
            <w:tcW w:w="3060" w:type="dxa"/>
            <w:vAlign w:val="bottom"/>
          </w:tcPr>
          <w:p>
            <w:pPr>
              <w:ind w:left="220"/>
              <w:spacing w:after="0"/>
              <w:rPr>
                <w:sz w:val="20"/>
                <w:szCs w:val="20"/>
                <w:color w:val="auto"/>
              </w:rPr>
            </w:pPr>
            <w:r>
              <w:rPr>
                <w:rFonts w:ascii="Arial" w:cs="Arial" w:eastAsia="Arial" w:hAnsi="Arial"/>
                <w:sz w:val="18"/>
                <w:szCs w:val="18"/>
                <w:color w:val="auto"/>
              </w:rPr>
              <w:t>Issuance of common units, net</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rPr>
              <w:t>Distribution equivalent rights</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(45,630)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(45,630)</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(62,282)</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w w:val="96"/>
              </w:rPr>
              <w:t>Change in ownership of consolidated</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(34,087)</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60" w:type="dxa"/>
            <w:vAlign w:val="bottom"/>
          </w:tcPr>
          <w:p>
            <w:pPr>
              <w:ind w:left="200"/>
              <w:spacing w:after="0" w:line="174" w:lineRule="exact"/>
              <w:rPr>
                <w:sz w:val="20"/>
                <w:szCs w:val="20"/>
                <w:color w:val="auto"/>
              </w:rPr>
            </w:pPr>
            <w:r>
              <w:rPr>
                <w:rFonts w:ascii="Arial" w:cs="Arial" w:eastAsia="Arial" w:hAnsi="Arial"/>
                <w:sz w:val="18"/>
                <w:szCs w:val="18"/>
                <w:color w:val="auto"/>
              </w:rPr>
              <w:t>Cash paid for tax withholding on</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vested common units</w:t>
            </w: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rPr>
              <w:t>Repurchased units as part of unit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(192,304)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(193,413)</w:t>
            </w:r>
          </w:p>
        </w:tc>
        <w:tc>
          <w:tcPr>
            <w:tcW w:w="0" w:type="dxa"/>
            <w:vAlign w:val="bottom"/>
          </w:tcPr>
          <w:p>
            <w:pPr>
              <w:spacing w:after="0"/>
              <w:rPr>
                <w:sz w:val="1"/>
                <w:szCs w:val="1"/>
                <w:color w:val="auto"/>
              </w:rPr>
            </w:pPr>
          </w:p>
        </w:tc>
      </w:tr>
      <w:tr>
        <w:trPr>
          <w:trHeight w:val="221"/>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Consolidated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Class B</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Units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r>
        <w:trPr>
          <w:trHeight w:val="227"/>
        </w:trPr>
        <w:tc>
          <w:tcPr>
            <w:tcW w:w="304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Common units issued for acquisition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336,872</w:t>
            </w:r>
          </w:p>
        </w:tc>
        <w:tc>
          <w:tcPr>
            <w:tcW w:w="0" w:type="dxa"/>
            <w:vAlign w:val="bottom"/>
          </w:tcPr>
          <w:p>
            <w:pPr>
              <w:spacing w:after="0"/>
              <w:rPr>
                <w:sz w:val="1"/>
                <w:szCs w:val="1"/>
                <w:color w:val="auto"/>
              </w:rPr>
            </w:pPr>
          </w:p>
        </w:tc>
      </w:tr>
      <w:tr>
        <w:trPr>
          <w:trHeight w:val="227"/>
        </w:trPr>
        <w:tc>
          <w:tcPr>
            <w:tcW w:w="3040" w:type="dxa"/>
            <w:vAlign w:val="bottom"/>
          </w:tcPr>
          <w:p>
            <w:pPr>
              <w:ind w:left="220"/>
              <w:spacing w:after="0"/>
              <w:rPr>
                <w:sz w:val="20"/>
                <w:szCs w:val="20"/>
                <w:color w:val="auto"/>
              </w:rPr>
            </w:pPr>
            <w:r>
              <w:rPr>
                <w:rFonts w:ascii="Arial" w:cs="Arial" w:eastAsia="Arial" w:hAnsi="Arial"/>
                <w:sz w:val="18"/>
                <w:szCs w:val="18"/>
                <w:color w:val="auto"/>
              </w:rPr>
              <w:t>Issuance of common units, net</w:t>
            </w: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rPr>
              <w:t>Distribution equivalent rights</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4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(75,749)</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(75,749)</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(100,685)</w:t>
            </w:r>
          </w:p>
        </w:tc>
        <w:tc>
          <w:tcPr>
            <w:tcW w:w="0" w:type="dxa"/>
            <w:vAlign w:val="bottom"/>
          </w:tcPr>
          <w:p>
            <w:pPr>
              <w:spacing w:after="0"/>
              <w:rPr>
                <w:sz w:val="1"/>
                <w:szCs w:val="1"/>
                <w:color w:val="auto"/>
              </w:rPr>
            </w:pPr>
          </w:p>
        </w:tc>
      </w:tr>
      <w:tr>
        <w:trPr>
          <w:trHeight w:val="227"/>
        </w:trPr>
        <w:tc>
          <w:tcPr>
            <w:tcW w:w="304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w w:val="95"/>
              </w:rPr>
              <w:t>Change in ownership of consolidated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40" w:type="dxa"/>
            <w:vAlign w:val="bottom"/>
          </w:tcPr>
          <w:p>
            <w:pPr>
              <w:ind w:left="200"/>
              <w:spacing w:after="0" w:line="174" w:lineRule="exact"/>
              <w:rPr>
                <w:sz w:val="20"/>
                <w:szCs w:val="20"/>
                <w:color w:val="auto"/>
              </w:rPr>
            </w:pPr>
            <w:r>
              <w:rPr>
                <w:rFonts w:ascii="Arial" w:cs="Arial" w:eastAsia="Arial" w:hAnsi="Arial"/>
                <w:sz w:val="18"/>
                <w:szCs w:val="18"/>
                <w:color w:val="auto"/>
              </w:rPr>
              <w:t>Cash paid for tax withholding on</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3040" w:type="dxa"/>
            <w:vAlign w:val="bottom"/>
          </w:tcPr>
          <w:p>
            <w:pPr>
              <w:ind w:left="200"/>
              <w:spacing w:after="0"/>
              <w:rPr>
                <w:sz w:val="20"/>
                <w:szCs w:val="20"/>
                <w:color w:val="auto"/>
              </w:rPr>
            </w:pPr>
            <w:r>
              <w:rPr>
                <w:rFonts w:ascii="Arial" w:cs="Arial" w:eastAsia="Arial" w:hAnsi="Arial"/>
                <w:sz w:val="18"/>
                <w:szCs w:val="18"/>
                <w:color w:val="auto"/>
              </w:rPr>
              <w:t>vested common units</w:t>
            </w: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0"/>
              <w:spacing w:after="0" w:line="175"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(45,999)</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(45,999)</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57,939</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256,677</w:t>
            </w:r>
          </w:p>
        </w:tc>
        <w:tc>
          <w:tcPr>
            <w:tcW w:w="0" w:type="dxa"/>
            <w:vAlign w:val="bottom"/>
          </w:tcPr>
          <w:p>
            <w:pPr>
              <w:spacing w:after="0"/>
              <w:rPr>
                <w:sz w:val="1"/>
                <w:szCs w:val="1"/>
                <w:color w:val="auto"/>
              </w:rPr>
            </w:pPr>
          </w:p>
        </w:tc>
      </w:tr>
      <w:tr>
        <w:trPr>
          <w:trHeight w:val="246"/>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2,232,828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2019</w:t>
            </w:r>
          </w:p>
        </w:tc>
      </w:tr>
      <w:tr>
        <w:trPr>
          <w:trHeight w:val="208"/>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256,677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(193,413)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221,210</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Deferred income tax expense (benefit)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(41,582)</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Depletion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78,178</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Impairment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loss on derivative instruments,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Net cash receipts (payments) on derivatives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loss on revaluation of investment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Royalty income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(19,266)</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Royalty income receivable—related party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w:t>
            </w:r>
          </w:p>
        </w:tc>
      </w:tr>
      <w:tr>
        <w:trPr>
          <w:trHeight w:val="211"/>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7,270</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236,691</w:t>
            </w:r>
          </w:p>
        </w:tc>
      </w:tr>
      <w:tr>
        <w:trPr>
          <w:trHeight w:val="211"/>
        </w:trPr>
        <w:tc>
          <w:tcPr>
            <w:tcW w:w="7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of oil and natural gas interests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(530,572)</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sale of investments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(281,176)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(16,283)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(530,572)</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Proceeds from borrowings under credit facility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590,500</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on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(905,000)</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Proceeds from senior notes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senior notes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(10,863)</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public offerings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340,860</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Repurchased units as part of unit buyback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public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(107,074)</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Distributions to Diamondback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(62,282)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(133,211)</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05"/>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274,807</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(19,074)</w:t>
            </w:r>
          </w:p>
        </w:tc>
      </w:tr>
      <w:tr>
        <w:trPr>
          <w:trHeight w:val="211"/>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22,676</w:t>
            </w: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30,784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33,121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13,803</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220"/>
              <w:spacing w:after="0"/>
              <w:rPr>
                <w:sz w:val="20"/>
                <w:szCs w:val="20"/>
                <w:color w:val="auto"/>
              </w:rPr>
            </w:pPr>
            <w:r>
              <w:rPr>
                <w:rFonts w:ascii="Arial" w:cs="Arial" w:eastAsia="Arial" w:hAnsi="Arial"/>
                <w:sz w:val="16"/>
                <w:szCs w:val="16"/>
                <w:color w:val="auto"/>
              </w:rPr>
              <w:t>OpCo units issued for the Drop-Down transaction</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497,162</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units issued for acquisition</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20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As of December 31, 2021, Viper Energy Partners GP LLC (the “General Partner”), held a 100% general partner interest in the Partnership and Diamondback beneficially owned an approximate 54%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8" w:lineRule="exact"/>
        <w:rPr>
          <w:sz w:val="20"/>
          <w:szCs w:val="20"/>
          <w:color w:val="auto"/>
        </w:rPr>
      </w:pPr>
    </w:p>
    <w:p>
      <w:pPr>
        <w:jc w:val="both"/>
        <w:ind w:right="20" w:firstLine="643"/>
        <w:spacing w:after="0" w:line="301" w:lineRule="auto"/>
        <w:rPr>
          <w:sz w:val="20"/>
          <w:szCs w:val="20"/>
          <w:color w:val="auto"/>
        </w:rPr>
      </w:pPr>
      <w:r>
        <w:rPr>
          <w:rFonts w:ascii="Arial" w:cs="Arial" w:eastAsia="Arial" w:hAnsi="Arial"/>
          <w:sz w:val="17"/>
          <w:szCs w:val="17"/>
          <w:color w:val="auto"/>
        </w:rPr>
        <w:t>The accompanying consolidated financial statements and related notes thereto were prepared in conformity with accounting principles generally accepted in the United States (“GAAP”). All material intercompany balances and transactions are eliminated in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5"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 in the first half of 2020, followed by a recovery in pricing and an increase in demand in the second half of 2020 and into 2021. However, the COVID-19 Delta variant emerged in March 2021 and became highly transmissible in July 2021, and the Omicron variant emerged in November 2021, which contributed to additional pricing volatility during the fourth quarter of 2021.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195"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the particular circumstances.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the recoverability of costs of unevaluated properties, the fair value determination of assets and liabilities, including those acquired by the Partnership, fair value estimates of commodity derivatives and estimates of income taxes.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Cash and cash equivalents represent unrestricted cash on hand and include all highly liquid investments purchased with a maturity of three months or less and money market funds. The Partnership maintains cash and cash equivalents in bank deposit accounts which, at times, may exceed the federally insured limits. The Partnership has not experienced any significant losses from such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8"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7"/>
          <w:szCs w:val="17"/>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19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6"/>
          <w:szCs w:val="16"/>
          <w:color w:val="auto"/>
        </w:rPr>
        <w:t>The Partnership adopted Accounting Standards Update (“ASU”) 2016-13 and the subsequent applicable modifications to the rule on January 1, 2020. Accounts receivable are stated at amounts due from purchasers,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The adoption of ASU 2016-13 did not result in a material change to the Partnership’s allowance, and no cumulative-effect adjustment was made to beginning unitholders’ equity. At December 31, 2021 and December 31, 2020, the Partnership’s allowance for expected losses was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Partnership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Virtually all of the pricing provisions in the Partnership’s contracts are tied to a market index.</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Royalty income from oil, natural gas and natural gas liquids sales</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Partnership’s oil, natural gas and natural gas liquids sales contracts are generally structured whereby the producer of the properties in which the Partnership owns a royalty interest sells the Partnership’s proportionate share of oil, natural gas and natural gas liquids production to the purchaser and the Partnership collects its percentage royalty based on the revenue generated by the sale of the oil, natural gas and natural gas liquids. In this scenario, the Partnership recognizes revenue when control transfers to the purchaser at the wellhead or at the gas processing facility based on the Partnership’s percentage ownership share of the revenue, net of any deductions for gathering and transportation.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Partnership’s right to royalty income does not originate until production occurs and, therefore, is not considered to exist beyond each day’s production. Therefore, there are no remaining performance obligations under any of our royalty income contracts.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Under the Partnership’s royalty income contracts, it would have the right to receive royalty income from the producer once production has occurred, at which point payment is unconditional. Accordingly, the Partnership’s royalty income contracts do not give rise to contract assets or liabilities under Accounting Standards Codification 606.</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48"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Partnership records revenue in the month production is delivered to the purchaser. However, settlement statements for certain oil, natural gas and natural gas liquids sales may not be received for 30 to 90 days after the date production is delivered, and as a result, the Partnership is required to estimate the amount of royalty income to be received based upon the Partnership’s interest. The Partnership records the differences between its estimates and the actual amounts received for royalties in the month that payment is received from the producer. The Partnership has existing internal controls for its revenue estimation process and related accruals, and any identified differences between its revenue estimates and actual revenue received historically have not been significant. The Partnership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48"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Partnership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2021 and 2020, the Partnership’s oil and natural gas properties consist solely of mineral interests in oil and natural gas properties.</w:t>
      </w:r>
    </w:p>
    <w:p>
      <w:pPr>
        <w:spacing w:after="0" w:line="19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Depletion of evaluated oil and natural gas properties is computed on the units of production method, whereby capitalized costs are amortized over total proved reserves. The average depletion rate per barrel equivalent unit of production was $10.04, $10.34 and $9.95 for the years ended December 31, 2021, 2020 and 2019, respectively. Depletion for oil and natural gas properties was $103.0 million, $100.5 million and $78.2 million for the years ended December 31, 2021, 2020 and 2019, respectively.</w:t>
      </w:r>
    </w:p>
    <w:p>
      <w:pPr>
        <w:spacing w:after="0" w:line="215" w:lineRule="exact"/>
        <w:rPr>
          <w:sz w:val="20"/>
          <w:szCs w:val="20"/>
          <w:color w:val="auto"/>
        </w:rPr>
      </w:pPr>
    </w:p>
    <w:p>
      <w:pPr>
        <w:jc w:val="both"/>
        <w:ind w:right="80" w:firstLine="643"/>
        <w:spacing w:after="0" w:line="251" w:lineRule="auto"/>
        <w:rPr>
          <w:rFonts w:ascii="Arial" w:cs="Arial" w:eastAsia="Arial" w:hAnsi="Arial"/>
          <w:sz w:val="18"/>
          <w:szCs w:val="18"/>
          <w:color w:val="auto"/>
        </w:rPr>
      </w:pPr>
      <w:r>
        <w:rPr>
          <w:rFonts w:ascii="Arial" w:cs="Arial" w:eastAsia="Arial" w:hAnsi="Arial"/>
          <w:sz w:val="18"/>
          <w:szCs w:val="18"/>
          <w:color w:val="auto"/>
        </w:rPr>
        <w:t>Under the full cost method of accounting, the Partnership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w:t>
      </w:r>
      <w:hyperlink w:anchor="page87">
        <w:r>
          <w:rPr>
            <w:rFonts w:ascii="Arial" w:cs="Arial" w:eastAsia="Arial" w:hAnsi="Arial"/>
            <w:sz w:val="18"/>
            <w:szCs w:val="18"/>
            <w:u w:val="single" w:color="auto"/>
            <w:color w:val="0000FF"/>
          </w:rPr>
          <w:t>Oil and Natural Gas Interests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our oil and natural gas properties.</w:t>
      </w:r>
    </w:p>
    <w:p>
      <w:pPr>
        <w:spacing w:after="0" w:line="221"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Costs associated with unevaluated properties are excluded from the full cost pool until the Partnership has made a determination as to the existence of proved reserves. The Partnership assesses all items classified as unevaluated property on an annual basis for possible impairment. The Partnership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Other assets include capitalized costs related to the credit facility of $9.6 million and $6.7 million, and accumulated amortization of those costs over the term of the credit agreement of $6.8 million and $4.4 million as of December 31, 2021, and 2020, respectively.</w:t>
      </w:r>
    </w:p>
    <w:p>
      <w:pPr>
        <w:spacing w:after="0" w:line="202" w:lineRule="exact"/>
        <w:rPr>
          <w:sz w:val="20"/>
          <w:szCs w:val="20"/>
          <w:color w:val="auto"/>
        </w:rPr>
      </w:pPr>
    </w:p>
    <w:p>
      <w:pPr>
        <w:jc w:val="both"/>
        <w:ind w:firstLine="643"/>
        <w:spacing w:after="0" w:line="260" w:lineRule="auto"/>
        <w:rPr>
          <w:rFonts w:ascii="Arial" w:cs="Arial" w:eastAsia="Arial" w:hAnsi="Arial"/>
          <w:sz w:val="18"/>
          <w:szCs w:val="18"/>
          <w:color w:val="auto"/>
        </w:rPr>
      </w:pPr>
      <w:r>
        <w:rPr>
          <w:rFonts w:ascii="Arial" w:cs="Arial" w:eastAsia="Arial" w:hAnsi="Arial"/>
          <w:sz w:val="18"/>
          <w:szCs w:val="18"/>
          <w:color w:val="auto"/>
        </w:rPr>
        <w:t>Long-term debt includes insignificant capitalized costs related to the Partnership’s 5.375% senior notes due 2027 (the “Notes”). The costs associated with the Notes are being netted against the Notes balances and amortized over the term of the Notes using the effective interest method. See Note 6—</w:t>
      </w:r>
      <w:hyperlink w:anchor="page87">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5"/>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1"/>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6,501</w:t>
            </w:r>
          </w:p>
        </w:tc>
      </w:tr>
      <w:tr>
        <w:trPr>
          <w:trHeight w:val="228"/>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6"/>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48"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The Partnership is subject to risk resulting from the concentration of the Partnership’s royalty interest revenue in producing oil and natural gas properties and receivables with several significant purchasers. For the year ended December 31, 2021, three purchasers each accounted for more than 10% of royalty interest revenue: Trafigura Trading LLC (17%), Shell Trading (US) Company (“Shell Trading”) (16%) and Vitol Midstream Pipeline LLC (12%). For the year ended December 31, 2020, four purchasers each accounted for more than 10% of royalty interest revenue: Trafigura Trading LLC (23%), Vitol Midstream Pipeline LLC (14%), Shell Trading (13%) and Concho Resources (11%). For the year ended December 31, 2019, three purchasers each accounted for more than 10% of royalty interest revenue: Trafigura Trading LLC (27%), Concho Resources (16%) and Shell Trading (12%). The Partnership does not require collateral and does not believe the loss of any single purchaser would materially impact the Partnership’s operating results, as crude oil and natural gas are fungible products with well-established markets and numerous purchasers.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Partnership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17" w:lineRule="exact"/>
        <w:rPr>
          <w:sz w:val="20"/>
          <w:szCs w:val="20"/>
          <w:color w:val="auto"/>
        </w:rPr>
      </w:pPr>
    </w:p>
    <w:p>
      <w:pPr>
        <w:jc w:val="both"/>
        <w:ind w:firstLine="643"/>
        <w:spacing w:after="0" w:line="282" w:lineRule="auto"/>
        <w:rPr>
          <w:rFonts w:ascii="Arial" w:cs="Arial" w:eastAsia="Arial" w:hAnsi="Arial"/>
          <w:sz w:val="17"/>
          <w:szCs w:val="17"/>
          <w:color w:val="auto"/>
        </w:rPr>
      </w:pPr>
      <w:r>
        <w:rPr>
          <w:rFonts w:ascii="Arial" w:cs="Arial" w:eastAsia="Arial" w:hAnsi="Arial"/>
          <w:sz w:val="17"/>
          <w:szCs w:val="17"/>
          <w:color w:val="auto"/>
        </w:rPr>
        <w:t>The Partnership is continuing its practice of recognizing interest and penalties related to income tax matters as interest expense and general and administrative expenses, respectively. During the years ended December 31, 2021, 2020 and 2019, there was no interest or penalties associated with uncertain tax positions recognized in the Partnership’s consolidated financial statements. See Note 9—</w:t>
      </w:r>
      <w:hyperlink w:anchor="page91">
        <w:r>
          <w:rPr>
            <w:rFonts w:ascii="Arial" w:cs="Arial" w:eastAsia="Arial" w:hAnsi="Arial"/>
            <w:sz w:val="17"/>
            <w:szCs w:val="17"/>
            <w:u w:val="single" w:color="auto"/>
            <w:color w:val="0000FF"/>
          </w:rPr>
          <w:t>Income Taxes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48" w:lineRule="exact"/>
        <w:rPr>
          <w:sz w:val="20"/>
          <w:szCs w:val="20"/>
          <w:color w:val="auto"/>
        </w:rPr>
      </w:pPr>
    </w:p>
    <w:p>
      <w:pPr>
        <w:jc w:val="both"/>
        <w:ind w:firstLine="643"/>
        <w:spacing w:after="0" w:line="252" w:lineRule="auto"/>
        <w:rPr>
          <w:rFonts w:ascii="Arial" w:cs="Arial" w:eastAsia="Arial" w:hAnsi="Arial"/>
          <w:sz w:val="18"/>
          <w:szCs w:val="18"/>
          <w:color w:val="auto"/>
        </w:rPr>
      </w:pPr>
      <w:r>
        <w:rPr>
          <w:rFonts w:ascii="Arial" w:cs="Arial" w:eastAsia="Arial" w:hAnsi="Arial"/>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 equity, tax effected, will occur. Because these changes in the Partnership’s ownership interest in the Operating Company did not result in a change of control, the transactions were accounted for as equity transactions under ASC Topic 810, “Consolidation.” This guidance requires that any differences between the carrying value of the Partnership’s basis in the Operating Company and the fair value of the consideration received are recognized directly in equity and attributed to the controlling interest. See Note 7—</w:t>
      </w:r>
      <w:hyperlink w:anchor="page89">
        <w:r>
          <w:rPr>
            <w:rFonts w:ascii="Arial" w:cs="Arial" w:eastAsia="Arial" w:hAnsi="Arial"/>
            <w:sz w:val="18"/>
            <w:szCs w:val="18"/>
            <w:u w:val="single" w:color="auto"/>
            <w:color w:val="0000FF"/>
          </w:rPr>
          <w:t>Unitholders' Equity and Partnership Distributions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change in ownership.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Recently Adopted Pronouncements</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Partnership adopted this update effective January 1, 2021. The adoption of this update did not have a material impact on its financial position, results of operations or liquidity.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recent accounting pronouncements not yet adopted.</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Partnership considers the applicability and impact of all ASUs. ASUs not listed above were assessed and determined to be either not applicable, previously disclosed, or not material upon adoption.</w:t>
      </w:r>
    </w:p>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 FROM CONTRACTS WITH CUSTOMERS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5"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For the years ended December 31, 2021, 2020 and 2019, any revenues recognized in the current reporting period for performance obligations satisfied in prior reporting periods was not material.</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81"/>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397,513</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264,376</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8,092</w:t>
            </w: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21,343</w:t>
            </w:r>
          </w:p>
        </w:tc>
      </w:tr>
      <w:tr>
        <w:trPr>
          <w:trHeight w:val="221"/>
        </w:trPr>
        <w:tc>
          <w:tcPr>
            <w:tcW w:w="6480" w:type="dxa"/>
            <w:vAlign w:val="bottom"/>
          </w:tcPr>
          <w:p>
            <w:pPr>
              <w:ind w:left="20"/>
              <w:spacing w:after="0"/>
              <w:rPr>
                <w:sz w:val="20"/>
                <w:szCs w:val="20"/>
                <w:color w:val="auto"/>
              </w:rPr>
            </w:pPr>
            <w:r>
              <w:rPr>
                <w:rFonts w:ascii="Arial" w:cs="Arial" w:eastAsia="Arial" w:hAnsi="Arial"/>
                <w:sz w:val="18"/>
                <w:szCs w:val="18"/>
                <w:color w:val="auto"/>
              </w:rPr>
              <w:t>Total royalty income</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293,811</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5"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On October 1, 2021, the Partnership and the Operating Company acquired certain mineral and royalty interests from Swallowtail Royalties LLC and Swallowtail Royalties II LLC (the “Swallowtail entities”) pursuant to a definitive purchase and sale agreement for approximately 15.25 million common units and approximately $225.3 million in cash (the “Swallowtail Acquisition”). The mineral and royalty interests acquired in the Swallowtail Acquisition represent 2,313 net royalty acres primarily in the Northern Midland Basin, of which 62% are operated by Diamondback. The Swallowtail Acquisition has an effective date of August 1, 2021. In accordance with the terms of the purchase agreement, the Partnership deposited $30.0 million into an escrow account in August 2021, which was released upon the closing of the transaction. The cash portion of this transaction was funded through a combination of cash on hand and approximately of $190.0 million borrowings under the Operating Company’s revolving credit facility.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2021 Acquisitions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Additionally during the year ended December 31, 2021, the Partnership acquired, from unrelated third party sellers, mineral and royalty interests representing 1,277 gross (392 net royalty) acres in the Permian Basin for an aggregate purchase price of approximately $55.1 million, after post-closing adjustments. The Partnership funded these acquisitions with cash on hand and borrowings under the Operating Company’s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During the year ended December 31, 2020, the Partnership acquired, from unrelated third party sellers, mineral and royalty interests representing 4,948 gross (417 net royalty) acres in the Permian Basin for an aggregate purchase price of approximately $64.2 million, after post-closing adjustments. The Partnership funded these acquisitions with cash on hand and borrowings under the Operating Company’s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Activity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Drop-Down Acquisition</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 xml:space="preserve">On </w:t>
      </w:r>
      <w:r>
        <w:rPr>
          <w:rFonts w:ascii="Arial" w:cs="Arial" w:eastAsia="Arial" w:hAnsi="Arial"/>
          <w:sz w:val="17"/>
          <w:szCs w:val="17"/>
          <w:color w:val="231F20"/>
        </w:rPr>
        <w:t>October 1, 2019, the Partnership completed the acquisition of</w:t>
      </w:r>
      <w:r>
        <w:rPr>
          <w:rFonts w:ascii="Arial" w:cs="Arial" w:eastAsia="Arial" w:hAnsi="Arial"/>
          <w:sz w:val="17"/>
          <w:szCs w:val="17"/>
          <w:color w:val="auto"/>
        </w:rPr>
        <w:t xml:space="preserve"> certain mineral and royalty interests from subsidiaries of Diamondback for approximately 18.3 million of its newly-issued Class B units, approximately 18.3 million newly-issued units of the Operating Company with </w:t>
      </w:r>
      <w:r>
        <w:rPr>
          <w:rFonts w:ascii="Arial" w:cs="Arial" w:eastAsia="Arial" w:hAnsi="Arial"/>
          <w:sz w:val="17"/>
          <w:szCs w:val="17"/>
          <w:color w:val="231F20"/>
        </w:rPr>
        <w:t>a fair value of</w:t>
      </w:r>
      <w:r>
        <w:rPr>
          <w:rFonts w:ascii="Arial" w:cs="Arial" w:eastAsia="Arial" w:hAnsi="Arial"/>
          <w:sz w:val="17"/>
          <w:szCs w:val="17"/>
          <w:color w:val="auto"/>
        </w:rPr>
        <w:t xml:space="preserve"> $497.2 million and $190.2 million in cash, after giving effect to closing adjustments for net title benefits (the ‘‘Drop-Down Acquisition’’). The mineral and royalty interests acquired in the Drop-Down Acquisition represent approximately 5,490 net royalty acres across the Midland and Delaware Basins, of which over 95% are operated by Diamondback, and have an average net royalty interest of approximately 3.2% (the ‘‘Drop-Down Assets’’). The Partnership completed the acquisition on October 1, 2019 and funded the cash portion of the purchase price for the Drop-Down Assets through a combination of cash on hand and borrowings under the Operating Company’s revolving credit facility.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Santa Elena Acquisition</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231F20"/>
        </w:rPr>
        <w:t xml:space="preserve">On October 31, 2019, the Partnership completed the acquisition of </w:t>
      </w:r>
      <w:r>
        <w:rPr>
          <w:rFonts w:ascii="Arial" w:cs="Arial" w:eastAsia="Arial" w:hAnsi="Arial"/>
          <w:sz w:val="18"/>
          <w:szCs w:val="18"/>
          <w:color w:val="000000"/>
        </w:rPr>
        <w:t>certain mineral and royalty interests from Santa Elena (the ‘‘Santa Elena</w:t>
      </w:r>
      <w:r>
        <w:rPr>
          <w:rFonts w:ascii="Arial" w:cs="Arial" w:eastAsia="Arial" w:hAnsi="Arial"/>
          <w:sz w:val="18"/>
          <w:szCs w:val="18"/>
          <w:color w:val="231F20"/>
        </w:rPr>
        <w:t xml:space="preserve"> </w:t>
      </w:r>
      <w:r>
        <w:rPr>
          <w:rFonts w:ascii="Arial" w:cs="Arial" w:eastAsia="Arial" w:hAnsi="Arial"/>
          <w:sz w:val="18"/>
          <w:szCs w:val="18"/>
          <w:color w:val="000000"/>
        </w:rPr>
        <w:t>Acquisition’’), which assets were immediately contributed by the Partnership to the Operating Company. The assets acquired in the Santa Elena Acquisition represent approximately 1,366 net royalty acres across the Midland Basin with an average net royalty interest of approximately 5.6% and are primarily operated by Diamondback in Glasscock and Martin counties (the ‘‘Santa Elena Assets’’).</w:t>
      </w:r>
    </w:p>
    <w:p>
      <w:pPr>
        <w:spacing w:after="0" w:line="21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At closing, the Partnership issued to Santa Elena approximately 5.2 million common units representing limited partner interests in the Partnership as consideration for the Santa Elena Assets, and the Operating Company issued to the Partnership approximately 5.2 million new units of the Operating Company with a fair value of $124.0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2019 Acquisitions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addition, during the year ended December 31, 2019, the Partnership acquired, from unrelated third party sellers, mineral interests representing 136,012 gross (2,607 net royalty) acres for an aggregate of approximately $343.7 million. The Partnership funded these acquisitions with cash on hand, a portion of the net proceeds from its first quarter 2019 offering of common units and borrowings under the Operating Company’s revolving credit facility.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 of Certain Non-Core Assets and Investments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2020, the Partnership divested its equity interest in a limited partnership for approximately $10.8 million. This divestiture resulted in an immaterial loss.</w:t>
      </w:r>
    </w:p>
    <w:p>
      <w:pPr>
        <w:spacing w:after="0" w:line="201"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8"/>
          <w:szCs w:val="18"/>
          <w:color w:val="auto"/>
        </w:rPr>
        <w:t>During the year ended December 31, 2020, the Partnership completed its divestiture of 370 net royalty acres of certain non-core Permian assets for an aggregate sale price of $38.4 million. This divestiture did not result in a gain or loss because it did not have a significant effect on the Partnership’s reserve base or depreciation, depletion and amortization rate.</w:t>
      </w:r>
    </w:p>
    <w:p>
      <w:pPr>
        <w:spacing w:after="0" w:line="2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Oil and natural gas interests include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5"/>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81"/>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1,873,418</w:t>
            </w:r>
          </w:p>
        </w:tc>
        <w:tc>
          <w:tcPr>
            <w:tcW w:w="64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1,530,636</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1,364,906</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3,513,590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2,895,542</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2,914,427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2,399,366</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2,920,115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2,405,054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7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8"/>
                <w:szCs w:val="18"/>
                <w:color w:val="auto"/>
              </w:rPr>
              <w:t>Balance of costs not subject to depletion:</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Incurred in 2021</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140"/>
              <w:spacing w:after="0"/>
              <w:rPr>
                <w:sz w:val="20"/>
                <w:szCs w:val="20"/>
                <w:color w:val="auto"/>
              </w:rPr>
            </w:pPr>
            <w:r>
              <w:rPr>
                <w:rFonts w:ascii="Arial" w:cs="Arial" w:eastAsia="Arial" w:hAnsi="Arial"/>
                <w:sz w:val="18"/>
                <w:szCs w:val="18"/>
                <w:color w:val="auto"/>
              </w:rPr>
              <w:t>Incurred in 2020</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Incurred in 2019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Incurred in 2018</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278,704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6"/>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not subject to depletion</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As of December 31, 2021 and December 31, 2020, the Partnership had mineral and royalty interests representing 27,027 and 24,350 net royalty acres, respectively.</w:t>
      </w:r>
    </w:p>
    <w:p>
      <w:pPr>
        <w:spacing w:after="0" w:line="202"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Costs associated with unevaluated properties are excluded from the full cost pool until a determination as to the existence of proved reserves can be made. The inclusion of the Partnership’s unevaluated costs into the amortization base is expected to be completed within five to ten years.</w:t>
      </w:r>
    </w:p>
    <w:p>
      <w:pPr>
        <w:spacing w:after="0" w:line="156"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Based on the results of the quarterly ceiling tests, the Partnership was not required to record an impairment on our proved oil and natural gas interests for the years ended December 31, 2021 and 2019, respectively. The Partnership recorded an impairment expense of $69.2 million as a result of the decline in commodity prices for the year ended December 31, 2020.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were to fall as compared to the commodity prices used in prior quarters, the Partnership will have write-downs in subsequent quarters, which may be material.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85"/>
        </w:trPr>
        <w:tc>
          <w:tcPr>
            <w:tcW w:w="7200" w:type="dxa"/>
            <w:vAlign w:val="bottom"/>
          </w:tcPr>
          <w:p>
            <w:pPr>
              <w:spacing w:after="0"/>
              <w:rPr>
                <w:sz w:val="16"/>
                <w:szCs w:val="16"/>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2020</w:t>
            </w:r>
          </w:p>
        </w:tc>
      </w:tr>
      <w:tr>
        <w:trPr>
          <w:trHeight w:val="181"/>
        </w:trPr>
        <w:tc>
          <w:tcPr>
            <w:tcW w:w="7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5"/>
                <w:szCs w:val="15"/>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27"/>
        </w:trPr>
        <w:tc>
          <w:tcPr>
            <w:tcW w:w="72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r>
      <w:tr>
        <w:trPr>
          <w:trHeight w:val="246"/>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35"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16"/>
          <w:szCs w:val="16"/>
          <w:color w:val="auto"/>
        </w:rPr>
        <w:t>On June 2, 2021, the Operating Company entered into the seventh amendment to the existing credit agreement, which (i) extended the maturity date under the credit agreement to June 2, 2025, (ii) changed the interest rates applicable to the loans under the credit agreement and certain fees payable under the credit agreement, and (iii) added a financial covenant requiring the ratio of secured debt to EBITDAX (as each is defined in the credit agreement) to be not greater than 2.50 to 1.0. On November 15, 2021, the Operating Company entered into the eighth amendment to the existing credit agreement, which maintained the maximum amount of the revolving credit facility at $2.0 billion, reaffirmed the borrowing base of $580.0 million based on the Operating Company’s oil and natural gas reserves and other factors, and allowed the Operating Company to elect a commitment amount that is less than its borrowing base as determined by the lenders. The borrowing base is scheduled to be redetermined semi-annually in May and November. In addition, the Operating Company and Wells Fargo may each request up to three interim redeterminations of the borrowing base during any 12-month period. As of December 31, 2021, the Operating Company had elected a commitment amount of $500.0 million, with $304.0 million of outstanding borrowings and $196.0 million available for future borrowings under the Operating Company’s revolving credit facility.</w:t>
      </w:r>
    </w:p>
    <w:p>
      <w:pPr>
        <w:spacing w:after="0" w:line="199"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6"/>
          <w:szCs w:val="16"/>
          <w:color w:val="auto"/>
        </w:rPr>
        <w:t>The outstanding borrowings under the credit agreement bear interest at a rate elected by the Operating Company that is equal to an alternative base rate (which is equal to the greatest of the prime rate, the Federal Funds effective rate plus 0.50% and 3-month LIBOR plus 1.0%) or LIBOR, in each case plus the applicable margin. The applicable margin ranges from 1.00% to 2.00% per annum in the case of the alternative base rate and from 2.00% to 3.00% per annum in the case of LIBOR,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which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The loan is secured by substantially all the assets of the Partnership and the Operating Company. For the years ended December 31, 2021, 2020 and 2019, the weighted average interest rate on borrowings under the Operating Company’s revolving credit facility was 2.35%, 2.20%, and 4.51%, respectively.</w:t>
      </w:r>
    </w:p>
    <w:p>
      <w:pPr>
        <w:spacing w:after="0" w:line="21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Covenant</w:t>
            </w:r>
          </w:p>
        </w:tc>
        <w:tc>
          <w:tcPr>
            <w:tcW w:w="4160" w:type="dxa"/>
            <w:vAlign w:val="bottom"/>
            <w:tcBorders>
              <w:bottom w:val="single" w:sz="8" w:color="auto"/>
            </w:tcBorders>
          </w:tcPr>
          <w:p>
            <w:pPr>
              <w:jc w:val="center"/>
              <w:ind w:left="1615"/>
              <w:spacing w:after="0"/>
              <w:rPr>
                <w:sz w:val="20"/>
                <w:szCs w:val="20"/>
                <w:color w:val="auto"/>
              </w:rPr>
            </w:pPr>
            <w:r>
              <w:rPr>
                <w:rFonts w:ascii="Arial" w:cs="Arial" w:eastAsia="Arial" w:hAnsi="Arial"/>
                <w:sz w:val="14"/>
                <w:szCs w:val="14"/>
                <w:b w:val="1"/>
                <w:bCs w:val="1"/>
                <w:color w:val="auto"/>
                <w:w w:val="94"/>
              </w:rPr>
              <w:t>Required Ratio</w:t>
            </w:r>
          </w:p>
        </w:tc>
      </w:tr>
      <w:tr>
        <w:trPr>
          <w:trHeight w:val="22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60" w:type="dxa"/>
            <w:vAlign w:val="bottom"/>
            <w:shd w:val="clear" w:color="auto" w:fill="CCEEFF"/>
          </w:tcPr>
          <w:p>
            <w:pPr>
              <w:jc w:val="center"/>
              <w:ind w:left="1595"/>
              <w:spacing w:after="0"/>
              <w:rPr>
                <w:sz w:val="20"/>
                <w:szCs w:val="20"/>
                <w:color w:val="auto"/>
              </w:rPr>
            </w:pPr>
            <w:r>
              <w:rPr>
                <w:rFonts w:ascii="Arial" w:cs="Arial" w:eastAsia="Arial" w:hAnsi="Arial"/>
                <w:sz w:val="18"/>
                <w:szCs w:val="18"/>
                <w:color w:val="auto"/>
                <w:w w:val="89"/>
              </w:rPr>
              <w:t>Not greater than 4.0 to 1.0</w:t>
            </w:r>
          </w:p>
        </w:tc>
      </w:tr>
      <w:tr>
        <w:trPr>
          <w:trHeight w:val="227"/>
        </w:trPr>
        <w:tc>
          <w:tcPr>
            <w:tcW w:w="708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60" w:type="dxa"/>
            <w:vAlign w:val="bottom"/>
          </w:tcPr>
          <w:p>
            <w:pPr>
              <w:jc w:val="center"/>
              <w:ind w:left="1595"/>
              <w:spacing w:after="0"/>
              <w:rPr>
                <w:sz w:val="20"/>
                <w:szCs w:val="20"/>
                <w:color w:val="auto"/>
              </w:rPr>
            </w:pPr>
            <w:r>
              <w:rPr>
                <w:rFonts w:ascii="Arial" w:cs="Arial" w:eastAsia="Arial" w:hAnsi="Arial"/>
                <w:sz w:val="18"/>
                <w:szCs w:val="18"/>
                <w:color w:val="auto"/>
                <w:w w:val="88"/>
              </w:rPr>
              <w:t>Not less than 1.0 to 1.0</w:t>
            </w: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credit agreement</w:t>
            </w:r>
          </w:p>
        </w:tc>
        <w:tc>
          <w:tcPr>
            <w:tcW w:w="4160" w:type="dxa"/>
            <w:vAlign w:val="bottom"/>
            <w:shd w:val="clear" w:color="auto" w:fill="CCEEFF"/>
          </w:tcPr>
          <w:p>
            <w:pPr>
              <w:jc w:val="center"/>
              <w:ind w:left="1595"/>
              <w:spacing w:after="0"/>
              <w:rPr>
                <w:sz w:val="20"/>
                <w:szCs w:val="20"/>
                <w:color w:val="auto"/>
              </w:rPr>
            </w:pPr>
            <w:r>
              <w:rPr>
                <w:rFonts w:ascii="Arial" w:cs="Arial" w:eastAsia="Arial" w:hAnsi="Arial"/>
                <w:sz w:val="18"/>
                <w:szCs w:val="18"/>
                <w:color w:val="auto"/>
                <w:w w:val="89"/>
              </w:rPr>
              <w:t>Not greater than 2.5 to 1.0</w:t>
            </w:r>
          </w:p>
        </w:tc>
      </w:tr>
    </w:tbl>
    <w:p>
      <w:pPr>
        <w:spacing w:after="0" w:line="320"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As of December 31, 2021, the Operating Company was in compliance with all financial maintenance covenants under its credit agreement. The lenders may accelerate all of the indebtedness under the Operating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 Partnership has General Partner and limited partner units. At December 31, 2021, the Partnership had a total of 78,546,403 common units and 90,709,946 Class B units issued and outstanding, of which 731,500 common units and 90,709,946 Class B units were beneficially owned by Diamondback, representing approximately 54% of the Partnership’s total units outstanding. Diamondback also beneficially owns 90,709,946 Operating Company units, representing a 54%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5"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7"/>
          <w:szCs w:val="17"/>
          <w:color w:val="auto"/>
        </w:rPr>
        <w:t>The board of directors of the Partnership’s general partner previously established a common unit repurchase program pursuant to which it was authorized to repurchase, in the open market or in privately negotiated transactions, its common units having the initial aggregate purchase price of up to $100.0 million and the initial term ending on December 31, 2021. Prior to the expiration of the initial repurchase program, the board of directors of the Partnership’s general partner approved an increase to the common unit repurchase program to up to $150.0 million of the Partnership’s outstanding common units and extended the authorization indefinitely. The increased repurchase program went into effect on November 15, 2021. During the years ended December 31, 2021 and 2020, the Partnership repurchased approximately $46.0 million and $24.0 million of common units under the repurchase program, respectively. As of December 31, 2021, $80.0 million remains available for use to repurchase units under the repurchase program.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Non-controlling interest in the accompanying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but do not impact earnings.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common unitholder equity due to changes in ownership interest during the period: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0"/>
              </w:rPr>
              <w:t>57,939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46,281</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(93,473)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(15,054)</w:t>
            </w:r>
          </w:p>
        </w:tc>
        <w:tc>
          <w:tcPr>
            <w:tcW w:w="0" w:type="dxa"/>
            <w:vAlign w:val="bottom"/>
          </w:tcPr>
          <w:p>
            <w:pPr>
              <w:spacing w:after="0"/>
              <w:rPr>
                <w:sz w:val="1"/>
                <w:szCs w:val="1"/>
                <w:color w:val="auto"/>
              </w:rPr>
            </w:pPr>
          </w:p>
        </w:tc>
      </w:tr>
      <w:tr>
        <w:trPr>
          <w:trHeight w:val="154"/>
        </w:trPr>
        <w:tc>
          <w:tcPr>
            <w:tcW w:w="67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7"/>
              </w:rPr>
              <w:t>Change from net income (loss) attributable to the Partnership's unitholders and transfers to</w:t>
            </w:r>
          </w:p>
        </w:tc>
        <w:tc>
          <w:tcPr>
            <w:tcW w:w="3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center"/>
              <w:ind w:left="355"/>
              <w:spacing w:after="0"/>
              <w:rPr>
                <w:sz w:val="20"/>
                <w:szCs w:val="20"/>
                <w:color w:val="auto"/>
              </w:rPr>
            </w:pPr>
            <w:r>
              <w:rPr>
                <w:rFonts w:ascii="Arial" w:cs="Arial" w:eastAsia="Arial" w:hAnsi="Arial"/>
                <w:sz w:val="18"/>
                <w:szCs w:val="18"/>
                <w:color w:val="auto"/>
                <w:w w:val="92"/>
              </w:rPr>
              <w:t>(35,534)</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(226,391)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center"/>
              <w:ind w:left="375"/>
              <w:spacing w:after="0"/>
              <w:rPr>
                <w:sz w:val="20"/>
                <w:szCs w:val="20"/>
                <w:color w:val="auto"/>
              </w:rPr>
            </w:pPr>
            <w:r>
              <w:rPr>
                <w:rFonts w:ascii="Arial" w:cs="Arial" w:eastAsia="Arial" w:hAnsi="Arial"/>
                <w:sz w:val="18"/>
                <w:szCs w:val="18"/>
                <w:color w:val="auto"/>
                <w:w w:val="87"/>
              </w:rPr>
              <w:t>31,227</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non-controlling interest</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48"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17"/>
          <w:szCs w:val="17"/>
          <w:color w:val="auto"/>
        </w:rPr>
        <w:t>Beginning with the first quarter of 2020, the board of directors of the General Partner revised the distribution policy to provide that the Operating Company would distribute a percentage of its available cash to its unitholders (including Diamondback and the Partnership) rather than all of its available cash as it had previously done.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its Adjusted EBITDA (which is the Partnership’s proportional share of its available cash of the Operating Company for the quarter), less cash needed for the payment of income taxes by it, if any, and the preferred distribution. Immediately prior to the revisions to the distribution policy described above, the Operating Company’s policy was to distribute all of its available cash quarterly to its unitholders. The distribution policy changes noted above were made to enable the Operating Company to retain cash flow to help strengthen the Partnership’s balance sheet while also expanding the return of capital program through the Partnership’s common unit repurchase program.</w:t>
      </w:r>
    </w:p>
    <w:p>
      <w:pPr>
        <w:spacing w:after="0" w:line="20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board of directors of the General Partner may change the distribution policies at any time. The Partnership is not required to pay distributions to its common unitholders on a quarterly or other basis.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cash distributions approved by the board of directors of the General Partner for the periods presented:</w:t>
      </w:r>
    </w:p>
    <w:p>
      <w:pPr>
        <w:spacing w:after="0" w:line="142"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19685</wp:posOffset>
            </wp:positionV>
            <wp:extent cx="16751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Percentage of</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per</w:t>
            </w:r>
          </w:p>
        </w:tc>
        <w:tc>
          <w:tcPr>
            <w:tcW w:w="1500" w:type="dxa"/>
            <w:vAlign w:val="bottom"/>
            <w:gridSpan w:val="2"/>
          </w:tcPr>
          <w:p>
            <w:pPr>
              <w:jc w:val="center"/>
              <w:ind w:right="80"/>
              <w:spacing w:after="0" w:line="134" w:lineRule="exact"/>
              <w:rPr>
                <w:sz w:val="20"/>
                <w:szCs w:val="20"/>
                <w:color w:val="auto"/>
              </w:rPr>
            </w:pPr>
            <w:r>
              <w:rPr>
                <w:rFonts w:ascii="Arial" w:cs="Arial" w:eastAsia="Arial" w:hAnsi="Arial"/>
                <w:sz w:val="14"/>
                <w:szCs w:val="14"/>
                <w:b w:val="1"/>
                <w:bCs w:val="1"/>
                <w:color w:val="auto"/>
                <w:w w:val="94"/>
              </w:rPr>
              <w:t>Operating Company</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0"/>
              </w:rPr>
              <w:t>Company</w:t>
            </w:r>
          </w:p>
        </w:tc>
        <w:tc>
          <w:tcPr>
            <w:tcW w:w="16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Common</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50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2"/>
              </w:rPr>
              <w:t>Available Cash</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0"/>
              </w:rPr>
              <w:t>Distributions to</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Declaration Date</w:t>
            </w:r>
          </w:p>
        </w:tc>
        <w:tc>
          <w:tcPr>
            <w:tcW w:w="100" w:type="dxa"/>
            <w:vAlign w:val="bottom"/>
            <w:vMerge w:val="restart"/>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Unitholder Record Date</w:t>
            </w:r>
          </w:p>
        </w:tc>
        <w:tc>
          <w:tcPr>
            <w:tcW w:w="100" w:type="dxa"/>
            <w:vAlign w:val="bottom"/>
            <w:vMerge w:val="restart"/>
          </w:tcPr>
          <w:p>
            <w:pPr>
              <w:spacing w:after="0"/>
              <w:rPr>
                <w:sz w:val="11"/>
                <w:szCs w:val="11"/>
                <w:color w:val="auto"/>
              </w:rPr>
            </w:pPr>
          </w:p>
        </w:tc>
        <w:tc>
          <w:tcPr>
            <w:tcW w:w="16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Unit</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Diamondback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1"/>
              <w:spacing w:after="0" w:line="188"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8"/>
                <w:szCs w:val="18"/>
                <w:b w:val="1"/>
                <w:bCs w:val="1"/>
                <w:color w:val="auto"/>
                <w:w w:val="95"/>
                <w:vertAlign w:val="superscript"/>
              </w:rPr>
              <w:t>(1)</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2018</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26,382</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30, 2019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19, 2019</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25, 2019</w:t>
            </w:r>
          </w:p>
        </w:tc>
        <w:tc>
          <w:tcPr>
            <w:tcW w:w="0" w:type="dxa"/>
            <w:vAlign w:val="bottom"/>
          </w:tcPr>
          <w:p>
            <w:pPr>
              <w:spacing w:after="0"/>
              <w:rPr>
                <w:sz w:val="1"/>
                <w:szCs w:val="1"/>
                <w:color w:val="auto"/>
              </w:rPr>
            </w:pPr>
          </w:p>
        </w:tc>
      </w:tr>
      <w:tr>
        <w:trPr>
          <w:trHeight w:val="211"/>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Q1 2019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27,519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23,839</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25, 2019</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May 13, 2019</w:t>
            </w:r>
          </w:p>
        </w:tc>
        <w:tc>
          <w:tcPr>
            <w:tcW w:w="1640" w:type="dxa"/>
            <w:vAlign w:val="bottom"/>
          </w:tcPr>
          <w:p>
            <w:pPr>
              <w:jc w:val="right"/>
              <w:spacing w:after="0"/>
              <w:rPr>
                <w:sz w:val="20"/>
                <w:szCs w:val="20"/>
                <w:color w:val="auto"/>
              </w:rPr>
            </w:pPr>
            <w:r>
              <w:rPr>
                <w:rFonts w:ascii="Arial" w:cs="Arial" w:eastAsia="Arial" w:hAnsi="Arial"/>
                <w:sz w:val="16"/>
                <w:szCs w:val="16"/>
                <w:color w:val="auto"/>
              </w:rPr>
              <w:t>May 20, 2019</w:t>
            </w:r>
          </w:p>
        </w:tc>
        <w:tc>
          <w:tcPr>
            <w:tcW w:w="0" w:type="dxa"/>
            <w:vAlign w:val="bottom"/>
          </w:tcPr>
          <w:p>
            <w:pPr>
              <w:spacing w:after="0"/>
              <w:rPr>
                <w:sz w:val="1"/>
                <w:szCs w:val="1"/>
                <w:color w:val="auto"/>
              </w:rPr>
            </w:pPr>
          </w:p>
        </w:tc>
      </w:tr>
      <w:tr>
        <w:trPr>
          <w:trHeight w:val="21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2019</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29,483</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28, 2019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14, 2019</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21, 2019</w:t>
            </w:r>
          </w:p>
        </w:tc>
        <w:tc>
          <w:tcPr>
            <w:tcW w:w="0" w:type="dxa"/>
            <w:vAlign w:val="bottom"/>
          </w:tcPr>
          <w:p>
            <w:pPr>
              <w:spacing w:after="0"/>
              <w:rPr>
                <w:sz w:val="1"/>
                <w:szCs w:val="1"/>
                <w:color w:val="auto"/>
              </w:rPr>
            </w:pPr>
          </w:p>
        </w:tc>
      </w:tr>
      <w:tr>
        <w:trPr>
          <w:trHeight w:val="211"/>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Q3 2019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33,312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28,639</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25, 2019</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8, 2019</w:t>
            </w:r>
          </w:p>
        </w:tc>
        <w:tc>
          <w:tcPr>
            <w:tcW w:w="1640" w:type="dxa"/>
            <w:vAlign w:val="bottom"/>
          </w:tcPr>
          <w:p>
            <w:pPr>
              <w:jc w:val="right"/>
              <w:spacing w:after="0"/>
              <w:rPr>
                <w:sz w:val="20"/>
                <w:szCs w:val="20"/>
                <w:color w:val="auto"/>
              </w:rPr>
            </w:pPr>
            <w:r>
              <w:rPr>
                <w:rFonts w:ascii="Arial" w:cs="Arial" w:eastAsia="Arial" w:hAnsi="Arial"/>
                <w:sz w:val="16"/>
                <w:szCs w:val="16"/>
                <w:color w:val="auto"/>
              </w:rPr>
              <w:t>November 15, 2019</w:t>
            </w:r>
          </w:p>
        </w:tc>
        <w:tc>
          <w:tcPr>
            <w:tcW w:w="0" w:type="dxa"/>
            <w:vAlign w:val="bottom"/>
          </w:tcPr>
          <w:p>
            <w:pPr>
              <w:spacing w:after="0"/>
              <w:rPr>
                <w:sz w:val="1"/>
                <w:szCs w:val="1"/>
                <w:color w:val="auto"/>
              </w:rPr>
            </w:pPr>
          </w:p>
        </w:tc>
      </w:tr>
      <w:tr>
        <w:trPr>
          <w:trHeight w:val="21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2019</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30,543</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7, 2020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28, 2020</w:t>
            </w:r>
          </w:p>
        </w:tc>
        <w:tc>
          <w:tcPr>
            <w:tcW w:w="0" w:type="dxa"/>
            <w:vAlign w:val="bottom"/>
          </w:tcPr>
          <w:p>
            <w:pPr>
              <w:spacing w:after="0"/>
              <w:rPr>
                <w:sz w:val="1"/>
                <w:szCs w:val="1"/>
                <w:color w:val="auto"/>
              </w:rPr>
            </w:pPr>
          </w:p>
        </w:tc>
      </w:tr>
      <w:tr>
        <w:trPr>
          <w:trHeight w:val="211"/>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Q1 2020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6,790</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April 30, 2020</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May 14, 2020</w:t>
            </w:r>
          </w:p>
        </w:tc>
        <w:tc>
          <w:tcPr>
            <w:tcW w:w="1640" w:type="dxa"/>
            <w:vAlign w:val="bottom"/>
          </w:tcPr>
          <w:p>
            <w:pPr>
              <w:jc w:val="right"/>
              <w:spacing w:after="0"/>
              <w:rPr>
                <w:sz w:val="20"/>
                <w:szCs w:val="20"/>
                <w:color w:val="auto"/>
              </w:rPr>
            </w:pPr>
            <w:r>
              <w:rPr>
                <w:rFonts w:ascii="Arial" w:cs="Arial" w:eastAsia="Arial" w:hAnsi="Arial"/>
                <w:sz w:val="16"/>
                <w:szCs w:val="16"/>
                <w:color w:val="auto"/>
              </w:rPr>
              <w:t>May 21, 2020</w:t>
            </w:r>
          </w:p>
        </w:tc>
        <w:tc>
          <w:tcPr>
            <w:tcW w:w="0" w:type="dxa"/>
            <w:vAlign w:val="bottom"/>
          </w:tcPr>
          <w:p>
            <w:pPr>
              <w:spacing w:after="0"/>
              <w:rPr>
                <w:sz w:val="1"/>
                <w:szCs w:val="1"/>
                <w:color w:val="auto"/>
              </w:rPr>
            </w:pPr>
          </w:p>
        </w:tc>
      </w:tr>
      <w:tr>
        <w:trPr>
          <w:trHeight w:val="21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2020</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29, 2020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13, 2020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 2020</w:t>
            </w:r>
          </w:p>
        </w:tc>
        <w:tc>
          <w:tcPr>
            <w:tcW w:w="0" w:type="dxa"/>
            <w:vAlign w:val="bottom"/>
          </w:tcPr>
          <w:p>
            <w:pPr>
              <w:spacing w:after="0"/>
              <w:rPr>
                <w:sz w:val="1"/>
                <w:szCs w:val="1"/>
                <w:color w:val="auto"/>
              </w:rPr>
            </w:pPr>
          </w:p>
        </w:tc>
      </w:tr>
      <w:tr>
        <w:trPr>
          <w:trHeight w:val="211"/>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Q3 2020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6,805</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28, 2020</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12, 2020</w:t>
            </w:r>
          </w:p>
        </w:tc>
        <w:tc>
          <w:tcPr>
            <w:tcW w:w="1640" w:type="dxa"/>
            <w:vAlign w:val="bottom"/>
          </w:tcPr>
          <w:p>
            <w:pPr>
              <w:jc w:val="right"/>
              <w:spacing w:after="0"/>
              <w:rPr>
                <w:sz w:val="20"/>
                <w:szCs w:val="20"/>
                <w:color w:val="auto"/>
              </w:rPr>
            </w:pPr>
            <w:r>
              <w:rPr>
                <w:rFonts w:ascii="Arial" w:cs="Arial" w:eastAsia="Arial" w:hAnsi="Arial"/>
                <w:sz w:val="16"/>
                <w:szCs w:val="16"/>
                <w:color w:val="auto"/>
              </w:rPr>
              <w:t>November 19, 2020</w:t>
            </w:r>
          </w:p>
        </w:tc>
        <w:tc>
          <w:tcPr>
            <w:tcW w:w="0" w:type="dxa"/>
            <w:vAlign w:val="bottom"/>
          </w:tcPr>
          <w:p>
            <w:pPr>
              <w:spacing w:after="0"/>
              <w:rPr>
                <w:sz w:val="1"/>
                <w:szCs w:val="1"/>
                <w:color w:val="auto"/>
              </w:rPr>
            </w:pPr>
          </w:p>
        </w:tc>
      </w:tr>
      <w:tr>
        <w:trPr>
          <w:trHeight w:val="21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2020</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9,162</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19, 2021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4, 2021</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11, 2021</w:t>
            </w:r>
          </w:p>
        </w:tc>
        <w:tc>
          <w:tcPr>
            <w:tcW w:w="0" w:type="dxa"/>
            <w:vAlign w:val="bottom"/>
          </w:tcPr>
          <w:p>
            <w:pPr>
              <w:spacing w:after="0"/>
              <w:rPr>
                <w:sz w:val="1"/>
                <w:szCs w:val="1"/>
                <w:color w:val="auto"/>
              </w:rPr>
            </w:pPr>
          </w:p>
        </w:tc>
      </w:tr>
      <w:tr>
        <w:trPr>
          <w:trHeight w:val="211"/>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Q1 2021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22,678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16,230</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27, 2021</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May 13, 2021</w:t>
            </w:r>
          </w:p>
        </w:tc>
        <w:tc>
          <w:tcPr>
            <w:tcW w:w="1640" w:type="dxa"/>
            <w:vAlign w:val="bottom"/>
          </w:tcPr>
          <w:p>
            <w:pPr>
              <w:jc w:val="right"/>
              <w:spacing w:after="0"/>
              <w:rPr>
                <w:sz w:val="20"/>
                <w:szCs w:val="20"/>
                <w:color w:val="auto"/>
              </w:rPr>
            </w:pPr>
            <w:r>
              <w:rPr>
                <w:rFonts w:ascii="Arial" w:cs="Arial" w:eastAsia="Arial" w:hAnsi="Arial"/>
                <w:sz w:val="16"/>
                <w:szCs w:val="16"/>
                <w:color w:val="auto"/>
              </w:rPr>
              <w:t>May 20, 2021</w:t>
            </w:r>
          </w:p>
        </w:tc>
        <w:tc>
          <w:tcPr>
            <w:tcW w:w="0" w:type="dxa"/>
            <w:vAlign w:val="bottom"/>
          </w:tcPr>
          <w:p>
            <w:pPr>
              <w:spacing w:after="0"/>
              <w:rPr>
                <w:sz w:val="1"/>
                <w:szCs w:val="1"/>
                <w:color w:val="auto"/>
              </w:rPr>
            </w:pPr>
          </w:p>
        </w:tc>
      </w:tr>
      <w:tr>
        <w:trPr>
          <w:trHeight w:val="21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2021</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21,235</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28, 2021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12, 2021</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19, 2021</w:t>
            </w:r>
          </w:p>
        </w:tc>
        <w:tc>
          <w:tcPr>
            <w:tcW w:w="0" w:type="dxa"/>
            <w:vAlign w:val="bottom"/>
          </w:tcPr>
          <w:p>
            <w:pPr>
              <w:spacing w:after="0"/>
              <w:rPr>
                <w:sz w:val="1"/>
                <w:szCs w:val="1"/>
                <w:color w:val="auto"/>
              </w:rPr>
            </w:pPr>
          </w:p>
        </w:tc>
      </w:tr>
      <w:tr>
        <w:trPr>
          <w:trHeight w:val="209"/>
        </w:trPr>
        <w:tc>
          <w:tcPr>
            <w:tcW w:w="980" w:type="dxa"/>
            <w:vAlign w:val="bottom"/>
            <w:gridSpan w:val="2"/>
          </w:tcPr>
          <w:p>
            <w:pPr>
              <w:ind w:left="20"/>
              <w:spacing w:after="0"/>
              <w:rPr>
                <w:sz w:val="20"/>
                <w:szCs w:val="20"/>
                <w:color w:val="auto"/>
              </w:rPr>
            </w:pPr>
            <w:r>
              <w:rPr>
                <w:rFonts w:ascii="Arial" w:cs="Arial" w:eastAsia="Arial" w:hAnsi="Arial"/>
                <w:sz w:val="16"/>
                <w:szCs w:val="16"/>
                <w:color w:val="auto"/>
              </w:rPr>
              <w:t>Q3 2021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30,118</w:t>
            </w: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color w:val="auto"/>
              </w:rPr>
              <w:t>October 27, 2021</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11, 2021</w:t>
            </w:r>
          </w:p>
        </w:tc>
        <w:tc>
          <w:tcPr>
            <w:tcW w:w="1640" w:type="dxa"/>
            <w:vAlign w:val="bottom"/>
          </w:tcPr>
          <w:p>
            <w:pPr>
              <w:jc w:val="right"/>
              <w:spacing w:after="0"/>
              <w:rPr>
                <w:sz w:val="20"/>
                <w:szCs w:val="20"/>
                <w:color w:val="auto"/>
              </w:rPr>
            </w:pPr>
            <w:r>
              <w:rPr>
                <w:rFonts w:ascii="Arial" w:cs="Arial" w:eastAsia="Arial" w:hAnsi="Arial"/>
                <w:sz w:val="16"/>
                <w:szCs w:val="16"/>
                <w:color w:val="auto"/>
              </w:rPr>
              <w:t>November 18, 2021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 Includes amounts paid to Diamondback for the 731,500 common units beneficially owned by Diamondback.</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Partnership, as managing member of the Operating Company, has entered into an agreement whereby special allocations of the Operating Company’s income and gains over losses and deductions (but before depletion) are to be made to Diamondback. This agreement was amended in December 2021 to shorten the remaining period of special allocations to Diamondback by one year, so that the special allocation period will end on December 31, 2022, rather than on December 31, 2023. These special income allocations will reduce the taxable income allocated to the Partnership’s common unitholders.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2"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net income (loss) per common unit on the consolidated statements of operations is based on the net income (loss) of the Partnership for the years ended December 31, 2021, 2020 and 2019, since this is the amount of net income (loss) that is attributable to the Partnership’s common units.</w:t>
      </w:r>
    </w:p>
    <w:p>
      <w:pPr>
        <w:spacing w:after="0" w:line="156" w:lineRule="exact"/>
        <w:rPr>
          <w:sz w:val="20"/>
          <w:szCs w:val="20"/>
          <w:color w:val="auto"/>
        </w:rPr>
      </w:pPr>
    </w:p>
    <w:p>
      <w:pPr>
        <w:jc w:val="both"/>
        <w:ind w:firstLine="643"/>
        <w:spacing w:after="0" w:line="260" w:lineRule="auto"/>
        <w:rPr>
          <w:rFonts w:ascii="Arial" w:cs="Arial" w:eastAsia="Arial" w:hAnsi="Arial"/>
          <w:sz w:val="18"/>
          <w:szCs w:val="18"/>
          <w:color w:val="0000FF"/>
        </w:rPr>
      </w:pPr>
      <w:r>
        <w:rPr>
          <w:rFonts w:ascii="Arial" w:cs="Arial" w:eastAsia="Arial" w:hAnsi="Arial"/>
          <w:sz w:val="18"/>
          <w:szCs w:val="18"/>
          <w:color w:val="auto"/>
        </w:rPr>
        <w:t xml:space="preserve">The Partnership’s net income (loss) is allocated wholly to the common units, as the General Partner does not have an economic interest. Payments </w:t>
      </w:r>
      <w:hyperlink w:anchor="page89">
        <w:r>
          <w:rPr>
            <w:rFonts w:ascii="Arial" w:cs="Arial" w:eastAsia="Arial" w:hAnsi="Arial"/>
            <w:sz w:val="18"/>
            <w:szCs w:val="18"/>
            <w:color w:val="auto"/>
          </w:rPr>
          <w:t>made to the Partnership’s unitholders are determined in relation to the cash distribution policy described in Note 7—</w:t>
        </w:r>
        <w:r>
          <w:rPr>
            <w:rFonts w:ascii="Arial" w:cs="Arial" w:eastAsia="Arial" w:hAnsi="Arial"/>
            <w:sz w:val="18"/>
            <w:szCs w:val="18"/>
            <w:u w:val="single" w:color="auto"/>
            <w:color w:val="0000FF"/>
          </w:rPr>
          <w:t>Unitholders' Equity and Partnership</w:t>
        </w:r>
      </w:hyperlink>
      <w:r>
        <w:rPr>
          <w:rFonts w:ascii="Arial" w:cs="Arial" w:eastAsia="Arial" w:hAnsi="Arial"/>
          <w:sz w:val="18"/>
          <w:szCs w:val="18"/>
          <w:color w:val="auto"/>
        </w:rPr>
        <w:t xml:space="preserve"> </w:t>
      </w:r>
      <w:hyperlink w:anchor="page89">
        <w:r>
          <w:rPr>
            <w:rFonts w:ascii="Arial" w:cs="Arial" w:eastAsia="Arial" w:hAnsi="Arial"/>
            <w:sz w:val="18"/>
            <w:szCs w:val="18"/>
            <w:u w:val="single" w:color="auto"/>
            <w:color w:val="0000FF"/>
          </w:rPr>
          <w:t>Distributions</w:t>
        </w:r>
        <w:r>
          <w:rPr>
            <w:rFonts w:ascii="Arial" w:cs="Arial" w:eastAsia="Arial" w:hAnsi="Arial"/>
            <w:sz w:val="18"/>
            <w:szCs w:val="18"/>
            <w:color w:val="000000"/>
          </w:rPr>
          <w:t>.</w:t>
        </w:r>
      </w:hyperlink>
    </w:p>
    <w:p>
      <w:pPr>
        <w:spacing w:after="0" w:line="21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6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8"/>
          </w:tcPr>
          <w:p>
            <w:pPr>
              <w:jc w:val="center"/>
              <w:ind w:left="474"/>
              <w:spacing w:after="0"/>
              <w:rPr>
                <w:sz w:val="20"/>
                <w:szCs w:val="20"/>
                <w:color w:val="auto"/>
              </w:rPr>
            </w:pPr>
            <w:r>
              <w:rPr>
                <w:rFonts w:ascii="Arial" w:cs="Arial" w:eastAsia="Arial" w:hAnsi="Arial"/>
                <w:sz w:val="14"/>
                <w:szCs w:val="14"/>
                <w:b w:val="1"/>
                <w:bCs w:val="1"/>
                <w:color w:val="auto"/>
                <w:w w:val="91"/>
              </w:rPr>
              <w:t>(In thousands, except per unit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57,939</w:t>
            </w:r>
          </w:p>
        </w:tc>
        <w:tc>
          <w:tcPr>
            <w:tcW w:w="46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46,281</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income (loss) attributable to common unitholders</w:t>
            </w:r>
          </w:p>
        </w:tc>
        <w:tc>
          <w:tcPr>
            <w:tcW w:w="32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58,132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(192,348)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46,164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61,744</w:t>
            </w:r>
          </w:p>
        </w:tc>
        <w:tc>
          <w:tcPr>
            <w:tcW w:w="0" w:type="dxa"/>
            <w:vAlign w:val="bottom"/>
          </w:tcPr>
          <w:p>
            <w:pPr>
              <w:spacing w:after="0"/>
              <w:rPr>
                <w:sz w:val="1"/>
                <w:szCs w:val="1"/>
                <w:color w:val="auto"/>
              </w:rPr>
            </w:pPr>
          </w:p>
        </w:tc>
      </w:tr>
      <w:tr>
        <w:trPr>
          <w:trHeight w:val="227"/>
        </w:trPr>
        <w:tc>
          <w:tcPr>
            <w:tcW w:w="696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460"/>
              <w:spacing w:after="0" w:line="228"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696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61,787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7"/>
        </w:trPr>
        <w:tc>
          <w:tcPr>
            <w:tcW w:w="696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46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0" w:hanging="393"/>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0" w:lineRule="exact"/>
        <w:rPr>
          <w:rFonts w:ascii="Arial" w:cs="Arial" w:eastAsia="Arial" w:hAnsi="Arial"/>
          <w:sz w:val="18"/>
          <w:szCs w:val="18"/>
          <w:color w:val="auto"/>
        </w:rPr>
      </w:pPr>
    </w:p>
    <w:p>
      <w:pPr>
        <w:jc w:val="both"/>
        <w:ind w:left="320" w:hanging="313"/>
        <w:spacing w:after="0" w:line="251"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 ended December 31, 2021, 10,160 potential common units were excluded from the computation of diluted earnings per common unit because their inclusion would have been anti-dilutive. For the year ended December 31, 2020, no potential common units were included in the computation of diluted earnings per common unit because their inclusion would have been anti-dilutive as a result of recording a net loss attributable to the common unitholders for the period.</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39" w:lineRule="exact"/>
        <w:rPr>
          <w:sz w:val="20"/>
          <w:szCs w:val="20"/>
          <w:color w:val="auto"/>
        </w:rPr>
      </w:pPr>
    </w:p>
    <w:p>
      <w:pPr>
        <w:jc w:val="both"/>
        <w:ind w:firstLine="643"/>
        <w:spacing w:after="0" w:line="223" w:lineRule="auto"/>
        <w:rPr>
          <w:sz w:val="20"/>
          <w:szCs w:val="20"/>
          <w:color w:val="auto"/>
        </w:rPr>
      </w:pPr>
      <w:r>
        <w:rPr>
          <w:rFonts w:ascii="Arial" w:cs="Arial" w:eastAsia="Arial" w:hAnsi="Arial"/>
          <w:sz w:val="18"/>
          <w:szCs w:val="18"/>
          <w:color w:val="auto"/>
        </w:rPr>
        <w:t>The Partnership’s total income tax expense for the year ended December 31, 2021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 For the year ended December 31, 2020, total income tax expense differed from amounts computed by applying the United States federal statutory rate to pre-tax loss for the period primarily due to net loss attributable to the non-controlling interest and the impact of recording a valuation allowance on the Partnership’s deferred tax assets. Total income tax benefit for the year ended December 31, 2019 differed from amounts computed by applying the United States federal statutory tax rate to pre-tax income for the period primarily due to net income attributable to the non-controlling interest and the revision of estimated deferred taxes recognized as a result of the Partnership’s change in tax status.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components of the provision for income taxes and effective tax rates for the years ended December 31, 2021, 2020 and 2019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5"/>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181"/>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 (benefit):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1"/>
        </w:trPr>
        <w:tc>
          <w:tcPr>
            <w:tcW w:w="6020" w:type="dxa"/>
            <w:vAlign w:val="bottom"/>
          </w:tcPr>
          <w:p>
            <w:pPr>
              <w:ind w:left="660"/>
              <w:spacing w:after="0"/>
              <w:rPr>
                <w:sz w:val="20"/>
                <w:szCs w:val="20"/>
                <w:color w:val="auto"/>
              </w:rPr>
            </w:pPr>
            <w:r>
              <w:rPr>
                <w:rFonts w:ascii="Arial" w:cs="Arial" w:eastAsia="Arial" w:hAnsi="Arial"/>
                <w:sz w:val="18"/>
                <w:szCs w:val="18"/>
                <w:color w:val="auto"/>
              </w:rPr>
              <w:t>Total current income tax provision (benefit)</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142,466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(41,582)</w:t>
            </w:r>
          </w:p>
        </w:tc>
      </w:tr>
      <w:tr>
        <w:trPr>
          <w:trHeight w:val="228"/>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1"/>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deferred income tax provision (benefit)</w:t>
            </w:r>
          </w:p>
        </w:tc>
        <w:tc>
          <w:tcPr>
            <w:tcW w:w="2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142,466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(41,582)</w:t>
            </w:r>
          </w:p>
        </w:tc>
      </w:tr>
      <w:tr>
        <w:trPr>
          <w:trHeight w:val="24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(benefit) from income taxes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142,466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(41,582)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547"/>
        </w:trPr>
        <w:tc>
          <w:tcPr>
            <w:tcW w:w="7820" w:type="dxa"/>
            <w:vAlign w:val="bottom"/>
            <w:gridSpan w:val="6"/>
          </w:tcPr>
          <w:p>
            <w:pPr>
              <w:ind w:left="640"/>
              <w:spacing w:after="0"/>
              <w:rPr>
                <w:sz w:val="20"/>
                <w:szCs w:val="20"/>
                <w:color w:val="auto"/>
              </w:rPr>
            </w:pPr>
            <w:r>
              <w:rPr>
                <w:rFonts w:ascii="Arial" w:cs="Arial" w:eastAsia="Arial" w:hAnsi="Arial"/>
                <w:sz w:val="18"/>
                <w:szCs w:val="18"/>
                <w:color w:val="auto"/>
                <w:w w:val="93"/>
              </w:rPr>
              <w:t>A reconciliation of the statutory federal income tax amount to the recorded expense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0"/>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5"/>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1"/>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the federal statutory rate (21%)</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(10,699)</w:t>
            </w:r>
          </w:p>
        </w:tc>
        <w:tc>
          <w:tcPr>
            <w:tcW w:w="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r>
      <w:tr>
        <w:trPr>
          <w:trHeight w:val="227"/>
        </w:trPr>
        <w:tc>
          <w:tcPr>
            <w:tcW w:w="6020" w:type="dxa"/>
            <w:vAlign w:val="bottom"/>
          </w:tcPr>
          <w:p>
            <w:pPr>
              <w:ind w:left="20"/>
              <w:spacing w:after="0"/>
              <w:rPr>
                <w:sz w:val="20"/>
                <w:szCs w:val="20"/>
                <w:color w:val="auto"/>
              </w:rPr>
            </w:pPr>
            <w:r>
              <w:rPr>
                <w:rFonts w:ascii="Arial" w:cs="Arial" w:eastAsia="Arial" w:hAnsi="Arial"/>
                <w:sz w:val="18"/>
                <w:szCs w:val="18"/>
                <w:color w:val="auto"/>
              </w:rPr>
              <w:t>Impact of nontaxable noncontrolling interest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(41,735)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(36,735)</w:t>
            </w: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(benefit), net of federal tax effect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020" w:type="dxa"/>
            <w:vAlign w:val="bottom"/>
          </w:tcPr>
          <w:p>
            <w:pPr>
              <w:ind w:left="20"/>
              <w:spacing w:after="0"/>
              <w:rPr>
                <w:sz w:val="20"/>
                <w:szCs w:val="20"/>
                <w:color w:val="auto"/>
              </w:rPr>
            </w:pPr>
            <w:r>
              <w:rPr>
                <w:rFonts w:ascii="Arial" w:cs="Arial" w:eastAsia="Arial" w:hAnsi="Arial"/>
                <w:sz w:val="18"/>
                <w:szCs w:val="18"/>
                <w:color w:val="auto"/>
              </w:rPr>
              <w:t>Deferred taxes related to change in tax status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(42,424)</w:t>
            </w: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152,898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142,466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(41,582)</w:t>
            </w:r>
          </w:p>
        </w:tc>
      </w:tr>
      <w:tr>
        <w:trPr>
          <w:trHeight w:val="20"/>
        </w:trPr>
        <w:tc>
          <w:tcPr>
            <w:tcW w:w="63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9580" w:type="dxa"/>
            <w:vAlign w:val="bottom"/>
            <w:gridSpan w:val="13"/>
          </w:tcPr>
          <w:p>
            <w:pPr>
              <w:ind w:left="640"/>
              <w:spacing w:after="0"/>
              <w:rPr>
                <w:sz w:val="20"/>
                <w:szCs w:val="20"/>
                <w:color w:val="auto"/>
              </w:rPr>
            </w:pPr>
            <w:r>
              <w:rPr>
                <w:rFonts w:ascii="Arial" w:cs="Arial" w:eastAsia="Arial" w:hAnsi="Arial"/>
                <w:sz w:val="18"/>
                <w:szCs w:val="18"/>
                <w:color w:val="auto"/>
                <w:w w:val="92"/>
              </w:rPr>
              <w:t>The components of the Partnership’s deferred tax assets and liabilities as of December 31, 2021 and 2020 are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1"/>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6600" w:type="dxa"/>
            <w:vAlign w:val="bottom"/>
            <w:gridSpan w:val="3"/>
          </w:tcPr>
          <w:p>
            <w:pPr>
              <w:ind w:left="540"/>
              <w:spacing w:after="0"/>
              <w:rPr>
                <w:sz w:val="20"/>
                <w:szCs w:val="20"/>
                <w:color w:val="auto"/>
              </w:rPr>
            </w:pPr>
            <w:r>
              <w:rPr>
                <w:rFonts w:ascii="Arial" w:cs="Arial" w:eastAsia="Arial" w:hAnsi="Arial"/>
                <w:sz w:val="18"/>
                <w:szCs w:val="18"/>
                <w:color w:val="auto"/>
                <w:w w:val="92"/>
              </w:rPr>
              <w:t>Net operating loss and interest expense carryforwards (indefinite life carryforward)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6,014</w:t>
            </w:r>
          </w:p>
        </w:tc>
        <w:tc>
          <w:tcPr>
            <w:tcW w:w="20" w:type="dxa"/>
            <w:vAlign w:val="bottom"/>
          </w:tcPr>
          <w:p>
            <w:pPr>
              <w:spacing w:after="0"/>
              <w:rPr>
                <w:sz w:val="19"/>
                <w:szCs w:val="19"/>
                <w:color w:val="auto"/>
              </w:rPr>
            </w:pPr>
          </w:p>
        </w:tc>
        <w:tc>
          <w:tcPr>
            <w:tcW w:w="58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10,477</w:t>
            </w:r>
          </w:p>
        </w:tc>
      </w:tr>
      <w:tr>
        <w:trPr>
          <w:trHeight w:val="228"/>
        </w:trPr>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in the Operating Company</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150,127</w:t>
            </w:r>
          </w:p>
        </w:tc>
      </w:tr>
      <w:tr>
        <w:trPr>
          <w:trHeight w:val="221"/>
        </w:trPr>
        <w:tc>
          <w:tcPr>
            <w:tcW w:w="6020" w:type="dxa"/>
            <w:vAlign w:val="bottom"/>
          </w:tcPr>
          <w:p>
            <w:pPr>
              <w:ind w:left="780"/>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169,079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160,604</w:t>
            </w:r>
          </w:p>
        </w:tc>
      </w:tr>
      <w:tr>
        <w:trPr>
          <w:trHeight w:val="228"/>
        </w:trPr>
        <w:tc>
          <w:tcPr>
            <w:tcW w:w="6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(160,604)</w:t>
            </w:r>
          </w:p>
        </w:tc>
      </w:tr>
      <w:tr>
        <w:trPr>
          <w:trHeight w:val="221"/>
        </w:trPr>
        <w:tc>
          <w:tcPr>
            <w:tcW w:w="60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0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Net deferred tax assets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6"/>
          <w:szCs w:val="16"/>
          <w:color w:val="auto"/>
        </w:rPr>
        <w:t>As of December 31, 2021 and 2020, the Partnership had no net deferred tax assets or deferred tax liabilities. Subsequent to the Partnership’s change in tax status, deferred taxes are provided on the difference between the Partnership’s basis for financial accounting purposes and basis for federal income tax</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purposes in its investment in the Operating Company. At December 31, 2021, the Partnership had federal net operating loss carryforwards of approximately $28.6 million which may be carried forward indefinitely to offset future taxable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As of December 31, 2021, the Partnership had a valuation allowance of approximately $169.1 million related to deferred tax assets the Partnership does not believe are more likely than not to be realized. Management considers the likelihood that the Partnership’s net operating losses and other deferred tax attributes will be utilized prior to their expiration, if applicable. The determination to record a valuation allowance was based on management’s assessment of all available evidence, both positive and negative, supporting realizability of the Partnership’s deferred tax assets as required by applicable accounting standards. In light of those criteria for recognizing the tax benefit of deferred tax assets, the Partnership’s assessment resulted in application of a valuation allowance against the Partnership’s federal deferred tax assets as of March 31, 2020 and subsequent balance sheet dates within the years ended December 31, 2021 and 2020. In addition, a valuation allowance was maintained against state net operating loss carryforwards not anticipated to be utilized prior to expiration.</w:t>
      </w:r>
    </w:p>
    <w:p>
      <w:pPr>
        <w:spacing w:after="0" w:line="210" w:lineRule="exact"/>
        <w:rPr>
          <w:sz w:val="20"/>
          <w:szCs w:val="20"/>
          <w:color w:val="auto"/>
        </w:rPr>
      </w:pPr>
    </w:p>
    <w:p>
      <w:pPr>
        <w:jc w:val="both"/>
        <w:ind w:firstLine="643"/>
        <w:spacing w:after="0" w:line="258" w:lineRule="auto"/>
        <w:rPr>
          <w:sz w:val="20"/>
          <w:szCs w:val="20"/>
          <w:color w:val="auto"/>
        </w:rPr>
      </w:pPr>
      <w:r>
        <w:rPr>
          <w:rFonts w:ascii="Arial" w:cs="Arial" w:eastAsia="Arial" w:hAnsi="Arial"/>
          <w:sz w:val="16"/>
          <w:szCs w:val="16"/>
          <w:color w:val="auto"/>
        </w:rPr>
        <w:t>The Partnership principally operates in the state of Texas. For the years ended December 31, 2021, the Partnership accrued $0.3 million state income tax expenses for its share of Texas margin tax attributable to the Partnership’s results which are included in a combined tax return filed by Diamondback. For the year ended December 31, 2020, the Partnership did not accrue any state income tax expenses. At December 31, 2021, the Partnership did not have any significant uncertain tax positions requiring recognition in the financial statements. In addition to the 2019 through 2021 tax years, our 2018 tax year during which we elected to be treated as a corporation for income tax purposes, remains open to examination by tax authorities.</w:t>
      </w:r>
    </w:p>
    <w:p>
      <w:pPr>
        <w:spacing w:after="0" w:line="203"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The American Rescue Plan was enacted on March 11, 2021 and the Coronavirus Aid, Relief, and Economic Security Act (“CARES Act”) was enacted on March 27, 2020, which included a number of provisions applicable to U.S. income taxes for corporations. The Partnership considered the impact of this legislation in the period of enactment and concluded there was not a material impact to the Partnership’s current or deferred income tax balances.</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DERIVATIVES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7"/>
          <w:szCs w:val="17"/>
          <w:color w:val="auto"/>
        </w:rPr>
        <w:t>During 2021, the Partnership used fixed price swap contracts, fixed price basis swap contracts and costless collars with corresponding put and call options to reduce price volatility associated with certain of its royalty income. 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0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11" w:lineRule="exact"/>
        <w:rPr>
          <w:sz w:val="20"/>
          <w:szCs w:val="20"/>
          <w:color w:val="auto"/>
        </w:rPr>
      </w:pPr>
    </w:p>
    <w:p>
      <w:pPr>
        <w:jc w:val="both"/>
        <w:ind w:firstLine="643"/>
        <w:spacing w:after="0" w:line="237"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firstLine="643"/>
        <w:spacing w:after="0" w:line="266" w:lineRule="auto"/>
        <w:rPr>
          <w:sz w:val="20"/>
          <w:szCs w:val="20"/>
          <w:color w:val="auto"/>
        </w:rPr>
      </w:pPr>
      <w:r>
        <w:rPr>
          <w:rFonts w:ascii="Arial" w:cs="Arial" w:eastAsia="Arial" w:hAnsi="Arial"/>
          <w:sz w:val="18"/>
          <w:szCs w:val="18"/>
          <w:color w:val="auto"/>
        </w:rPr>
        <w:t>As of December 31, 2021, the Partnership had the following outstanding derivative contracts. When aggregating multiple contracts, the weighted average contract price is disclosed.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Swaps</w:t>
            </w:r>
          </w:p>
        </w:tc>
        <w:tc>
          <w:tcPr>
            <w:tcW w:w="100" w:type="dxa"/>
            <w:vAlign w:val="bottom"/>
          </w:tcPr>
          <w:p>
            <w:pPr>
              <w:spacing w:after="0"/>
              <w:rPr>
                <w:sz w:val="16"/>
                <w:szCs w:val="16"/>
                <w:color w:val="auto"/>
              </w:rPr>
            </w:pPr>
          </w:p>
        </w:tc>
        <w:tc>
          <w:tcPr>
            <w:tcW w:w="25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Collars</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Puts</w:t>
            </w: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94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9"/>
              </w:rPr>
              <w:t>Settlement</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Type of</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Bbls/Mcf Per</w:t>
            </w:r>
          </w:p>
        </w:tc>
        <w:tc>
          <w:tcPr>
            <w:tcW w:w="124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Settlement Month</w:t>
            </w:r>
          </w:p>
        </w:tc>
        <w:tc>
          <w:tcPr>
            <w:tcW w:w="9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Index</w:t>
            </w:r>
          </w:p>
        </w:tc>
        <w:tc>
          <w:tcPr>
            <w:tcW w:w="1240" w:type="dxa"/>
            <w:vAlign w:val="bottom"/>
            <w:vMerge w:val="continue"/>
          </w:tcPr>
          <w:p>
            <w:pPr>
              <w:spacing w:after="0"/>
              <w:rPr>
                <w:sz w:val="11"/>
                <w:szCs w:val="11"/>
                <w:color w:val="auto"/>
              </w:rPr>
            </w:pPr>
          </w:p>
        </w:tc>
        <w:tc>
          <w:tcPr>
            <w:tcW w:w="1140" w:type="dxa"/>
            <w:vAlign w:val="bottom"/>
            <w:gridSpan w:val="2"/>
          </w:tcPr>
          <w:p>
            <w:pPr>
              <w:jc w:val="center"/>
              <w:ind w:right="120"/>
              <w:spacing w:after="0" w:line="134" w:lineRule="exact"/>
              <w:rPr>
                <w:sz w:val="20"/>
                <w:szCs w:val="20"/>
                <w:color w:val="auto"/>
              </w:rPr>
            </w:pPr>
            <w:r>
              <w:rPr>
                <w:rFonts w:ascii="Arial" w:cs="Arial" w:eastAsia="Arial" w:hAnsi="Arial"/>
                <w:sz w:val="14"/>
                <w:szCs w:val="14"/>
                <w:b w:val="1"/>
                <w:bCs w:val="1"/>
                <w:color w:val="auto"/>
                <w:w w:val="89"/>
              </w:rPr>
              <w:t>Average Fixed</w:t>
            </w:r>
          </w:p>
        </w:tc>
        <w:tc>
          <w:tcPr>
            <w:tcW w:w="126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Strike Price</w:t>
            </w:r>
          </w:p>
        </w:tc>
        <w:tc>
          <w:tcPr>
            <w:tcW w:w="0" w:type="dxa"/>
            <w:vAlign w:val="bottom"/>
          </w:tcPr>
          <w:p>
            <w:pPr>
              <w:spacing w:after="0"/>
              <w:rPr>
                <w:sz w:val="1"/>
                <w:szCs w:val="1"/>
                <w:color w:val="auto"/>
              </w:rPr>
            </w:pPr>
          </w:p>
        </w:tc>
      </w:tr>
      <w:tr>
        <w:trPr>
          <w:trHeight w:val="186"/>
        </w:trPr>
        <w:tc>
          <w:tcPr>
            <w:tcW w:w="1280" w:type="dxa"/>
            <w:vAlign w:val="bottom"/>
            <w:vMerge w:val="continue"/>
          </w:tcPr>
          <w:p>
            <w:pPr>
              <w:spacing w:after="0"/>
              <w:rPr>
                <w:sz w:val="16"/>
                <w:szCs w:val="16"/>
                <w:color w:val="auto"/>
              </w:rPr>
            </w:pPr>
          </w:p>
        </w:tc>
        <w:tc>
          <w:tcPr>
            <w:tcW w:w="94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Day</w:t>
            </w:r>
          </w:p>
        </w:tc>
        <w:tc>
          <w:tcPr>
            <w:tcW w:w="124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Differential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Floor Price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Ceiling Price</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OIL</w:t>
            </w:r>
          </w:p>
        </w:tc>
        <w:tc>
          <w:tcPr>
            <w:tcW w:w="9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8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940" w:type="dxa"/>
            <w:vAlign w:val="bottom"/>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$79.55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8"/>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 - Jun.</w:t>
            </w:r>
          </w:p>
        </w:tc>
        <w:tc>
          <w:tcPr>
            <w:tcW w:w="94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$80.15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7"/>
        </w:trPr>
        <w:tc>
          <w:tcPr>
            <w:tcW w:w="1280" w:type="dxa"/>
            <w:vAlign w:val="bottom"/>
          </w:tcPr>
          <w:p>
            <w:pPr>
              <w:jc w:val="center"/>
              <w:spacing w:after="0"/>
              <w:rPr>
                <w:sz w:val="20"/>
                <w:szCs w:val="20"/>
                <w:color w:val="auto"/>
              </w:rPr>
            </w:pPr>
            <w:r>
              <w:rPr>
                <w:rFonts w:ascii="Arial" w:cs="Arial" w:eastAsia="Arial" w:hAnsi="Arial"/>
                <w:sz w:val="18"/>
                <w:szCs w:val="18"/>
                <w:color w:val="auto"/>
                <w:w w:val="88"/>
              </w:rPr>
              <w:t>Jul. - Sep.</w:t>
            </w:r>
          </w:p>
        </w:tc>
        <w:tc>
          <w:tcPr>
            <w:tcW w:w="940" w:type="dxa"/>
            <w:vAlign w:val="bottom"/>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$92.65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8"/>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94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shd w:val="clear" w:color="auto" w:fill="CCEEFF"/>
          </w:tcPr>
          <w:p>
            <w:pPr>
              <w:jc w:val="center"/>
              <w:spacing w:after="0" w:line="228"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$47.51</w:t>
            </w:r>
          </w:p>
        </w:tc>
        <w:tc>
          <w:tcPr>
            <w:tcW w:w="0" w:type="dxa"/>
            <w:vAlign w:val="bottom"/>
          </w:tcPr>
          <w:p>
            <w:pPr>
              <w:spacing w:after="0"/>
              <w:rPr>
                <w:sz w:val="1"/>
                <w:szCs w:val="1"/>
                <w:color w:val="auto"/>
              </w:rPr>
            </w:pPr>
          </w:p>
        </w:tc>
      </w:tr>
      <w:tr>
        <w:trPr>
          <w:trHeight w:val="228"/>
        </w:trPr>
        <w:tc>
          <w:tcPr>
            <w:tcW w:w="1280" w:type="dxa"/>
            <w:vAlign w:val="bottom"/>
          </w:tcPr>
          <w:p>
            <w:pPr>
              <w:jc w:val="center"/>
              <w:spacing w:after="0"/>
              <w:rPr>
                <w:sz w:val="20"/>
                <w:szCs w:val="20"/>
                <w:color w:val="auto"/>
              </w:rPr>
            </w:pPr>
            <w:r>
              <w:rPr>
                <w:rFonts w:ascii="Arial" w:cs="Arial" w:eastAsia="Arial" w:hAnsi="Arial"/>
                <w:sz w:val="18"/>
                <w:szCs w:val="18"/>
                <w:color w:val="auto"/>
                <w:w w:val="91"/>
              </w:rPr>
              <w:t>Apr. - Jun.</w:t>
            </w:r>
          </w:p>
        </w:tc>
        <w:tc>
          <w:tcPr>
            <w:tcW w:w="940" w:type="dxa"/>
            <w:vAlign w:val="bottom"/>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tcPr>
          <w:p>
            <w:pPr>
              <w:jc w:val="center"/>
              <w:spacing w:after="0" w:line="228"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$47.50</w:t>
            </w:r>
          </w:p>
        </w:tc>
        <w:tc>
          <w:tcPr>
            <w:tcW w:w="0" w:type="dxa"/>
            <w:vAlign w:val="bottom"/>
          </w:tcPr>
          <w:p>
            <w:pPr>
              <w:spacing w:after="0"/>
              <w:rPr>
                <w:sz w:val="1"/>
                <w:szCs w:val="1"/>
                <w:color w:val="auto"/>
              </w:rPr>
            </w:pPr>
          </w:p>
        </w:tc>
      </w:tr>
      <w:tr>
        <w:trPr>
          <w:trHeight w:val="201"/>
        </w:trPr>
        <w:tc>
          <w:tcPr>
            <w:tcW w:w="12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NATURAL GAS</w:t>
            </w: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940" w:type="dxa"/>
            <w:vAlign w:val="bottom"/>
          </w:tcPr>
          <w:p>
            <w:pPr>
              <w:jc w:val="center"/>
              <w:ind w:right="15"/>
              <w:spacing w:after="0"/>
              <w:rPr>
                <w:sz w:val="20"/>
                <w:szCs w:val="20"/>
                <w:color w:val="auto"/>
              </w:rPr>
            </w:pPr>
            <w:r>
              <w:rPr>
                <w:rFonts w:ascii="Arial" w:cs="Arial" w:eastAsia="Arial" w:hAnsi="Arial"/>
                <w:sz w:val="18"/>
                <w:szCs w:val="18"/>
                <w:color w:val="auto"/>
                <w:w w:val="89"/>
              </w:rPr>
              <w:t>2022</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$2.50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$4.62</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3"/>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$1.57/Bbl.</w:t>
      </w:r>
    </w:p>
    <w:p>
      <w:pPr>
        <w:spacing w:after="0" w:line="20" w:lineRule="exact"/>
        <w:rPr>
          <w:rFonts w:ascii="Arial" w:cs="Arial" w:eastAsia="Arial" w:hAnsi="Arial"/>
          <w:sz w:val="18"/>
          <w:szCs w:val="18"/>
          <w:color w:val="auto"/>
        </w:rPr>
      </w:pPr>
    </w:p>
    <w:p>
      <w:pPr>
        <w:ind w:left="260" w:hanging="253"/>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$1.55/Bbl.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48" w:lineRule="exact"/>
        <w:rPr>
          <w:sz w:val="20"/>
          <w:szCs w:val="20"/>
          <w:color w:val="auto"/>
        </w:rPr>
      </w:pPr>
    </w:p>
    <w:p>
      <w:pPr>
        <w:jc w:val="both"/>
        <w:ind w:firstLine="643"/>
        <w:spacing w:after="0" w:line="307" w:lineRule="auto"/>
        <w:rPr>
          <w:rFonts w:ascii="Arial" w:cs="Arial" w:eastAsia="Arial" w:hAnsi="Arial"/>
          <w:sz w:val="16"/>
          <w:szCs w:val="16"/>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94">
        <w:r>
          <w:rPr>
            <w:rFonts w:ascii="Arial" w:cs="Arial" w:eastAsia="Arial" w:hAnsi="Arial"/>
            <w:sz w:val="16"/>
            <w:szCs w:val="16"/>
            <w:u w:val="single" w:color="auto"/>
            <w:color w:val="0000FF"/>
          </w:rPr>
          <w:t>Fair Value Measurements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 and the net cash receipts (payments) on derivatives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5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(92,585)</w:t>
            </w:r>
          </w:p>
        </w:tc>
        <w:tc>
          <w:tcPr>
            <w:tcW w:w="5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(36,998)</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did not have any derivatives prior to February 2020.</w:t>
      </w:r>
    </w:p>
    <w:p>
      <w:pPr>
        <w:spacing w:after="0" w:line="2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FAIR VALUE MEASUREMENTS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7"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3" w:lineRule="exact"/>
        <w:rPr>
          <w:sz w:val="20"/>
          <w:szCs w:val="20"/>
          <w:color w:val="auto"/>
        </w:rPr>
      </w:pPr>
    </w:p>
    <w:p>
      <w:pPr>
        <w:jc w:val="both"/>
        <w:ind w:firstLine="7"/>
        <w:spacing w:after="0" w:line="252" w:lineRule="auto"/>
        <w:tabs>
          <w:tab w:leader="none" w:pos="2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consolidated balance sheets as of December 31, 2021 and December 31, 2020. The net amounts are classified as current or noncurrent based on their anticipated settlement dates.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0"/>
              </w:rPr>
              <w:t>As of December 31, 2021</w:t>
            </w: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Gross Fair</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 Offset</w:t>
            </w:r>
          </w:p>
        </w:tc>
        <w:tc>
          <w:tcPr>
            <w:tcW w:w="120" w:type="dxa"/>
            <w:vAlign w:val="bottom"/>
          </w:tcPr>
          <w:p>
            <w:pPr>
              <w:spacing w:after="0"/>
              <w:rPr>
                <w:sz w:val="11"/>
                <w:szCs w:val="11"/>
                <w:color w:val="auto"/>
              </w:rPr>
            </w:pPr>
          </w:p>
        </w:tc>
        <w:tc>
          <w:tcPr>
            <w:tcW w:w="14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Net Fair Value</w:t>
            </w: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7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1"/>
              <w:spacing w:after="0" w:line="134" w:lineRule="exact"/>
              <w:rPr>
                <w:sz w:val="20"/>
                <w:szCs w:val="20"/>
                <w:color w:val="auto"/>
              </w:rPr>
            </w:pPr>
            <w:r>
              <w:rPr>
                <w:rFonts w:ascii="Arial" w:cs="Arial" w:eastAsia="Arial" w:hAnsi="Arial"/>
                <w:sz w:val="14"/>
                <w:szCs w:val="14"/>
                <w:b w:val="1"/>
                <w:bCs w:val="1"/>
                <w:color w:val="auto"/>
                <w:w w:val="90"/>
              </w:rPr>
              <w:t>Presented in Balance</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in Balance Sheet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5,338</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5,338</w:t>
            </w:r>
          </w:p>
        </w:tc>
        <w:tc>
          <w:tcPr>
            <w:tcW w:w="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544"/>
        </w:trPr>
        <w:tc>
          <w:tcPr>
            <w:tcW w:w="3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0"/>
              </w:rPr>
              <w:t>As of December 31, 2020</w:t>
            </w: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center"/>
              <w:ind w:left="781"/>
              <w:spacing w:after="0"/>
              <w:rPr>
                <w:sz w:val="20"/>
                <w:szCs w:val="20"/>
                <w:color w:val="auto"/>
              </w:rPr>
            </w:pPr>
            <w:r>
              <w:rPr>
                <w:rFonts w:ascii="Arial" w:cs="Arial" w:eastAsia="Arial" w:hAnsi="Arial"/>
                <w:sz w:val="14"/>
                <w:szCs w:val="14"/>
                <w:b w:val="1"/>
                <w:bCs w:val="1"/>
                <w:color w:val="auto"/>
                <w:w w:val="93"/>
              </w:rPr>
              <w:t>Total Gross Fair</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Gross Amounts Offset</w:t>
            </w:r>
          </w:p>
        </w:tc>
        <w:tc>
          <w:tcPr>
            <w:tcW w:w="120" w:type="dxa"/>
            <w:vAlign w:val="bottom"/>
          </w:tcPr>
          <w:p>
            <w:pPr>
              <w:spacing w:after="0"/>
              <w:rPr>
                <w:sz w:val="11"/>
                <w:szCs w:val="11"/>
                <w:color w:val="auto"/>
              </w:rPr>
            </w:pPr>
          </w:p>
        </w:tc>
        <w:tc>
          <w:tcPr>
            <w:tcW w:w="14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Net Fair Value</w:t>
            </w: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7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1"/>
              <w:spacing w:after="0" w:line="134" w:lineRule="exact"/>
              <w:rPr>
                <w:sz w:val="20"/>
                <w:szCs w:val="20"/>
                <w:color w:val="auto"/>
              </w:rPr>
            </w:pPr>
            <w:r>
              <w:rPr>
                <w:rFonts w:ascii="Arial" w:cs="Arial" w:eastAsia="Arial" w:hAnsi="Arial"/>
                <w:sz w:val="14"/>
                <w:szCs w:val="14"/>
                <w:b w:val="1"/>
                <w:bCs w:val="1"/>
                <w:color w:val="auto"/>
                <w:w w:val="90"/>
              </w:rPr>
              <w:t>Presented in Balance</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in Balance Sheet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28,933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28,933</w:t>
            </w:r>
          </w:p>
        </w:tc>
        <w:tc>
          <w:tcPr>
            <w:tcW w:w="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3140" w:type="dxa"/>
            <w:vAlign w:val="bottom"/>
            <w:gridSpan w:val="3"/>
          </w:tcPr>
          <w:p>
            <w:pPr>
              <w:jc w:val="right"/>
              <w:ind w:right="1017"/>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44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r>
      <w:tr>
        <w:trPr>
          <w:trHeight w:val="181"/>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304,000</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84,000</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8"/>
        </w:trPr>
        <w:tc>
          <w:tcPr>
            <w:tcW w:w="44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472,727</w:t>
            </w: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471,644</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501,439</w:t>
            </w:r>
          </w:p>
        </w:tc>
      </w:tr>
    </w:tbl>
    <w:p>
      <w:pPr>
        <w:spacing w:after="0" w:line="79" w:lineRule="exact"/>
        <w:rPr>
          <w:sz w:val="20"/>
          <w:szCs w:val="20"/>
          <w:color w:val="auto"/>
        </w:rPr>
      </w:pPr>
    </w:p>
    <w:p>
      <w:pPr>
        <w:ind w:left="5460" w:right="5440" w:hanging="5453"/>
        <w:spacing w:after="0" w:line="1051" w:lineRule="auto"/>
        <w:tabs>
          <w:tab w:leader="none" w:pos="26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carrying value includes associated deferred loan costs and any discount.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December 31, 2021 quoted market price, a Level 1 classification in the fair value hierarchy.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48"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2" w:lineRule="exact"/>
        <w:rPr>
          <w:sz w:val="20"/>
          <w:szCs w:val="20"/>
          <w:color w:val="auto"/>
        </w:rPr>
      </w:pPr>
    </w:p>
    <w:p>
      <w:pPr>
        <w:jc w:val="both"/>
        <w:ind w:right="80" w:firstLine="643"/>
        <w:spacing w:after="0" w:line="267"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5" w:lineRule="exact"/>
        <w:rPr>
          <w:sz w:val="20"/>
          <w:szCs w:val="20"/>
          <w:color w:val="auto"/>
        </w:rPr>
      </w:pPr>
    </w:p>
    <w:p>
      <w:pPr>
        <w:ind w:left="640" w:right="8880" w:hanging="633"/>
        <w:spacing w:after="0" w:line="561" w:lineRule="auto"/>
        <w:tabs>
          <w:tab w:leader="none" w:pos="399"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spacing w:after="0" w:line="1"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On February 16, 2022, the board of directors of the General Partner approved a cash distribution for the fourth quarter of 2021 of $0.47 per common unit, payable on March 11, 2022, to unitholders of record at the close of business on March 4, 2022.</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Repurchase of Units</w:t>
      </w:r>
    </w:p>
    <w:p>
      <w:pPr>
        <w:spacing w:after="0" w:line="235"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18"/>
          <w:szCs w:val="18"/>
          <w:color w:val="auto"/>
        </w:rPr>
        <w:t>On January 13, 2022, as part of our common unit repurchase program, the Partnership repurchased 1.5 million common units with an aggregate purchase price of approximately $37.3 million in a privately negotiated transaction with an affiliate of Blackstone. This was funded through a combination of cash on hand and borrowings under the Operating Company’s revolving credit facility and was accounted for under the cost method. The common units were immediately retired.</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w:t>
      </w:r>
    </w:p>
    <w:p>
      <w:pPr>
        <w:spacing w:after="0" w:line="23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an aggregate sales price of $29.3 million, subject to post-closing adjustments.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SUPPLEMENTAL INFORMATION ON OIL AND NATURAL GAS OPERATIONS (Unaudited)</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Partnership’s oil and natural gas reserves are attributable solely to properties within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oil and natural gas costs</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and amortization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5"/>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81"/>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220"/>
              <w:spacing w:after="0"/>
              <w:rPr>
                <w:sz w:val="20"/>
                <w:szCs w:val="20"/>
                <w:color w:val="auto"/>
              </w:rPr>
            </w:pPr>
            <w:r>
              <w:rPr>
                <w:rFonts w:ascii="Arial" w:cs="Arial" w:eastAsia="Arial" w:hAnsi="Arial"/>
                <w:sz w:val="18"/>
                <w:szCs w:val="18"/>
                <w:color w:val="auto"/>
              </w:rPr>
              <w:t>Proved</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1,873,418</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1,530,636</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Unproved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1,364,906</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Total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3,513,590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2,895,542</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Net oil and natural gas interests capitalized</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2,914,427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2,399,366</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in oil and natural gas activities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incurred in oil and natural gas property acquisition activities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1"/>
        </w:trPr>
        <w:tc>
          <w:tcPr>
            <w:tcW w:w="6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6380" w:type="dxa"/>
            <w:vAlign w:val="bottom"/>
          </w:tcPr>
          <w:p>
            <w:pPr>
              <w:ind w:left="460"/>
              <w:spacing w:after="0"/>
              <w:rPr>
                <w:sz w:val="20"/>
                <w:szCs w:val="20"/>
                <w:color w:val="auto"/>
              </w:rPr>
            </w:pPr>
            <w:r>
              <w:rPr>
                <w:rFonts w:ascii="Arial" w:cs="Arial" w:eastAsia="Arial" w:hAnsi="Arial"/>
                <w:sz w:val="18"/>
                <w:szCs w:val="18"/>
                <w:color w:val="auto"/>
              </w:rPr>
              <w:t>Proved properties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138,882</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318,525</w:t>
            </w:r>
          </w:p>
        </w:tc>
      </w:tr>
      <w:tr>
        <w:trPr>
          <w:trHeight w:val="228"/>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Unproved properties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833,221</w:t>
            </w:r>
          </w:p>
        </w:tc>
      </w:tr>
      <w:tr>
        <w:trPr>
          <w:trHeight w:val="221"/>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1,151,746</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Oil and Natural Gas Producing Activities</w:t>
      </w:r>
    </w:p>
    <w:p>
      <w:pPr>
        <w:spacing w:after="0" w:line="248" w:lineRule="exact"/>
        <w:rPr>
          <w:sz w:val="20"/>
          <w:szCs w:val="20"/>
          <w:color w:val="auto"/>
        </w:rPr>
      </w:pPr>
    </w:p>
    <w:p>
      <w:pPr>
        <w:jc w:val="both"/>
        <w:ind w:firstLine="643"/>
        <w:spacing w:after="0" w:line="271" w:lineRule="auto"/>
        <w:rPr>
          <w:rFonts w:ascii="Arial" w:cs="Arial" w:eastAsia="Arial" w:hAnsi="Arial"/>
          <w:sz w:val="18"/>
          <w:szCs w:val="18"/>
          <w:color w:val="0000FF"/>
        </w:rPr>
      </w:pPr>
      <w:hyperlink w:anchor="page76">
        <w:r>
          <w:rPr>
            <w:rFonts w:ascii="Arial" w:cs="Arial" w:eastAsia="Arial" w:hAnsi="Arial"/>
            <w:sz w:val="18"/>
            <w:szCs w:val="18"/>
            <w:color w:val="auto"/>
          </w:rPr>
          <w:t xml:space="preserve">Substantially all of the Partnership’s producing activities are from oil and natural gas activities and are included in the </w:t>
        </w:r>
        <w:r>
          <w:rPr>
            <w:rFonts w:ascii="Arial" w:cs="Arial" w:eastAsia="Arial" w:hAnsi="Arial"/>
            <w:sz w:val="18"/>
            <w:szCs w:val="18"/>
            <w:u w:val="single" w:color="auto"/>
            <w:color w:val="0000FF"/>
          </w:rPr>
          <w:t>Consolidated Statements of</w:t>
        </w:r>
      </w:hyperlink>
      <w:r>
        <w:rPr>
          <w:rFonts w:ascii="Arial" w:cs="Arial" w:eastAsia="Arial" w:hAnsi="Arial"/>
          <w:sz w:val="18"/>
          <w:szCs w:val="18"/>
          <w:color w:val="auto"/>
        </w:rPr>
        <w:t xml:space="preserve"> </w:t>
      </w:r>
      <w:hyperlink w:anchor="page76">
        <w:r>
          <w:rPr>
            <w:rFonts w:ascii="Arial" w:cs="Arial" w:eastAsia="Arial" w:hAnsi="Arial"/>
            <w:sz w:val="18"/>
            <w:szCs w:val="18"/>
            <w:u w:val="single" w:color="auto"/>
            <w:color w:val="0000FF"/>
          </w:rPr>
          <w:t>Operations</w:t>
        </w:r>
        <w:r>
          <w:rPr>
            <w:rFonts w:ascii="Arial" w:cs="Arial" w:eastAsia="Arial" w:hAnsi="Arial"/>
            <w:sz w:val="18"/>
            <w:szCs w:val="18"/>
            <w:color w:val="0000FF"/>
          </w:rPr>
          <w:t xml:space="preserve"> </w:t>
        </w:r>
        <w:r>
          <w:rPr>
            <w:rFonts w:ascii="Arial" w:cs="Arial" w:eastAsia="Arial" w:hAnsi="Arial"/>
            <w:sz w:val="18"/>
            <w:szCs w:val="18"/>
            <w:color w:val="000000"/>
          </w:rPr>
          <w:t>above.</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Proved oil and natural gas reserve estimates as of December 31, 2021, 2020 and 2019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7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changes in estimated proved reserves are as follows: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40" w:type="dxa"/>
            <w:vAlign w:val="bottom"/>
          </w:tcPr>
          <w:p>
            <w:pPr>
              <w:jc w:val="center"/>
              <w:ind w:left="529"/>
              <w:spacing w:after="0"/>
              <w:rPr>
                <w:sz w:val="20"/>
                <w:szCs w:val="20"/>
                <w:color w:val="auto"/>
              </w:rPr>
            </w:pPr>
            <w:r>
              <w:rPr>
                <w:rFonts w:ascii="Arial" w:cs="Arial" w:eastAsia="Arial" w:hAnsi="Arial"/>
                <w:sz w:val="14"/>
                <w:szCs w:val="14"/>
                <w:b w:val="1"/>
                <w:bCs w:val="1"/>
                <w:color w:val="auto"/>
              </w:rPr>
              <w:t>Oil</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Natural Gas Liquids</w:t>
            </w: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Natural Gas</w:t>
            </w:r>
          </w:p>
        </w:tc>
      </w:tr>
      <w:tr>
        <w:trPr>
          <w:trHeight w:val="186"/>
        </w:trPr>
        <w:tc>
          <w:tcPr>
            <w:tcW w:w="5980" w:type="dxa"/>
            <w:vAlign w:val="bottom"/>
          </w:tcPr>
          <w:p>
            <w:pPr>
              <w:spacing w:after="0"/>
              <w:rPr>
                <w:sz w:val="16"/>
                <w:szCs w:val="16"/>
                <w:color w:val="auto"/>
              </w:rPr>
            </w:pPr>
          </w:p>
        </w:tc>
        <w:tc>
          <w:tcPr>
            <w:tcW w:w="104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b w:val="1"/>
                <w:bCs w:val="1"/>
                <w:color w:val="auto"/>
                <w:w w:val="90"/>
              </w:rPr>
              <w:t>(Bbls)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(Bbls)</w:t>
            </w: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(Mcf)</w:t>
            </w:r>
          </w:p>
        </w:tc>
      </w:tr>
      <w:tr>
        <w:trPr>
          <w:trHeight w:val="181"/>
        </w:trPr>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1640" w:type="dxa"/>
            <w:vAlign w:val="bottom"/>
          </w:tcPr>
          <w:p>
            <w:pPr>
              <w:spacing w:after="0"/>
              <w:rPr>
                <w:sz w:val="15"/>
                <w:szCs w:val="15"/>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and Undeveloped Reserves: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8"/>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41,878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10,992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61,597</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reserves in place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12,949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w:t>
            </w: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Extensions and discoveries</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11,526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14,822</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(6,810)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27"/>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(5,123)</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w:t>
            </w:r>
          </w:p>
        </w:tc>
      </w:tr>
      <w:tr>
        <w:trPr>
          <w:trHeight w:val="241"/>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54,420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95,774</w:t>
            </w:r>
          </w:p>
        </w:tc>
      </w:tr>
      <w:tr>
        <w:trPr>
          <w:trHeight w:val="20"/>
        </w:trPr>
        <w:tc>
          <w:tcPr>
            <w:tcW w:w="7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1"/>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Purchase of reserves in place</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491</w:t>
            </w:r>
          </w:p>
        </w:tc>
        <w:tc>
          <w:tcPr>
            <w:tcW w:w="100" w:type="dxa"/>
            <w:vAlign w:val="bottom"/>
          </w:tcPr>
          <w:p>
            <w:pPr>
              <w:spacing w:after="0"/>
              <w:rPr>
                <w:sz w:val="17"/>
                <w:szCs w:val="17"/>
                <w:color w:val="auto"/>
              </w:rPr>
            </w:pPr>
          </w:p>
        </w:tc>
        <w:tc>
          <w:tcPr>
            <w:tcW w:w="1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507</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Extensions and discoveries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w:t>
            </w: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Revisions of previous estimates</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(6,685)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11,043</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Divestitures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7"/>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(5,956)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r>
      <w:tr>
        <w:trPr>
          <w:trHeight w:val="241"/>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57,530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119,450</w:t>
            </w:r>
          </w:p>
        </w:tc>
      </w:tr>
      <w:tr>
        <w:trPr>
          <w:trHeight w:val="20"/>
        </w:trPr>
        <w:tc>
          <w:tcPr>
            <w:tcW w:w="7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1"/>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Purchase of reserves in place</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5,246</w:t>
            </w:r>
          </w:p>
        </w:tc>
        <w:tc>
          <w:tcPr>
            <w:tcW w:w="100" w:type="dxa"/>
            <w:vAlign w:val="bottom"/>
          </w:tcPr>
          <w:p>
            <w:pPr>
              <w:spacing w:after="0"/>
              <w:rPr>
                <w:sz w:val="17"/>
                <w:szCs w:val="17"/>
                <w:color w:val="auto"/>
              </w:rPr>
            </w:pPr>
          </w:p>
        </w:tc>
        <w:tc>
          <w:tcPr>
            <w:tcW w:w="1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2,264</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9,549</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Extensions and discoveries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17,256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39,256</w:t>
            </w: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Revisions of previous estimates</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(4,544)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29,788</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Divestitures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7"/>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(6,068)</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w:t>
            </w:r>
          </w:p>
        </w:tc>
      </w:tr>
      <w:tr>
        <w:trPr>
          <w:trHeight w:val="241"/>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69,240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28"/>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40,857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80,737</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40,220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93,617</w:t>
            </w: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December 31, 2021</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49,280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134,485</w:t>
            </w:r>
          </w:p>
        </w:tc>
      </w:tr>
      <w:tr>
        <w:trPr>
          <w:trHeight w:val="215"/>
        </w:trPr>
        <w:tc>
          <w:tcPr>
            <w:tcW w:w="5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8"/>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w:t>
            </w:r>
          </w:p>
        </w:tc>
      </w:tr>
      <w:tr>
        <w:trPr>
          <w:trHeight w:val="227"/>
        </w:trPr>
        <w:tc>
          <w:tcPr>
            <w:tcW w:w="7020" w:type="dxa"/>
            <w:vAlign w:val="bottom"/>
            <w:gridSpan w:val="2"/>
          </w:tcPr>
          <w:p>
            <w:pPr>
              <w:ind w:left="340"/>
              <w:spacing w:after="0"/>
              <w:rPr>
                <w:sz w:val="20"/>
                <w:szCs w:val="20"/>
                <w:color w:val="auto"/>
              </w:rPr>
            </w:pPr>
            <w:r>
              <w:rPr>
                <w:rFonts w:ascii="Arial" w:cs="Arial" w:eastAsia="Arial" w:hAnsi="Arial"/>
                <w:sz w:val="18"/>
                <w:szCs w:val="18"/>
                <w:color w:val="auto"/>
              </w:rPr>
              <w:t>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17,310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25,833</w:t>
            </w:r>
          </w:p>
        </w:tc>
      </w:tr>
      <w:tr>
        <w:trPr>
          <w:trHeight w:val="228"/>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19,960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r>
    </w:tbl>
    <w:p>
      <w:pPr>
        <w:spacing w:after="0" w:line="30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11"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During the year ended December 31, 2021, the Partnership’s total extensions and discoveries of 30,981 MBOE resulted primarily from the drilling of 407 new wells and from 336 new proved undeveloped locations added. The Partnership’s total negative revisions of previous estimated quantities of 918 MBOE were due to PUD downgrades of 11,263 MBOE which were largely offset by positive revisions of 10,345 MBOE attributable to price and performance revisions. Total purchases of reserves in place of 9,102 MBOE resulted from multiple acquisitions of certain mineral and royalty interests, including the Swallowtail Acquisition.</w:t>
      </w:r>
    </w:p>
    <w:p>
      <w:pPr>
        <w:spacing w:after="0" w:line="217"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During the year ended December 31, 2020, the Partnership’s extensions and discoveries of 23,836 MBOE resulted primarily from the drilling of 652 new wells and from 299 new proved undeveloped locations added. The Partnership’s negative revisions of previous estimated quantities of 4,082 MBOE were due to negative price revisions and PUD downgrades. 114 MBOE of PUDs were downgraded from non-operated properties and 804 MBOE of PUDs were downgraded from Diamondback-operated properties, with the Diamondback-operated downgrades due to changes in the development plan and optimization of the inventory. The purchase of reserves in place of 689 MBOE were due to multiple acquisitions of certain mineral and royalty interests.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During the year ended December 31, 2019, the Partnership’s extensions and discoveries of 17,091 MBOE resulted primarily from the drilling of 829 new wells and from 97 new proved undeveloped locations added. The Partnership’s negative revisions of previous estimated quantities of 5,337 MBOE were primarily due to proved undeveloped reserves downgrades and realized prices, which were partially offset by extensions and performance. The purchase of reserves in place of 21,914 MBOE were due to multiple acquisitions, primarily the Drop-Down transaction from Diamondback and the acquisition of certain mineral and royalty interests from Santa Elena Minerals,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The standardized measure of discounted future net cash flows are based on the unweighted average, first-day-of-the-month price. The projections should not be viewed as realistic estimates of future cash flows, nor should the “standardized measure” be interpreted as representing current value to the Partnership.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Partnership’s proved oil and natural gas reserves as of December 31, 2021, 2020 and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181"/>
        </w:trPr>
        <w:tc>
          <w:tcPr>
            <w:tcW w:w="6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3,218,257</w:t>
            </w:r>
          </w:p>
        </w:tc>
      </w:tr>
      <w:tr>
        <w:trPr>
          <w:trHeight w:val="227"/>
        </w:trPr>
        <w:tc>
          <w:tcPr>
            <w:tcW w:w="6060" w:type="dxa"/>
            <w:vAlign w:val="bottom"/>
          </w:tcPr>
          <w:p>
            <w:pPr>
              <w:ind w:left="20"/>
              <w:spacing w:after="0"/>
              <w:rPr>
                <w:sz w:val="20"/>
                <w:szCs w:val="20"/>
                <w:color w:val="auto"/>
              </w:rPr>
            </w:pPr>
            <w:r>
              <w:rPr>
                <w:rFonts w:ascii="Arial" w:cs="Arial" w:eastAsia="Arial" w:hAnsi="Arial"/>
                <w:sz w:val="18"/>
                <w:szCs w:val="18"/>
                <w:color w:val="auto"/>
              </w:rPr>
              <w:t>Future production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(181,067)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(237,181)</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(150,373)</w:t>
            </w:r>
          </w:p>
        </w:tc>
      </w:tr>
      <w:tr>
        <w:trPr>
          <w:trHeight w:val="221"/>
        </w:trPr>
        <w:tc>
          <w:tcPr>
            <w:tcW w:w="6060" w:type="dxa"/>
            <w:vAlign w:val="bottom"/>
          </w:tcPr>
          <w:p>
            <w:pPr>
              <w:ind w:left="220"/>
              <w:spacing w:after="0"/>
              <w:rPr>
                <w:sz w:val="20"/>
                <w:szCs w:val="20"/>
                <w:color w:val="auto"/>
              </w:rPr>
            </w:pPr>
            <w:r>
              <w:rPr>
                <w:rFonts w:ascii="Arial" w:cs="Arial" w:eastAsia="Arial" w:hAnsi="Arial"/>
                <w:sz w:val="18"/>
                <w:szCs w:val="18"/>
                <w:color w:val="auto"/>
              </w:rPr>
              <w:t>Future net cash flows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4,773,681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2,255,992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2,830,703</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discount to reflect timing of cash flows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(1,512,315)</w:t>
            </w:r>
          </w:p>
        </w:tc>
      </w:tr>
      <w:tr>
        <w:trPr>
          <w:trHeight w:val="221"/>
        </w:trPr>
        <w:tc>
          <w:tcPr>
            <w:tcW w:w="6060" w:type="dxa"/>
            <w:vAlign w:val="bottom"/>
          </w:tcPr>
          <w:p>
            <w:pPr>
              <w:ind w:left="220"/>
              <w:spacing w:after="0"/>
              <w:rPr>
                <w:sz w:val="20"/>
                <w:szCs w:val="20"/>
                <w:color w:val="auto"/>
              </w:rPr>
            </w:pPr>
            <w:r>
              <w:rPr>
                <w:rFonts w:ascii="Arial" w:cs="Arial" w:eastAsia="Arial" w:hAnsi="Arial"/>
                <w:sz w:val="18"/>
                <w:szCs w:val="18"/>
                <w:color w:val="auto"/>
              </w:rPr>
              <w:t>Standardized measure of discounted future net cash flows</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1,318,388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presents the weighted average first-day-of–the-month prices for oil, natural gas and natural gas liquids utilized in the computation of future cash inflows: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5"/>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(per Bbl)</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r>
      <w:tr>
        <w:trPr>
          <w:trHeight w:val="227"/>
        </w:trPr>
        <w:tc>
          <w:tcPr>
            <w:tcW w:w="6060" w:type="dxa"/>
            <w:vAlign w:val="bottom"/>
          </w:tcPr>
          <w:p>
            <w:pPr>
              <w:ind w:left="20"/>
              <w:spacing w:after="0"/>
              <w:rPr>
                <w:sz w:val="20"/>
                <w:szCs w:val="20"/>
                <w:color w:val="auto"/>
              </w:rPr>
            </w:pPr>
            <w:r>
              <w:rPr>
                <w:rFonts w:ascii="Arial" w:cs="Arial" w:eastAsia="Arial" w:hAnsi="Arial"/>
                <w:sz w:val="18"/>
                <w:szCs w:val="18"/>
                <w:color w:val="auto"/>
              </w:rPr>
              <w:t>Natural gas (per Mcf)</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(per Bbl)</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Partnership’s proved reserves are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181"/>
        </w:trPr>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Standardized measure of discounted future net cash flows at the beginning of the period</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1,139,382</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Purchase of minerals in place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339,814</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 of reserves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Sales of oil and natural gas, net of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(468,976)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(274,735)</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Extensions and discoveries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330,097</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Net changes in prices and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(465,582)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(301,182)</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Revisions of previous quantity estimates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(114,409)</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Net changes in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56,502</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126,650</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changes in timing of production and 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16,269</w:t>
            </w:r>
          </w:p>
        </w:tc>
      </w:tr>
      <w:tr>
        <w:trPr>
          <w:trHeight w:val="246"/>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Standardized measure of discounted future net cash flows at the end of the period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2,093,117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1,318,388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21"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7940" w:type="dxa"/>
            <w:vAlign w:val="bottom"/>
            <w:gridSpan w:val="2"/>
          </w:tcPr>
          <w:p>
            <w:pPr>
              <w:ind w:left="7020"/>
              <w:spacing w:after="0"/>
              <w:rPr>
                <w:sz w:val="20"/>
                <w:szCs w:val="20"/>
                <w:color w:val="auto"/>
              </w:rPr>
            </w:pPr>
            <w:r>
              <w:rPr>
                <w:rFonts w:ascii="Arial" w:cs="Arial" w:eastAsia="Arial" w:hAnsi="Arial"/>
                <w:sz w:val="18"/>
                <w:szCs w:val="18"/>
                <w:b w:val="1"/>
                <w:bCs w:val="1"/>
                <w:color w:val="auto"/>
                <w:w w:val="89"/>
              </w:rPr>
              <w:t>Exhibit 21.1</w:t>
            </w:r>
          </w:p>
        </w:tc>
      </w:tr>
      <w:tr>
        <w:trPr>
          <w:trHeight w:val="214"/>
        </w:trPr>
        <w:tc>
          <w:tcPr>
            <w:tcW w:w="3300" w:type="dxa"/>
            <w:vAlign w:val="bottom"/>
          </w:tcPr>
          <w:p>
            <w:pPr>
              <w:spacing w:after="0"/>
              <w:rPr>
                <w:sz w:val="18"/>
                <w:szCs w:val="18"/>
                <w:color w:val="auto"/>
              </w:rPr>
            </w:pPr>
          </w:p>
        </w:tc>
        <w:tc>
          <w:tcPr>
            <w:tcW w:w="7940" w:type="dxa"/>
            <w:vAlign w:val="bottom"/>
            <w:gridSpan w:val="2"/>
          </w:tcPr>
          <w:p>
            <w:pPr>
              <w:ind w:left="1320"/>
              <w:spacing w:after="0"/>
              <w:rPr>
                <w:sz w:val="20"/>
                <w:szCs w:val="20"/>
                <w:color w:val="auto"/>
              </w:rPr>
            </w:pPr>
            <w:r>
              <w:rPr>
                <w:rFonts w:ascii="Arial" w:cs="Arial" w:eastAsia="Arial" w:hAnsi="Arial"/>
                <w:sz w:val="18"/>
                <w:szCs w:val="18"/>
                <w:b w:val="1"/>
                <w:bCs w:val="1"/>
                <w:color w:val="auto"/>
              </w:rPr>
              <w:t>Viper Energy Partners LP</w:t>
            </w:r>
          </w:p>
        </w:tc>
      </w:tr>
      <w:tr>
        <w:trPr>
          <w:trHeight w:val="231"/>
        </w:trPr>
        <w:tc>
          <w:tcPr>
            <w:tcW w:w="3300" w:type="dxa"/>
            <w:vAlign w:val="bottom"/>
          </w:tcPr>
          <w:p>
            <w:pPr>
              <w:spacing w:after="0"/>
              <w:rPr>
                <w:sz w:val="20"/>
                <w:szCs w:val="20"/>
                <w:color w:val="auto"/>
              </w:rPr>
            </w:pPr>
          </w:p>
        </w:tc>
        <w:tc>
          <w:tcPr>
            <w:tcW w:w="7940" w:type="dxa"/>
            <w:vAlign w:val="bottom"/>
            <w:gridSpan w:val="2"/>
          </w:tcPr>
          <w:p>
            <w:pPr>
              <w:ind w:left="1340"/>
              <w:spacing w:after="0"/>
              <w:rPr>
                <w:sz w:val="20"/>
                <w:szCs w:val="20"/>
                <w:color w:val="auto"/>
              </w:rPr>
            </w:pPr>
            <w:r>
              <w:rPr>
                <w:rFonts w:ascii="Arial" w:cs="Arial" w:eastAsia="Arial" w:hAnsi="Arial"/>
                <w:sz w:val="18"/>
                <w:szCs w:val="18"/>
                <w:b w:val="1"/>
                <w:bCs w:val="1"/>
                <w:color w:val="auto"/>
              </w:rPr>
              <w:t>Subsidiaries of Registrant</w:t>
            </w:r>
          </w:p>
        </w:tc>
      </w:tr>
      <w:tr>
        <w:trPr>
          <w:trHeight w:val="122"/>
        </w:trPr>
        <w:tc>
          <w:tcPr>
            <w:tcW w:w="3300" w:type="dxa"/>
            <w:vAlign w:val="bottom"/>
          </w:tcPr>
          <w:p>
            <w:pPr>
              <w:spacing w:after="0"/>
              <w:rPr>
                <w:sz w:val="10"/>
                <w:szCs w:val="10"/>
                <w:color w:val="auto"/>
              </w:rPr>
            </w:pPr>
          </w:p>
        </w:tc>
        <w:tc>
          <w:tcPr>
            <w:tcW w:w="7940" w:type="dxa"/>
            <w:vAlign w:val="bottom"/>
            <w:gridSpan w:val="2"/>
          </w:tcPr>
          <w:p>
            <w:pPr>
              <w:spacing w:after="0"/>
              <w:rPr>
                <w:sz w:val="10"/>
                <w:szCs w:val="10"/>
                <w:color w:val="auto"/>
              </w:rPr>
            </w:pPr>
          </w:p>
        </w:tc>
      </w:tr>
      <w:tr>
        <w:trPr>
          <w:trHeight w:val="221"/>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900" w:type="dxa"/>
            <w:vAlign w:val="bottom"/>
            <w:tcBorders>
              <w:top w:val="single" w:sz="8" w:color="auto"/>
              <w:bottom w:val="single" w:sz="8" w:color="auto"/>
            </w:tcBorders>
          </w:tcPr>
          <w:p>
            <w:pPr>
              <w:jc w:val="center"/>
              <w:ind w:left="5151"/>
              <w:spacing w:after="0"/>
              <w:rPr>
                <w:sz w:val="20"/>
                <w:szCs w:val="20"/>
                <w:color w:val="auto"/>
              </w:rPr>
            </w:pPr>
            <w:r>
              <w:rPr>
                <w:rFonts w:ascii="Arial" w:cs="Arial" w:eastAsia="Arial" w:hAnsi="Arial"/>
                <w:sz w:val="18"/>
                <w:szCs w:val="18"/>
                <w:b w:val="1"/>
                <w:bCs w:val="1"/>
                <w:color w:val="auto"/>
                <w:w w:val="90"/>
              </w:rPr>
              <w:t>Jurisdiction of Incorporation</w:t>
            </w:r>
          </w:p>
        </w:tc>
        <w:tc>
          <w:tcPr>
            <w:tcW w:w="40" w:type="dxa"/>
            <w:vAlign w:val="bottom"/>
          </w:tcPr>
          <w:p>
            <w:pPr>
              <w:spacing w:after="0"/>
              <w:rPr>
                <w:sz w:val="19"/>
                <w:szCs w:val="19"/>
                <w:color w:val="auto"/>
              </w:rPr>
            </w:pPr>
          </w:p>
        </w:tc>
      </w:tr>
      <w:tr>
        <w:trPr>
          <w:trHeight w:val="22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Energy Partners LLC</w:t>
            </w:r>
          </w:p>
        </w:tc>
        <w:tc>
          <w:tcPr>
            <w:tcW w:w="7900" w:type="dxa"/>
            <w:vAlign w:val="bottom"/>
            <w:shd w:val="clear" w:color="auto" w:fill="CCEEFF"/>
          </w:tcPr>
          <w:p>
            <w:pPr>
              <w:jc w:val="center"/>
              <w:ind w:left="5171"/>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8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 have issued our reports dated February 24, 2022, with respect to the consolidated financial statements and internal control over financial reporting included in the Annual Report of Viper Energy Partners LP on Form 10-K for the year ended December 31, 2021. We consent to the incorporation by reference of said reports in the Registration Statements of Viper Energy Partners LP on Form S-3 ASR (File No. 333-260335, effective October 18, 2021) and Form S-8 (File No. 333-196971, effective June 23, 2014).</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2022</w:t>
      </w:r>
    </w:p>
    <w:p>
      <w:pPr>
        <w:sectPr>
          <w:pgSz w:w="11900" w:h="16838" w:orient="portrait"/>
          <w:cols w:equalWidth="0" w:num="1">
            <w:col w:w="11240"/>
          </w:cols>
          <w:pgMar w:left="320" w:top="88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RYDER SCOTT COMPANY, L.P.</w:t>
      </w:r>
    </w:p>
    <w:p>
      <w:pPr>
        <w:spacing w:after="0" w:line="28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We have issued our report dated January 5, 2022 on estimates of proved reserves, future production and income attributable to certain royalty interests of Viper Energy Partners LP (“Viper”), a subsidiary of Diamondback Energy, Inc., as of December 31, 2021. As independent oil and gas consultants, we hereby consent to the inclusion of our report and the information contained therein and information from our prior reserve reports referenced in this Annual Report on Form 10-K of Viper (this “Annual Report”) and to all references to our firm in this Annual Report. We hereby also consent to the incorporation by reference of such reports and the information contained therein in the Registration Statements of Viper on Form S-3 ASR (File No. 333-260335, effective October 18, 2021) and Form S-8 (File No. 333-196971, effective June 23, 2014).</w:t>
      </w:r>
    </w:p>
    <w:p>
      <w:pPr>
        <w:spacing w:after="0" w:line="10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13970</wp:posOffset>
            </wp:positionV>
            <wp:extent cx="30099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3009900" cy="8255"/>
                    </a:xfrm>
                    <a:prstGeom prst="rect">
                      <a:avLst/>
                    </a:prstGeom>
                    <a:noFill/>
                  </pic:spPr>
                </pic:pic>
              </a:graphicData>
            </a:graphic>
          </wp:anchor>
        </w:drawing>
      </w:r>
    </w:p>
    <w:p>
      <w:pPr>
        <w:spacing w:after="0" w:line="50"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RYDER SCOTT COMPANY, L.P.</w:t>
      </w:r>
    </w:p>
    <w:p>
      <w:pPr>
        <w:spacing w:after="0" w:line="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TBPELS Firm Registration No. F-1580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93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1" w:lineRule="exact"/>
        <w:rPr>
          <w:sz w:val="20"/>
          <w:szCs w:val="20"/>
          <w:color w:val="auto"/>
        </w:rPr>
      </w:pPr>
    </w:p>
    <w:p>
      <w:pPr>
        <w:ind w:left="360" w:hanging="313"/>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87" w:lineRule="exact"/>
        <w:rPr>
          <w:rFonts w:ascii="Arial" w:cs="Arial" w:eastAsia="Arial" w:hAnsi="Arial"/>
          <w:sz w:val="18"/>
          <w:szCs w:val="18"/>
          <w:color w:val="auto"/>
        </w:rPr>
      </w:pPr>
    </w:p>
    <w:p>
      <w:pPr>
        <w:jc w:val="both"/>
        <w:ind w:left="440" w:hanging="393"/>
        <w:spacing w:after="0" w:line="260" w:lineRule="auto"/>
        <w:tabs>
          <w:tab w:leader="none" w:pos="4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8"/>
          <w:szCs w:val="18"/>
          <w:color w:val="auto"/>
        </w:rPr>
      </w:pPr>
    </w:p>
    <w:p>
      <w:pPr>
        <w:ind w:left="440" w:hanging="393"/>
        <w:spacing w:after="0" w:line="271" w:lineRule="auto"/>
        <w:tabs>
          <w:tab w:leader="none" w:pos="4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hanging="393"/>
        <w:spacing w:after="0" w:line="260" w:lineRule="auto"/>
        <w:tabs>
          <w:tab w:leader="none" w:pos="4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0" w:lineRule="exact"/>
        <w:rPr>
          <w:rFonts w:ascii="Arial" w:cs="Arial" w:eastAsia="Arial" w:hAnsi="Arial"/>
          <w:sz w:val="18"/>
          <w:szCs w:val="18"/>
          <w:color w:val="auto"/>
        </w:rPr>
      </w:pPr>
    </w:p>
    <w:p>
      <w:pPr>
        <w:jc w:val="both"/>
        <w:ind w:left="900" w:hanging="411"/>
        <w:spacing w:after="0" w:line="260" w:lineRule="auto"/>
        <w:tabs>
          <w:tab w:leader="none" w:pos="8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jc w:val="both"/>
        <w:ind w:left="900" w:hanging="411"/>
        <w:spacing w:after="0" w:line="260" w:lineRule="auto"/>
        <w:tabs>
          <w:tab w:leader="none" w:pos="8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900" w:hanging="411"/>
        <w:spacing w:after="0" w:line="301" w:lineRule="auto"/>
        <w:tabs>
          <w:tab w:leader="none" w:pos="897"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7"/>
          <w:szCs w:val="17"/>
          <w:color w:val="auto"/>
        </w:rPr>
      </w:pPr>
    </w:p>
    <w:p>
      <w:pPr>
        <w:jc w:val="both"/>
        <w:ind w:left="900" w:hanging="411"/>
        <w:spacing w:after="0" w:line="260" w:lineRule="auto"/>
        <w:tabs>
          <w:tab w:leader="none" w:pos="8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40" w:hanging="393"/>
        <w:spacing w:after="0" w:line="301" w:lineRule="auto"/>
        <w:tabs>
          <w:tab w:leader="none" w:pos="40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7"/>
          <w:szCs w:val="17"/>
          <w:color w:val="auto"/>
        </w:rPr>
      </w:pPr>
    </w:p>
    <w:p>
      <w:pPr>
        <w:ind w:left="900" w:hanging="411"/>
        <w:spacing w:after="0" w:line="271" w:lineRule="auto"/>
        <w:tabs>
          <w:tab w:leader="none" w:pos="8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8"/>
          <w:szCs w:val="18"/>
          <w:color w:val="auto"/>
        </w:rPr>
      </w:pPr>
    </w:p>
    <w:p>
      <w:pPr>
        <w:ind w:left="900" w:hanging="411"/>
        <w:spacing w:after="0" w:line="271" w:lineRule="auto"/>
        <w:tabs>
          <w:tab w:leader="none" w:pos="8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1" w:lineRule="exact"/>
        <w:rPr>
          <w:sz w:val="20"/>
          <w:szCs w:val="20"/>
          <w:color w:val="auto"/>
        </w:rPr>
      </w:pPr>
    </w:p>
    <w:p>
      <w:pPr>
        <w:ind w:left="360" w:hanging="313"/>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87" w:lineRule="exact"/>
        <w:rPr>
          <w:rFonts w:ascii="Arial" w:cs="Arial" w:eastAsia="Arial" w:hAnsi="Arial"/>
          <w:sz w:val="18"/>
          <w:szCs w:val="18"/>
          <w:color w:val="auto"/>
        </w:rPr>
      </w:pPr>
    </w:p>
    <w:p>
      <w:pPr>
        <w:jc w:val="both"/>
        <w:ind w:left="440" w:hanging="393"/>
        <w:spacing w:after="0" w:line="260" w:lineRule="auto"/>
        <w:tabs>
          <w:tab w:leader="none" w:pos="4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8"/>
          <w:szCs w:val="18"/>
          <w:color w:val="auto"/>
        </w:rPr>
      </w:pPr>
    </w:p>
    <w:p>
      <w:pPr>
        <w:ind w:left="440" w:hanging="393"/>
        <w:spacing w:after="0" w:line="271" w:lineRule="auto"/>
        <w:tabs>
          <w:tab w:leader="none" w:pos="4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hanging="393"/>
        <w:spacing w:after="0" w:line="260" w:lineRule="auto"/>
        <w:tabs>
          <w:tab w:leader="none" w:pos="4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0" w:lineRule="exact"/>
        <w:rPr>
          <w:rFonts w:ascii="Arial" w:cs="Arial" w:eastAsia="Arial" w:hAnsi="Arial"/>
          <w:sz w:val="18"/>
          <w:szCs w:val="18"/>
          <w:color w:val="auto"/>
        </w:rPr>
      </w:pPr>
    </w:p>
    <w:p>
      <w:pPr>
        <w:jc w:val="both"/>
        <w:ind w:left="900" w:hanging="411"/>
        <w:spacing w:after="0" w:line="260" w:lineRule="auto"/>
        <w:tabs>
          <w:tab w:leader="none" w:pos="8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jc w:val="both"/>
        <w:ind w:left="900" w:hanging="411"/>
        <w:spacing w:after="0" w:line="260" w:lineRule="auto"/>
        <w:tabs>
          <w:tab w:leader="none" w:pos="8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900" w:hanging="411"/>
        <w:spacing w:after="0" w:line="301" w:lineRule="auto"/>
        <w:tabs>
          <w:tab w:leader="none" w:pos="897"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7"/>
          <w:szCs w:val="17"/>
          <w:color w:val="auto"/>
        </w:rPr>
      </w:pPr>
    </w:p>
    <w:p>
      <w:pPr>
        <w:jc w:val="both"/>
        <w:ind w:left="900" w:hanging="411"/>
        <w:spacing w:after="0" w:line="260" w:lineRule="auto"/>
        <w:tabs>
          <w:tab w:leader="none" w:pos="8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40" w:hanging="393"/>
        <w:spacing w:after="0" w:line="301" w:lineRule="auto"/>
        <w:tabs>
          <w:tab w:leader="none" w:pos="4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7"/>
          <w:szCs w:val="17"/>
          <w:color w:val="auto"/>
        </w:rPr>
      </w:pPr>
    </w:p>
    <w:p>
      <w:pPr>
        <w:ind w:left="900" w:hanging="411"/>
        <w:spacing w:after="0" w:line="271" w:lineRule="auto"/>
        <w:tabs>
          <w:tab w:leader="none" w:pos="89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8"/>
          <w:szCs w:val="18"/>
          <w:color w:val="auto"/>
        </w:rPr>
      </w:pPr>
    </w:p>
    <w:p>
      <w:pPr>
        <w:ind w:left="900" w:hanging="411"/>
        <w:spacing w:after="0" w:line="271" w:lineRule="auto"/>
        <w:tabs>
          <w:tab w:leader="none" w:pos="8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2"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connection with the Annual Report on Form 10-K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Estimated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Future Reserves and Income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Attributable to Certain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Val Rick Robinson</w:t>
            </w:r>
          </w:p>
        </w:tc>
        <w:tc>
          <w:tcPr>
            <w:tcW w:w="2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center"/>
              <w:ind w:right="1482"/>
              <w:spacing w:after="0"/>
              <w:rPr>
                <w:sz w:val="20"/>
                <w:szCs w:val="20"/>
                <w:color w:val="auto"/>
              </w:rPr>
            </w:pPr>
            <w:r>
              <w:rPr>
                <w:rFonts w:ascii="Arial" w:cs="Arial" w:eastAsia="Arial" w:hAnsi="Arial"/>
                <w:sz w:val="20"/>
                <w:szCs w:val="20"/>
                <w:color w:val="auto"/>
                <w:w w:val="98"/>
              </w:rPr>
              <w:t>/s/ Syed R. Rizvi</w:t>
            </w:r>
          </w:p>
        </w:tc>
      </w:tr>
      <w:tr>
        <w:trPr>
          <w:trHeight w:val="239"/>
        </w:trPr>
        <w:tc>
          <w:tcPr>
            <w:tcW w:w="7300" w:type="dxa"/>
            <w:vAlign w:val="bottom"/>
            <w:gridSpan w:val="3"/>
          </w:tcPr>
          <w:p>
            <w:pPr>
              <w:jc w:val="center"/>
              <w:ind w:right="1780"/>
              <w:spacing w:after="0"/>
              <w:rPr>
                <w:sz w:val="20"/>
                <w:szCs w:val="20"/>
                <w:color w:val="auto"/>
              </w:rPr>
            </w:pPr>
            <w:r>
              <w:rPr>
                <w:rFonts w:ascii="Arial" w:cs="Arial" w:eastAsia="Arial" w:hAnsi="Arial"/>
                <w:sz w:val="20"/>
                <w:szCs w:val="20"/>
                <w:color w:val="auto"/>
                <w:w w:val="96"/>
              </w:rPr>
              <w:t>Val Rick Robinson, P.E.</w:t>
            </w:r>
          </w:p>
        </w:tc>
        <w:tc>
          <w:tcPr>
            <w:tcW w:w="3940" w:type="dxa"/>
            <w:vAlign w:val="bottom"/>
          </w:tcPr>
          <w:p>
            <w:pPr>
              <w:jc w:val="center"/>
              <w:ind w:right="1462"/>
              <w:spacing w:after="0"/>
              <w:rPr>
                <w:sz w:val="20"/>
                <w:szCs w:val="20"/>
                <w:color w:val="auto"/>
              </w:rPr>
            </w:pPr>
            <w:r>
              <w:rPr>
                <w:rFonts w:ascii="Arial" w:cs="Arial" w:eastAsia="Arial" w:hAnsi="Arial"/>
                <w:sz w:val="20"/>
                <w:szCs w:val="20"/>
                <w:color w:val="auto"/>
                <w:w w:val="98"/>
              </w:rPr>
              <w:t>Syed R. Rizvi</w:t>
            </w:r>
          </w:p>
        </w:tc>
      </w:tr>
      <w:tr>
        <w:trPr>
          <w:trHeight w:val="241"/>
        </w:trPr>
        <w:tc>
          <w:tcPr>
            <w:tcW w:w="7300" w:type="dxa"/>
            <w:vAlign w:val="bottom"/>
            <w:gridSpan w:val="3"/>
          </w:tcPr>
          <w:p>
            <w:pPr>
              <w:jc w:val="center"/>
              <w:ind w:right="1800"/>
              <w:spacing w:after="0"/>
              <w:rPr>
                <w:sz w:val="20"/>
                <w:szCs w:val="20"/>
                <w:color w:val="auto"/>
              </w:rPr>
            </w:pPr>
            <w:r>
              <w:rPr>
                <w:rFonts w:ascii="Arial" w:cs="Arial" w:eastAsia="Arial" w:hAnsi="Arial"/>
                <w:sz w:val="20"/>
                <w:szCs w:val="20"/>
                <w:color w:val="auto"/>
                <w:w w:val="97"/>
              </w:rPr>
              <w:t>TBPELS License No. 105137</w:t>
            </w:r>
          </w:p>
        </w:tc>
        <w:tc>
          <w:tcPr>
            <w:tcW w:w="3940" w:type="dxa"/>
            <w:vAlign w:val="bottom"/>
          </w:tcPr>
          <w:p>
            <w:pPr>
              <w:jc w:val="center"/>
              <w:ind w:right="1482"/>
              <w:spacing w:after="0"/>
              <w:rPr>
                <w:sz w:val="20"/>
                <w:szCs w:val="20"/>
                <w:color w:val="auto"/>
              </w:rPr>
            </w:pPr>
            <w:r>
              <w:rPr>
                <w:rFonts w:ascii="Arial" w:cs="Arial" w:eastAsia="Arial" w:hAnsi="Arial"/>
                <w:sz w:val="20"/>
                <w:szCs w:val="20"/>
                <w:color w:val="auto"/>
                <w:w w:val="98"/>
              </w:rPr>
              <w:t>Senior Petroleum Engineer</w:t>
            </w:r>
          </w:p>
        </w:tc>
      </w:tr>
      <w:tr>
        <w:trPr>
          <w:trHeight w:val="241"/>
        </w:trPr>
        <w:tc>
          <w:tcPr>
            <w:tcW w:w="7300" w:type="dxa"/>
            <w:vAlign w:val="bottom"/>
            <w:gridSpan w:val="3"/>
          </w:tcPr>
          <w:p>
            <w:pPr>
              <w:jc w:val="center"/>
              <w:ind w:right="1780"/>
              <w:spacing w:after="0"/>
              <w:rPr>
                <w:sz w:val="20"/>
                <w:szCs w:val="20"/>
                <w:color w:val="auto"/>
              </w:rPr>
            </w:pPr>
            <w:r>
              <w:rPr>
                <w:rFonts w:ascii="Arial" w:cs="Arial" w:eastAsia="Arial" w:hAnsi="Arial"/>
                <w:sz w:val="20"/>
                <w:szCs w:val="20"/>
                <w:color w:val="auto"/>
                <w:w w:val="97"/>
              </w:rPr>
              <w:t>Managing Senior Vice President</w:t>
            </w:r>
          </w:p>
        </w:tc>
        <w:tc>
          <w:tcPr>
            <w:tcW w:w="3940" w:type="dxa"/>
            <w:vAlign w:val="bottom"/>
          </w:tcPr>
          <w:p>
            <w:pPr>
              <w:spacing w:after="0"/>
              <w:rPr>
                <w:sz w:val="20"/>
                <w:szCs w:val="20"/>
                <w:color w:val="auto"/>
              </w:rPr>
            </w:pPr>
          </w:p>
        </w:tc>
      </w:tr>
      <w:tr>
        <w:trPr>
          <w:trHeight w:val="276"/>
        </w:trPr>
        <w:tc>
          <w:tcPr>
            <w:tcW w:w="7300" w:type="dxa"/>
            <w:vAlign w:val="bottom"/>
            <w:gridSpan w:val="3"/>
          </w:tcPr>
          <w:p>
            <w:pPr>
              <w:spacing w:after="0"/>
              <w:rPr>
                <w:sz w:val="20"/>
                <w:szCs w:val="20"/>
                <w:color w:val="auto"/>
              </w:rPr>
            </w:pPr>
            <w:r>
              <w:rPr>
                <w:rFonts w:ascii="Arial" w:cs="Arial" w:eastAsia="Arial" w:hAnsi="Arial"/>
                <w:sz w:val="20"/>
                <w:szCs w:val="20"/>
                <w:b w:val="1"/>
                <w:bCs w:val="1"/>
                <w:color w:val="auto"/>
              </w:rPr>
              <w:t>[SEAL]</w:t>
            </w:r>
          </w:p>
        </w:tc>
        <w:tc>
          <w:tcPr>
            <w:tcW w:w="3940" w:type="dxa"/>
            <w:vAlign w:val="bottom"/>
          </w:tcPr>
          <w:p>
            <w:pPr>
              <w:spacing w:after="0"/>
              <w:rPr>
                <w:sz w:val="23"/>
                <w:szCs w:val="23"/>
                <w:color w:val="auto"/>
              </w:rPr>
            </w:pPr>
          </w:p>
        </w:tc>
      </w:tr>
      <w:tr>
        <w:trPr>
          <w:trHeight w:val="252"/>
        </w:trPr>
        <w:tc>
          <w:tcPr>
            <w:tcW w:w="7300" w:type="dxa"/>
            <w:vAlign w:val="bottom"/>
            <w:gridSpan w:val="3"/>
          </w:tcPr>
          <w:p>
            <w:pPr>
              <w:jc w:val="center"/>
              <w:ind w:left="3862"/>
              <w:spacing w:after="0"/>
              <w:rPr>
                <w:sz w:val="20"/>
                <w:szCs w:val="20"/>
                <w:color w:val="auto"/>
              </w:rPr>
            </w:pPr>
            <w:r>
              <w:rPr>
                <w:rFonts w:ascii="Arial" w:cs="Arial" w:eastAsia="Arial" w:hAnsi="Arial"/>
                <w:sz w:val="20"/>
                <w:szCs w:val="20"/>
                <w:b w:val="1"/>
                <w:bCs w:val="1"/>
                <w:color w:val="auto"/>
                <w:w w:val="95"/>
              </w:rPr>
              <w:t>RYDER SCOTT COMPANY, L.P.</w:t>
            </w:r>
          </w:p>
        </w:tc>
        <w:tc>
          <w:tcPr>
            <w:tcW w:w="3940" w:type="dxa"/>
            <w:vAlign w:val="bottom"/>
          </w:tcPr>
          <w:p>
            <w:pPr>
              <w:spacing w:after="0"/>
              <w:rPr>
                <w:sz w:val="21"/>
                <w:szCs w:val="21"/>
                <w:color w:val="auto"/>
              </w:rPr>
            </w:pPr>
          </w:p>
        </w:tc>
      </w:tr>
      <w:tr>
        <w:trPr>
          <w:trHeight w:val="236"/>
        </w:trPr>
        <w:tc>
          <w:tcPr>
            <w:tcW w:w="7300" w:type="dxa"/>
            <w:vAlign w:val="bottom"/>
            <w:gridSpan w:val="3"/>
          </w:tcPr>
          <w:p>
            <w:pPr>
              <w:jc w:val="center"/>
              <w:ind w:left="3862"/>
              <w:spacing w:after="0"/>
              <w:rPr>
                <w:sz w:val="20"/>
                <w:szCs w:val="20"/>
                <w:color w:val="auto"/>
              </w:rPr>
            </w:pPr>
            <w:r>
              <w:rPr>
                <w:rFonts w:ascii="Arial" w:cs="Arial" w:eastAsia="Arial" w:hAnsi="Arial"/>
                <w:sz w:val="20"/>
                <w:szCs w:val="20"/>
                <w:color w:val="auto"/>
                <w:w w:val="98"/>
              </w:rPr>
              <w:t>TBPELS Firm Registration No. F-1580</w:t>
            </w:r>
          </w:p>
        </w:tc>
        <w:tc>
          <w:tcPr>
            <w:tcW w:w="3940" w:type="dxa"/>
            <w:vAlign w:val="bottom"/>
          </w:tcPr>
          <w:p>
            <w:pPr>
              <w:spacing w:after="0"/>
              <w:rPr>
                <w:sz w:val="20"/>
                <w:szCs w:val="20"/>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884"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auto"/>
        </w:rPr>
        <w:t>RYDER SCOTT COMPANY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PETROLEUM CONSULTANTS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TBPELS REGISTERED ENGINEERING FIRM F-1580 FAX (713) 651-0849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1100 LOUISIANA SUITE 4600 HOUSTON, TEXAS 77002-5294 TELEPHONE (713) 651-9191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5,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500 West Texas, Suite 1210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3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2021.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December 31, 2021 and presented herein, was prepared for public disclosure by Viper in filings made with the SEC in accordance with the disclosure requirements set forth in the SEC regulations.</w:t>
      </w:r>
    </w:p>
    <w:p>
      <w:pPr>
        <w:spacing w:after="0" w:line="237"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2021.</w:t>
      </w:r>
    </w:p>
    <w:p>
      <w:pPr>
        <w:spacing w:after="0" w:line="231"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The estimated reserves and future net income amounts presented in this report, as of December 31, 2021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tabs>
          <w:tab w:leader="none" w:pos="120" w:val="left"/>
          <w:tab w:leader="none" w:pos="12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2"/>
          <w:szCs w:val="12"/>
          <w:color w:val="auto"/>
        </w:rPr>
        <w:t>TEL (403) 262-2799</w:t>
      </w:r>
    </w:p>
    <w:p>
      <w:pPr>
        <w:spacing w:after="0" w:line="22" w:lineRule="exact"/>
        <w:rPr>
          <w:sz w:val="20"/>
          <w:szCs w:val="20"/>
          <w:color w:val="auto"/>
        </w:rPr>
      </w:pPr>
    </w:p>
    <w:p>
      <w:pPr>
        <w:jc w:val="center"/>
        <w:ind w:right="120"/>
        <w:spacing w:after="0"/>
        <w:tabs>
          <w:tab w:leader="none" w:pos="100" w:val="left"/>
          <w:tab w:leader="none" w:pos="12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2"/>
          <w:szCs w:val="12"/>
          <w:color w:val="auto"/>
        </w:rPr>
        <w:t>TEL (303) 339-8110</w:t>
      </w:r>
    </w:p>
    <w:p>
      <w:pPr>
        <w:sectPr>
          <w:pgSz w:w="11900" w:h="16838" w:orient="portrait"/>
          <w:cols w:equalWidth="0" w:num="1">
            <w:col w:w="11240"/>
          </w:cols>
          <w:pgMar w:left="320" w:top="370"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6"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b w:val="1"/>
          <w:bCs w:val="1"/>
          <w:color w:val="auto"/>
        </w:rPr>
        <w:t>Viper Energy Partners, LP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3175</wp:posOffset>
            </wp:positionV>
            <wp:extent cx="4497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44977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Proved</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Developed</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ind w:left="6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8"/>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19"/>
                <w:szCs w:val="19"/>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Producing</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Undeveloped</w:t>
            </w:r>
          </w:p>
        </w:tc>
        <w:tc>
          <w:tcPr>
            <w:tcW w:w="1600" w:type="dxa"/>
            <w:vAlign w:val="bottom"/>
          </w:tcPr>
          <w:p>
            <w:pPr>
              <w:jc w:val="right"/>
              <w:ind w:right="431"/>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60" w:type="dxa"/>
            <w:vAlign w:val="bottom"/>
          </w:tcPr>
          <w:p>
            <w:pPr>
              <w:jc w:val="right"/>
              <w:spacing w:after="0"/>
              <w:rPr>
                <w:sz w:val="20"/>
                <w:szCs w:val="20"/>
                <w:color w:val="auto"/>
              </w:rPr>
            </w:pPr>
            <w:r>
              <w:rPr>
                <w:rFonts w:ascii="Arial" w:cs="Arial" w:eastAsia="Arial" w:hAnsi="Arial"/>
                <w:sz w:val="18"/>
                <w:szCs w:val="18"/>
                <w:color w:val="auto"/>
              </w:rPr>
              <w:t>49,280</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19,960</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69,240</w:t>
            </w:r>
          </w:p>
        </w:tc>
        <w:tc>
          <w:tcPr>
            <w:tcW w:w="0" w:type="dxa"/>
            <w:vAlign w:val="bottom"/>
          </w:tcPr>
          <w:p>
            <w:pPr>
              <w:spacing w:after="0"/>
              <w:rPr>
                <w:sz w:val="1"/>
                <w:szCs w:val="1"/>
                <w:color w:val="auto"/>
              </w:rPr>
            </w:pPr>
          </w:p>
        </w:tc>
      </w:tr>
      <w:tr>
        <w:trPr>
          <w:trHeight w:val="228"/>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60" w:type="dxa"/>
            <w:vAlign w:val="bottom"/>
          </w:tcPr>
          <w:p>
            <w:pPr>
              <w:jc w:val="right"/>
              <w:spacing w:after="0"/>
              <w:rPr>
                <w:sz w:val="20"/>
                <w:szCs w:val="20"/>
                <w:color w:val="auto"/>
              </w:rPr>
            </w:pPr>
            <w:r>
              <w:rPr>
                <w:rFonts w:ascii="Arial" w:cs="Arial" w:eastAsia="Arial" w:hAnsi="Arial"/>
                <w:sz w:val="18"/>
                <w:szCs w:val="18"/>
                <w:color w:val="auto"/>
              </w:rPr>
              <w:t>19,476</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8,557</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28"/>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60" w:type="dxa"/>
            <w:vAlign w:val="bottom"/>
          </w:tcPr>
          <w:p>
            <w:pPr>
              <w:jc w:val="right"/>
              <w:spacing w:after="0"/>
              <w:rPr>
                <w:sz w:val="20"/>
                <w:szCs w:val="20"/>
                <w:color w:val="auto"/>
              </w:rPr>
            </w:pPr>
            <w:r>
              <w:rPr>
                <w:rFonts w:ascii="Arial" w:cs="Arial" w:eastAsia="Arial" w:hAnsi="Arial"/>
                <w:sz w:val="18"/>
                <w:szCs w:val="18"/>
                <w:color w:val="auto"/>
              </w:rPr>
              <w:t>134,485</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49,205</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183,690</w:t>
            </w:r>
          </w:p>
        </w:tc>
        <w:tc>
          <w:tcPr>
            <w:tcW w:w="0" w:type="dxa"/>
            <w:vAlign w:val="bottom"/>
          </w:tcPr>
          <w:p>
            <w:pPr>
              <w:spacing w:after="0"/>
              <w:rPr>
                <w:sz w:val="1"/>
                <w:szCs w:val="1"/>
                <w:color w:val="auto"/>
              </w:rPr>
            </w:pPr>
          </w:p>
        </w:tc>
      </w:tr>
      <w:tr>
        <w:trPr>
          <w:trHeight w:val="228"/>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60" w:type="dxa"/>
            <w:vAlign w:val="bottom"/>
          </w:tcPr>
          <w:p>
            <w:pPr>
              <w:jc w:val="right"/>
              <w:spacing w:after="0"/>
              <w:rPr>
                <w:sz w:val="20"/>
                <w:szCs w:val="20"/>
                <w:color w:val="auto"/>
              </w:rPr>
            </w:pPr>
            <w:r>
              <w:rPr>
                <w:rFonts w:ascii="Arial" w:cs="Arial" w:eastAsia="Arial" w:hAnsi="Arial"/>
                <w:sz w:val="18"/>
                <w:szCs w:val="18"/>
                <w:color w:val="auto"/>
              </w:rPr>
              <w:t>91,170</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36,718</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127,888</w:t>
            </w:r>
          </w:p>
        </w:tc>
        <w:tc>
          <w:tcPr>
            <w:tcW w:w="0" w:type="dxa"/>
            <w:vAlign w:val="bottom"/>
          </w:tcPr>
          <w:p>
            <w:pPr>
              <w:spacing w:after="0"/>
              <w:rPr>
                <w:sz w:val="1"/>
                <w:szCs w:val="1"/>
                <w:color w:val="auto"/>
              </w:rPr>
            </w:pPr>
          </w:p>
        </w:tc>
      </w:tr>
      <w:tr>
        <w:trPr>
          <w:trHeight w:val="443"/>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60" w:type="dxa"/>
            <w:vAlign w:val="bottom"/>
          </w:tcPr>
          <w:p>
            <w:pPr>
              <w:jc w:val="right"/>
              <w:spacing w:after="0"/>
              <w:rPr>
                <w:sz w:val="20"/>
                <w:szCs w:val="20"/>
                <w:color w:val="auto"/>
              </w:rPr>
            </w:pPr>
            <w:r>
              <w:rPr>
                <w:rFonts w:ascii="Arial" w:cs="Arial" w:eastAsia="Arial" w:hAnsi="Arial"/>
                <w:sz w:val="18"/>
                <w:szCs w:val="18"/>
                <w:color w:val="auto"/>
              </w:rPr>
              <w:t>$3,878,633</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$1,580,866</w:t>
            </w:r>
          </w:p>
        </w:tc>
        <w:tc>
          <w:tcPr>
            <w:tcW w:w="300" w:type="dxa"/>
            <w:vAlign w:val="bottom"/>
          </w:tcPr>
          <w:p>
            <w:pPr>
              <w:spacing w:after="0"/>
              <w:rPr>
                <w:sz w:val="21"/>
                <w:szCs w:val="21"/>
                <w:color w:val="auto"/>
              </w:rPr>
            </w:pPr>
          </w:p>
        </w:tc>
        <w:tc>
          <w:tcPr>
            <w:tcW w:w="1600" w:type="dxa"/>
            <w:vAlign w:val="bottom"/>
          </w:tcPr>
          <w:p>
            <w:pPr>
              <w:ind w:left="620"/>
              <w:spacing w:after="0"/>
              <w:rPr>
                <w:sz w:val="20"/>
                <w:szCs w:val="20"/>
                <w:color w:val="auto"/>
              </w:rPr>
            </w:pPr>
            <w:r>
              <w:rPr>
                <w:rFonts w:ascii="Arial" w:cs="Arial" w:eastAsia="Arial" w:hAnsi="Arial"/>
                <w:sz w:val="18"/>
                <w:szCs w:val="18"/>
                <w:color w:val="auto"/>
              </w:rPr>
              <w:t>$5,459,499</w:t>
            </w:r>
          </w:p>
        </w:tc>
        <w:tc>
          <w:tcPr>
            <w:tcW w:w="0" w:type="dxa"/>
            <w:vAlign w:val="bottom"/>
          </w:tcPr>
          <w:p>
            <w:pPr>
              <w:spacing w:after="0"/>
              <w:rPr>
                <w:sz w:val="1"/>
                <w:szCs w:val="1"/>
                <w:color w:val="auto"/>
              </w:rPr>
            </w:pPr>
          </w:p>
        </w:tc>
      </w:tr>
      <w:tr>
        <w:trPr>
          <w:trHeight w:val="228"/>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79,787</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33,040</w:t>
            </w:r>
          </w:p>
        </w:tc>
        <w:tc>
          <w:tcPr>
            <w:tcW w:w="3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112,827</w:t>
            </w:r>
          </w:p>
        </w:tc>
        <w:tc>
          <w:tcPr>
            <w:tcW w:w="0" w:type="dxa"/>
            <w:vAlign w:val="bottom"/>
          </w:tcPr>
          <w:p>
            <w:pPr>
              <w:spacing w:after="0"/>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60" w:type="dxa"/>
            <w:vAlign w:val="bottom"/>
          </w:tcPr>
          <w:p>
            <w:pPr>
              <w:jc w:val="right"/>
              <w:spacing w:after="0"/>
              <w:rPr>
                <w:sz w:val="20"/>
                <w:szCs w:val="20"/>
                <w:color w:val="auto"/>
              </w:rPr>
            </w:pPr>
            <w:r>
              <w:rPr>
                <w:rFonts w:ascii="Arial" w:cs="Arial" w:eastAsia="Arial" w:hAnsi="Arial"/>
                <w:sz w:val="18"/>
                <w:szCs w:val="18"/>
                <w:color w:val="auto"/>
              </w:rPr>
              <w:t>$3,798,846</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$1,547,826</w:t>
            </w:r>
          </w:p>
        </w:tc>
        <w:tc>
          <w:tcPr>
            <w:tcW w:w="300" w:type="dxa"/>
            <w:vAlign w:val="bottom"/>
          </w:tcPr>
          <w:p>
            <w:pPr>
              <w:spacing w:after="0"/>
              <w:rPr>
                <w:sz w:val="19"/>
                <w:szCs w:val="19"/>
                <w:color w:val="auto"/>
              </w:rPr>
            </w:pPr>
          </w:p>
        </w:tc>
        <w:tc>
          <w:tcPr>
            <w:tcW w:w="1600" w:type="dxa"/>
            <w:vAlign w:val="bottom"/>
          </w:tcPr>
          <w:p>
            <w:pPr>
              <w:ind w:left="620"/>
              <w:spacing w:after="0"/>
              <w:rPr>
                <w:sz w:val="20"/>
                <w:szCs w:val="20"/>
                <w:color w:val="auto"/>
              </w:rPr>
            </w:pPr>
            <w:r>
              <w:rPr>
                <w:rFonts w:ascii="Arial" w:cs="Arial" w:eastAsia="Arial" w:hAnsi="Arial"/>
                <w:sz w:val="18"/>
                <w:szCs w:val="18"/>
                <w:color w:val="auto"/>
              </w:rPr>
              <w:t>$5,346,672</w:t>
            </w:r>
          </w:p>
        </w:tc>
        <w:tc>
          <w:tcPr>
            <w:tcW w:w="0" w:type="dxa"/>
            <w:vAlign w:val="bottom"/>
          </w:tcPr>
          <w:p>
            <w:pPr>
              <w:spacing w:after="0"/>
              <w:rPr>
                <w:sz w:val="1"/>
                <w:szCs w:val="1"/>
                <w:color w:val="auto"/>
              </w:rPr>
            </w:pPr>
          </w:p>
        </w:tc>
      </w:tr>
      <w:tr>
        <w:trPr>
          <w:trHeight w:val="482"/>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60" w:type="dxa"/>
            <w:vAlign w:val="bottom"/>
          </w:tcPr>
          <w:p>
            <w:pPr>
              <w:jc w:val="right"/>
              <w:spacing w:after="0"/>
              <w:rPr>
                <w:sz w:val="20"/>
                <w:szCs w:val="20"/>
                <w:color w:val="auto"/>
              </w:rPr>
            </w:pPr>
            <w:r>
              <w:rPr>
                <w:rFonts w:ascii="Arial" w:cs="Arial" w:eastAsia="Arial" w:hAnsi="Arial"/>
                <w:sz w:val="18"/>
                <w:szCs w:val="18"/>
                <w:color w:val="auto"/>
              </w:rPr>
              <w:t>$1,648,450</w:t>
            </w: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$698,720</w:t>
            </w:r>
          </w:p>
        </w:tc>
        <w:tc>
          <w:tcPr>
            <w:tcW w:w="300" w:type="dxa"/>
            <w:vAlign w:val="bottom"/>
          </w:tcPr>
          <w:p>
            <w:pPr>
              <w:spacing w:after="0"/>
              <w:rPr>
                <w:sz w:val="24"/>
                <w:szCs w:val="24"/>
                <w:color w:val="auto"/>
              </w:rPr>
            </w:pPr>
          </w:p>
        </w:tc>
        <w:tc>
          <w:tcPr>
            <w:tcW w:w="1600" w:type="dxa"/>
            <w:vAlign w:val="bottom"/>
          </w:tcPr>
          <w:p>
            <w:pPr>
              <w:ind w:left="620"/>
              <w:spacing w:after="0"/>
              <w:rPr>
                <w:sz w:val="20"/>
                <w:szCs w:val="20"/>
                <w:color w:val="auto"/>
              </w:rPr>
            </w:pPr>
            <w:r>
              <w:rPr>
                <w:rFonts w:ascii="Arial" w:cs="Arial" w:eastAsia="Arial" w:hAnsi="Arial"/>
                <w:sz w:val="18"/>
                <w:szCs w:val="18"/>
                <w:color w:val="auto"/>
              </w:rPr>
              <w:t>$2,347,170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38"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Viper.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35"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35"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Liquid hydrocarbon reserves account for approximately 91 percent and gas reserves account for the remaining 9 percent of total future gross revenue from proved reserves.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39"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76" w:lineRule="exact"/>
        <w:rPr>
          <w:sz w:val="20"/>
          <w:szCs w:val="20"/>
          <w:color w:val="auto"/>
        </w:rPr>
      </w:pPr>
    </w:p>
    <w:tbl>
      <w:tblPr>
        <w:tblLayout w:type="fixed"/>
        <w:tblInd w:w="1700" w:type="dxa"/>
        <w:tblCellMar>
          <w:top w:w="0" w:type="dxa"/>
          <w:left w:w="0" w:type="dxa"/>
          <w:bottom w:w="0" w:type="dxa"/>
          <w:right w:w="0" w:type="dxa"/>
        </w:tblCellMar>
      </w:tblPr>
      <w:tr>
        <w:trPr>
          <w:trHeight w:val="226"/>
        </w:trPr>
        <w:tc>
          <w:tcPr>
            <w:tcW w:w="1660" w:type="dxa"/>
            <w:vAlign w:val="bottom"/>
          </w:tcPr>
          <w:p>
            <w:pPr>
              <w:spacing w:after="0"/>
              <w:rPr>
                <w:sz w:val="19"/>
                <w:szCs w:val="19"/>
                <w:color w:val="auto"/>
              </w:rPr>
            </w:pPr>
          </w:p>
        </w:tc>
        <w:tc>
          <w:tcPr>
            <w:tcW w:w="4120" w:type="dxa"/>
            <w:vAlign w:val="bottom"/>
            <w:gridSpan w:val="3"/>
          </w:tcPr>
          <w:p>
            <w:pPr>
              <w:jc w:val="center"/>
              <w:ind w:left="569"/>
              <w:spacing w:after="0"/>
              <w:rPr>
                <w:sz w:val="20"/>
                <w:szCs w:val="20"/>
                <w:color w:val="auto"/>
              </w:rPr>
            </w:pPr>
            <w:r>
              <w:rPr>
                <w:rFonts w:ascii="Arial" w:cs="Arial" w:eastAsia="Arial" w:hAnsi="Arial"/>
                <w:sz w:val="19"/>
                <w:szCs w:val="19"/>
                <w:color w:val="auto"/>
                <w:w w:val="98"/>
              </w:rPr>
              <w:t>Discounted Future Net Income ($M)</w:t>
            </w:r>
          </w:p>
        </w:tc>
      </w:tr>
      <w:tr>
        <w:trPr>
          <w:trHeight w:val="239"/>
        </w:trPr>
        <w:tc>
          <w:tcPr>
            <w:tcW w:w="1660" w:type="dxa"/>
            <w:vAlign w:val="bottom"/>
          </w:tcPr>
          <w:p>
            <w:pPr>
              <w:spacing w:after="0"/>
              <w:rPr>
                <w:sz w:val="20"/>
                <w:szCs w:val="20"/>
                <w:color w:val="auto"/>
              </w:rPr>
            </w:pPr>
          </w:p>
        </w:tc>
        <w:tc>
          <w:tcPr>
            <w:tcW w:w="4120" w:type="dxa"/>
            <w:vAlign w:val="bottom"/>
            <w:gridSpan w:val="3"/>
          </w:tcPr>
          <w:p>
            <w:pPr>
              <w:jc w:val="center"/>
              <w:ind w:left="569"/>
              <w:spacing w:after="0"/>
              <w:rPr>
                <w:sz w:val="20"/>
                <w:szCs w:val="20"/>
                <w:color w:val="auto"/>
              </w:rPr>
            </w:pPr>
            <w:r>
              <w:rPr>
                <w:rFonts w:ascii="Arial" w:cs="Arial" w:eastAsia="Arial" w:hAnsi="Arial"/>
                <w:sz w:val="19"/>
                <w:szCs w:val="19"/>
                <w:color w:val="auto"/>
                <w:w w:val="99"/>
              </w:rPr>
              <w:t>As of December 31, 2021</w:t>
            </w:r>
          </w:p>
        </w:tc>
      </w:tr>
      <w:tr>
        <w:trPr>
          <w:trHeight w:val="237"/>
        </w:trPr>
        <w:tc>
          <w:tcPr>
            <w:tcW w:w="1660" w:type="dxa"/>
            <w:vAlign w:val="bottom"/>
          </w:tcPr>
          <w:p>
            <w:pPr>
              <w:jc w:val="center"/>
              <w:spacing w:after="0"/>
              <w:rPr>
                <w:sz w:val="20"/>
                <w:szCs w:val="20"/>
                <w:color w:val="auto"/>
              </w:rPr>
            </w:pPr>
            <w:r>
              <w:rPr>
                <w:rFonts w:ascii="Arial" w:cs="Arial" w:eastAsia="Arial" w:hAnsi="Arial"/>
                <w:sz w:val="19"/>
                <w:szCs w:val="19"/>
                <w:color w:val="auto"/>
                <w:w w:val="98"/>
              </w:rPr>
              <w:t>Discount Rate</w:t>
            </w:r>
          </w:p>
        </w:tc>
        <w:tc>
          <w:tcPr>
            <w:tcW w:w="1660" w:type="dxa"/>
            <w:vAlign w:val="bottom"/>
          </w:tcPr>
          <w:p>
            <w:pPr>
              <w:spacing w:after="0"/>
              <w:rPr>
                <w:sz w:val="20"/>
                <w:szCs w:val="20"/>
                <w:color w:val="auto"/>
              </w:rPr>
            </w:pPr>
          </w:p>
        </w:tc>
        <w:tc>
          <w:tcPr>
            <w:tcW w:w="246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r>
      <w:tr>
        <w:trPr>
          <w:trHeight w:val="239"/>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16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40" w:type="dxa"/>
            <w:vAlign w:val="bottom"/>
          </w:tcPr>
          <w:p>
            <w:pPr>
              <w:spacing w:after="0"/>
              <w:rPr>
                <w:sz w:val="20"/>
                <w:szCs w:val="20"/>
                <w:color w:val="auto"/>
              </w:rPr>
            </w:pPr>
          </w:p>
        </w:tc>
      </w:tr>
      <w:tr>
        <w:trPr>
          <w:trHeight w:val="478"/>
        </w:trPr>
        <w:tc>
          <w:tcPr>
            <w:tcW w:w="1660" w:type="dxa"/>
            <w:vAlign w:val="bottom"/>
          </w:tcPr>
          <w:p>
            <w:pPr>
              <w:jc w:val="center"/>
              <w:spacing w:after="0"/>
              <w:rPr>
                <w:sz w:val="20"/>
                <w:szCs w:val="20"/>
                <w:color w:val="auto"/>
              </w:rPr>
            </w:pPr>
            <w:r>
              <w:rPr>
                <w:rFonts w:ascii="Arial" w:cs="Arial" w:eastAsia="Arial" w:hAnsi="Arial"/>
                <w:sz w:val="19"/>
                <w:szCs w:val="19"/>
                <w:color w:val="auto"/>
                <w:w w:val="94"/>
              </w:rPr>
              <w:t>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$3,206,727</w:t>
            </w:r>
          </w:p>
        </w:tc>
        <w:tc>
          <w:tcPr>
            <w:tcW w:w="940" w:type="dxa"/>
            <w:vAlign w:val="bottom"/>
          </w:tcPr>
          <w:p>
            <w:pPr>
              <w:spacing w:after="0"/>
              <w:rPr>
                <w:sz w:val="24"/>
                <w:szCs w:val="24"/>
                <w:color w:val="auto"/>
              </w:rPr>
            </w:pPr>
          </w:p>
        </w:tc>
      </w:tr>
      <w:tr>
        <w:trPr>
          <w:trHeight w:val="241"/>
        </w:trPr>
        <w:tc>
          <w:tcPr>
            <w:tcW w:w="16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$1,883,607</w:t>
            </w:r>
          </w:p>
        </w:tc>
        <w:tc>
          <w:tcPr>
            <w:tcW w:w="940" w:type="dxa"/>
            <w:vAlign w:val="bottom"/>
          </w:tcPr>
          <w:p>
            <w:pPr>
              <w:spacing w:after="0"/>
              <w:rPr>
                <w:sz w:val="20"/>
                <w:szCs w:val="20"/>
                <w:color w:val="auto"/>
              </w:rPr>
            </w:pPr>
          </w:p>
        </w:tc>
      </w:tr>
      <w:tr>
        <w:trPr>
          <w:trHeight w:val="241"/>
        </w:trPr>
        <w:tc>
          <w:tcPr>
            <w:tcW w:w="16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$1,589,545</w:t>
            </w:r>
          </w:p>
        </w:tc>
        <w:tc>
          <w:tcPr>
            <w:tcW w:w="940" w:type="dxa"/>
            <w:vAlign w:val="bottom"/>
          </w:tcPr>
          <w:p>
            <w:pPr>
              <w:spacing w:after="0"/>
              <w:rPr>
                <w:sz w:val="20"/>
                <w:szCs w:val="20"/>
                <w:color w:val="auto"/>
              </w:rPr>
            </w:pPr>
          </w:p>
        </w:tc>
      </w:tr>
      <w:tr>
        <w:trPr>
          <w:trHeight w:val="241"/>
        </w:trPr>
        <w:tc>
          <w:tcPr>
            <w:tcW w:w="16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$1,231,967</w:t>
            </w:r>
          </w:p>
        </w:tc>
        <w:tc>
          <w:tcPr>
            <w:tcW w:w="940" w:type="dxa"/>
            <w:vAlign w:val="bottom"/>
          </w:tcPr>
          <w:p>
            <w:pPr>
              <w:spacing w:after="0"/>
              <w:rPr>
                <w:sz w:val="20"/>
                <w:szCs w:val="20"/>
                <w:color w:val="auto"/>
              </w:rPr>
            </w:pPr>
          </w:p>
        </w:tc>
      </w:tr>
    </w:tbl>
    <w:p>
      <w:pPr>
        <w:spacing w:after="0" w:line="3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3"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4"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line="237" w:lineRule="auto"/>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spacing w:after="0" w:line="1"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Viper’s request, this report addresses only the proved reserves attributable to the properties evaluated herein.</w:t>
      </w:r>
    </w:p>
    <w:p>
      <w:pPr>
        <w:spacing w:after="0" w:line="237"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3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37"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38"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6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37"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likely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4"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5"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2021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3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37"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39"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63"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4"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38"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6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38"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Diamondback furnished us with the above mentioned average prices in effect on December 31, 2021.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3"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39"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34"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 included in the report.</w:t>
      </w:r>
    </w:p>
    <w:p>
      <w:pPr>
        <w:spacing w:after="0" w:line="340" w:lineRule="exact"/>
        <w:rPr>
          <w:sz w:val="20"/>
          <w:szCs w:val="20"/>
          <w:color w:val="auto"/>
        </w:rPr>
      </w:pPr>
    </w:p>
    <w:tbl>
      <w:tblPr>
        <w:tblLayout w:type="fixed"/>
        <w:tblInd w:w="110" w:type="dxa"/>
        <w:tblCellMar>
          <w:top w:w="0" w:type="dxa"/>
          <w:left w:w="0" w:type="dxa"/>
          <w:bottom w:w="0" w:type="dxa"/>
          <w:right w:w="0" w:type="dxa"/>
        </w:tblCellMar>
      </w:tblPr>
      <w:tr>
        <w:trPr>
          <w:trHeight w:val="211"/>
        </w:trPr>
        <w:tc>
          <w:tcPr>
            <w:tcW w:w="2720" w:type="dxa"/>
            <w:vAlign w:val="bottom"/>
            <w:tcBorders>
              <w:top w:val="single" w:sz="8" w:color="00000A"/>
              <w:left w:val="single" w:sz="8" w:color="00000A"/>
              <w:right w:val="single" w:sz="8" w:color="00000A"/>
            </w:tcBorders>
          </w:tcPr>
          <w:p>
            <w:pPr>
              <w:spacing w:after="0"/>
              <w:rPr>
                <w:sz w:val="18"/>
                <w:szCs w:val="18"/>
                <w:color w:val="auto"/>
              </w:rPr>
            </w:pPr>
          </w:p>
        </w:tc>
        <w:tc>
          <w:tcPr>
            <w:tcW w:w="1900" w:type="dxa"/>
            <w:vAlign w:val="bottom"/>
            <w:tcBorders>
              <w:top w:val="single" w:sz="8" w:color="00000A"/>
              <w:right w:val="single" w:sz="8" w:color="00000A"/>
            </w:tcBorders>
          </w:tcPr>
          <w:p>
            <w:pPr>
              <w:spacing w:after="0"/>
              <w:rPr>
                <w:sz w:val="18"/>
                <w:szCs w:val="18"/>
                <w:color w:val="auto"/>
              </w:rPr>
            </w:pPr>
          </w:p>
        </w:tc>
        <w:tc>
          <w:tcPr>
            <w:tcW w:w="25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rPr>
              <w:t>Price</w:t>
            </w:r>
          </w:p>
        </w:tc>
        <w:tc>
          <w:tcPr>
            <w:tcW w:w="2040" w:type="dxa"/>
            <w:vAlign w:val="bottom"/>
            <w:tcBorders>
              <w:top w:val="single" w:sz="8" w:color="00000A"/>
              <w:right w:val="single" w:sz="8" w:color="00000A"/>
            </w:tcBorders>
          </w:tcPr>
          <w:p>
            <w:pPr>
              <w:jc w:val="center"/>
              <w:spacing w:after="0" w:line="210" w:lineRule="exact"/>
              <w:rPr>
                <w:sz w:val="20"/>
                <w:szCs w:val="20"/>
                <w:color w:val="auto"/>
              </w:rPr>
            </w:pPr>
            <w:r>
              <w:rPr>
                <w:rFonts w:ascii="Arial" w:cs="Arial" w:eastAsia="Arial" w:hAnsi="Arial"/>
                <w:sz w:val="20"/>
                <w:szCs w:val="20"/>
                <w:color w:val="auto"/>
                <w:w w:val="99"/>
              </w:rPr>
              <w:t>Average</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7"/>
              </w:rPr>
              <w:t>Average Realized</w:t>
            </w:r>
          </w:p>
        </w:tc>
        <w:tc>
          <w:tcPr>
            <w:tcW w:w="0" w:type="dxa"/>
            <w:vAlign w:val="bottom"/>
          </w:tcPr>
          <w:p>
            <w:pPr>
              <w:spacing w:after="0"/>
              <w:rPr>
                <w:sz w:val="1"/>
                <w:szCs w:val="1"/>
                <w:color w:val="auto"/>
              </w:rPr>
            </w:pPr>
          </w:p>
        </w:tc>
      </w:tr>
      <w:tr>
        <w:trPr>
          <w:trHeight w:val="187"/>
        </w:trPr>
        <w:tc>
          <w:tcPr>
            <w:tcW w:w="27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7"/>
              </w:rPr>
              <w:t>Geographic Area</w:t>
            </w:r>
          </w:p>
        </w:tc>
        <w:tc>
          <w:tcPr>
            <w:tcW w:w="1900" w:type="dxa"/>
            <w:vAlign w:val="bottom"/>
            <w:tcBorders>
              <w:right w:val="single" w:sz="8" w:color="00000A"/>
            </w:tcBorders>
            <w:vMerge w:val="restart"/>
          </w:tcPr>
          <w:p>
            <w:pPr>
              <w:ind w:left="600"/>
              <w:spacing w:after="0"/>
              <w:rPr>
                <w:sz w:val="20"/>
                <w:szCs w:val="20"/>
                <w:color w:val="auto"/>
              </w:rPr>
            </w:pPr>
            <w:r>
              <w:rPr>
                <w:rFonts w:ascii="Arial" w:cs="Arial" w:eastAsia="Arial" w:hAnsi="Arial"/>
                <w:sz w:val="20"/>
                <w:szCs w:val="20"/>
                <w:color w:val="auto"/>
              </w:rPr>
              <w:t>Product</w:t>
            </w:r>
          </w:p>
        </w:tc>
        <w:tc>
          <w:tcPr>
            <w:tcW w:w="2520" w:type="dxa"/>
            <w:vAlign w:val="bottom"/>
            <w:tcBorders>
              <w:right w:val="single" w:sz="8" w:color="00000A"/>
            </w:tcBorders>
            <w:vMerge w:val="continue"/>
          </w:tcPr>
          <w:p>
            <w:pPr>
              <w:spacing w:after="0"/>
              <w:rPr>
                <w:sz w:val="16"/>
                <w:szCs w:val="16"/>
                <w:color w:val="auto"/>
              </w:rPr>
            </w:pPr>
          </w:p>
        </w:tc>
        <w:tc>
          <w:tcPr>
            <w:tcW w:w="2040" w:type="dxa"/>
            <w:vAlign w:val="bottom"/>
            <w:tcBorders>
              <w:right w:val="single" w:sz="8" w:color="00000A"/>
            </w:tcBorders>
          </w:tcPr>
          <w:p>
            <w:pPr>
              <w:jc w:val="center"/>
              <w:spacing w:after="0" w:line="187" w:lineRule="exact"/>
              <w:rPr>
                <w:sz w:val="20"/>
                <w:szCs w:val="20"/>
                <w:color w:val="auto"/>
              </w:rPr>
            </w:pPr>
            <w:r>
              <w:rPr>
                <w:rFonts w:ascii="Arial" w:cs="Arial" w:eastAsia="Arial" w:hAnsi="Arial"/>
                <w:sz w:val="20"/>
                <w:szCs w:val="20"/>
                <w:color w:val="auto"/>
                <w:w w:val="96"/>
              </w:rPr>
              <w:t>Benchmark</w:t>
            </w:r>
          </w:p>
        </w:tc>
        <w:tc>
          <w:tcPr>
            <w:tcW w:w="188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20" w:type="dxa"/>
            <w:vAlign w:val="bottom"/>
            <w:tcBorders>
              <w:left w:val="single" w:sz="8" w:color="00000A"/>
              <w:bottom w:val="single" w:sz="8" w:color="00000A"/>
              <w:right w:val="single" w:sz="8" w:color="00000A"/>
            </w:tcBorders>
            <w:vMerge w:val="continue"/>
          </w:tcPr>
          <w:p>
            <w:pPr>
              <w:spacing w:after="0"/>
              <w:rPr>
                <w:sz w:val="20"/>
                <w:szCs w:val="20"/>
                <w:color w:val="auto"/>
              </w:rPr>
            </w:pPr>
          </w:p>
        </w:tc>
        <w:tc>
          <w:tcPr>
            <w:tcW w:w="1900" w:type="dxa"/>
            <w:vAlign w:val="bottom"/>
            <w:tcBorders>
              <w:bottom w:val="single" w:sz="8" w:color="00000A"/>
              <w:right w:val="single" w:sz="8" w:color="00000A"/>
            </w:tcBorders>
            <w:vMerge w:val="continue"/>
          </w:tcPr>
          <w:p>
            <w:pPr>
              <w:spacing w:after="0"/>
              <w:rPr>
                <w:sz w:val="20"/>
                <w:szCs w:val="20"/>
                <w:color w:val="auto"/>
              </w:rPr>
            </w:pP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34"/>
        </w:trPr>
        <w:tc>
          <w:tcPr>
            <w:tcW w:w="27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North America</w:t>
            </w:r>
          </w:p>
        </w:tc>
        <w:tc>
          <w:tcPr>
            <w:tcW w:w="1900" w:type="dxa"/>
            <w:vAlign w:val="bottom"/>
            <w:tcBorders>
              <w:bottom w:val="single" w:sz="8" w:color="00000A"/>
              <w:right w:val="single" w:sz="8" w:color="00000A"/>
            </w:tcBorders>
          </w:tcPr>
          <w:p>
            <w:pPr>
              <w:spacing w:after="0"/>
              <w:rPr>
                <w:sz w:val="20"/>
                <w:szCs w:val="20"/>
                <w:color w:val="auto"/>
              </w:rPr>
            </w:pPr>
          </w:p>
        </w:tc>
        <w:tc>
          <w:tcPr>
            <w:tcW w:w="2520" w:type="dxa"/>
            <w:vAlign w:val="bottom"/>
            <w:tcBorders>
              <w:bottom w:val="single" w:sz="8" w:color="00000A"/>
              <w:right w:val="single" w:sz="8" w:color="00000A"/>
            </w:tcBorders>
          </w:tcPr>
          <w:p>
            <w:pPr>
              <w:spacing w:after="0"/>
              <w:rPr>
                <w:sz w:val="20"/>
                <w:szCs w:val="20"/>
                <w:color w:val="auto"/>
              </w:rPr>
            </w:pPr>
          </w:p>
        </w:tc>
        <w:tc>
          <w:tcPr>
            <w:tcW w:w="2040" w:type="dxa"/>
            <w:vAlign w:val="bottom"/>
            <w:tcBorders>
              <w:bottom w:val="single" w:sz="8" w:color="00000A"/>
              <w:right w:val="single" w:sz="8" w:color="00000A"/>
            </w:tcBorders>
          </w:tcPr>
          <w:p>
            <w:pPr>
              <w:spacing w:after="0"/>
              <w:rPr>
                <w:sz w:val="20"/>
                <w:szCs w:val="20"/>
                <w:color w:val="auto"/>
              </w:rPr>
            </w:pPr>
          </w:p>
        </w:tc>
        <w:tc>
          <w:tcPr>
            <w:tcW w:w="18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20" w:type="dxa"/>
            <w:vAlign w:val="bottom"/>
            <w:tcBorders>
              <w:left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Oil/Condensate</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$66.56/bbl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$64.87/bbl</w:t>
            </w:r>
          </w:p>
        </w:tc>
        <w:tc>
          <w:tcPr>
            <w:tcW w:w="0" w:type="dxa"/>
            <w:vAlign w:val="bottom"/>
          </w:tcPr>
          <w:p>
            <w:pPr>
              <w:spacing w:after="0"/>
              <w:rPr>
                <w:sz w:val="1"/>
                <w:szCs w:val="1"/>
                <w:color w:val="auto"/>
              </w:rPr>
            </w:pPr>
          </w:p>
        </w:tc>
      </w:tr>
      <w:tr>
        <w:trPr>
          <w:trHeight w:val="234"/>
        </w:trPr>
        <w:tc>
          <w:tcPr>
            <w:tcW w:w="2720" w:type="dxa"/>
            <w:vAlign w:val="bottom"/>
            <w:tcBorders>
              <w:left w:val="single" w:sz="8" w:color="00000A"/>
              <w:right w:val="single" w:sz="8" w:color="00000A"/>
            </w:tcBorders>
          </w:tcPr>
          <w:p>
            <w:pPr>
              <w:jc w:val="center"/>
              <w:spacing w:after="0" w:line="226" w:lineRule="exact"/>
              <w:rPr>
                <w:sz w:val="20"/>
                <w:szCs w:val="20"/>
                <w:color w:val="auto"/>
              </w:rPr>
            </w:pPr>
            <w:r>
              <w:rPr>
                <w:rFonts w:ascii="Arial" w:cs="Arial" w:eastAsia="Arial" w:hAnsi="Arial"/>
                <w:sz w:val="20"/>
                <w:szCs w:val="20"/>
                <w:color w:val="auto"/>
                <w:w w:val="98"/>
              </w:rPr>
              <w:t>United States</w:t>
            </w:r>
          </w:p>
        </w:tc>
        <w:tc>
          <w:tcPr>
            <w:tcW w:w="1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NGLs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$66.56/bbl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$25.93/bbl</w:t>
            </w:r>
          </w:p>
        </w:tc>
        <w:tc>
          <w:tcPr>
            <w:tcW w:w="0" w:type="dxa"/>
            <w:vAlign w:val="bottom"/>
          </w:tcPr>
          <w:p>
            <w:pPr>
              <w:spacing w:after="0"/>
              <w:rPr>
                <w:sz w:val="1"/>
                <w:szCs w:val="1"/>
                <w:color w:val="auto"/>
              </w:rPr>
            </w:pPr>
          </w:p>
        </w:tc>
      </w:tr>
      <w:tr>
        <w:trPr>
          <w:trHeight w:val="234"/>
        </w:trPr>
        <w:tc>
          <w:tcPr>
            <w:tcW w:w="2720" w:type="dxa"/>
            <w:vAlign w:val="bottom"/>
            <w:tcBorders>
              <w:left w:val="single" w:sz="8" w:color="00000A"/>
              <w:bottom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Gas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$3.598/MMBTU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$2.97/Mcf</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6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2021.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2021,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38"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5"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38"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34"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3"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34"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2021 annual report on Form 10-K of Viper. Our written consent for such use is included as a separate exhibit to the filings made with the SEC by Viper.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Viper Energy Partners, LP</w:t>
      </w:r>
    </w:p>
    <w:p>
      <w:pPr>
        <w:spacing w:after="0" w:line="237" w:lineRule="auto"/>
        <w:rPr>
          <w:sz w:val="20"/>
          <w:szCs w:val="20"/>
          <w:color w:val="auto"/>
        </w:rPr>
      </w:pPr>
      <w:r>
        <w:rPr>
          <w:rFonts w:ascii="Arial" w:cs="Arial" w:eastAsia="Arial" w:hAnsi="Arial"/>
          <w:sz w:val="20"/>
          <w:szCs w:val="20"/>
          <w:color w:val="auto"/>
        </w:rPr>
        <w:t>January 5,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39" w:lineRule="exact"/>
        <w:rPr>
          <w:sz w:val="20"/>
          <w:szCs w:val="20"/>
          <w:color w:val="auto"/>
        </w:rPr>
      </w:pPr>
    </w:p>
    <w:p>
      <w:pPr>
        <w:jc w:val="both"/>
        <w:ind w:firstLine="643"/>
        <w:spacing w:after="0"/>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34" w:lineRule="exact"/>
        <w:rPr>
          <w:sz w:val="20"/>
          <w:szCs w:val="20"/>
          <w:color w:val="auto"/>
        </w:rPr>
      </w:pPr>
    </w:p>
    <w:p>
      <w:pPr>
        <w:ind w:right="120" w:firstLine="643"/>
        <w:spacing w:after="0" w:line="243"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Very truly yours,</w:t>
      </w:r>
    </w:p>
    <w:p>
      <w:pPr>
        <w:spacing w:after="0" w:line="241" w:lineRule="exact"/>
        <w:rPr>
          <w:sz w:val="20"/>
          <w:szCs w:val="20"/>
          <w:color w:val="auto"/>
        </w:rPr>
      </w:pPr>
    </w:p>
    <w:p>
      <w:pPr>
        <w:ind w:left="6260"/>
        <w:spacing w:after="0"/>
        <w:rPr>
          <w:sz w:val="20"/>
          <w:szCs w:val="20"/>
          <w:color w:val="auto"/>
        </w:rPr>
      </w:pPr>
      <w:r>
        <w:rPr>
          <w:rFonts w:ascii="Arial" w:cs="Arial" w:eastAsia="Arial" w:hAnsi="Arial"/>
          <w:sz w:val="20"/>
          <w:szCs w:val="20"/>
          <w:b w:val="1"/>
          <w:bCs w:val="1"/>
          <w:color w:val="auto"/>
        </w:rPr>
        <w:t>RYDER SCOTT COMPANY, L.P.</w:t>
      </w:r>
    </w:p>
    <w:p>
      <w:pPr>
        <w:spacing w:after="0" w:line="35"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8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Val Rick Robinson</w:t>
      </w:r>
    </w:p>
    <w:p>
      <w:pPr>
        <w:spacing w:after="0" w:line="279"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Val Rick Robinson, P.E.</w:t>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TBPELS License No. 105137</w:t>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Managing Senior Vice President</w:t>
      </w:r>
    </w:p>
    <w:p>
      <w:pPr>
        <w:spacing w:after="0" w:line="6"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27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Syed R. Rizvi</w:t>
      </w:r>
    </w:p>
    <w:p>
      <w:pPr>
        <w:spacing w:after="0" w:line="265"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Syed R. Rizvi</w:t>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Senior Petroleum Engineer</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6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3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2021 continuing education hours, Mr. Robinson attended 30 hours of formalized training including the 2021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Based on his educational background, professional training and more than 18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3"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7"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3"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30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39"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w:t>
      </w:r>
      <w:r>
        <w:rPr>
          <w:rFonts w:ascii="Arial" w:cs="Arial" w:eastAsia="Arial" w:hAnsi="Arial"/>
          <w:sz w:val="16"/>
          <w:szCs w:val="16"/>
          <w:color w:val="auto"/>
        </w:rPr>
        <w:t>—</w:t>
      </w:r>
      <w:r>
        <w:rPr>
          <w:rFonts w:ascii="Arial" w:cs="Arial" w:eastAsia="Arial" w:hAnsi="Arial"/>
          <w:sz w:val="19"/>
          <w:szCs w:val="19"/>
          <w:i w:val="1"/>
          <w:iCs w:val="1"/>
          <w:color w:val="auto"/>
        </w:rPr>
        <w:t>from a given date forward, from known reservoirs, and under existing economic conditions, operating methods, and government regulations</w:t>
      </w:r>
      <w:r>
        <w:rPr>
          <w:rFonts w:ascii="Arial" w:cs="Arial" w:eastAsia="Arial" w:hAnsi="Arial"/>
          <w:sz w:val="16"/>
          <w:szCs w:val="16"/>
          <w:color w:val="auto"/>
        </w:rPr>
        <w:t>—</w:t>
      </w:r>
      <w:r>
        <w:rPr>
          <w:rFonts w:ascii="Arial" w:cs="Arial" w:eastAsia="Arial" w:hAnsi="Arial"/>
          <w:sz w:val="19"/>
          <w:szCs w:val="19"/>
          <w:i w:val="1"/>
          <w:iCs w:val="1"/>
          <w:color w:val="auto"/>
        </w:rPr>
        <w:t>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6" w:lineRule="exact"/>
        <w:rPr>
          <w:sz w:val="20"/>
          <w:szCs w:val="20"/>
          <w:color w:val="auto"/>
        </w:rPr>
      </w:pPr>
    </w:p>
    <w:p>
      <w:pPr>
        <w:ind w:left="880" w:hanging="230"/>
        <w:spacing w:after="0"/>
        <w:tabs>
          <w:tab w:leader="none" w:pos="880" w:val="left"/>
        </w:tabs>
        <w:numPr>
          <w:ilvl w:val="0"/>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38" w:lineRule="exact"/>
        <w:rPr>
          <w:rFonts w:ascii="Arial" w:cs="Arial" w:eastAsia="Arial" w:hAnsi="Arial"/>
          <w:sz w:val="20"/>
          <w:szCs w:val="20"/>
          <w:i w:val="1"/>
          <w:iCs w:val="1"/>
          <w:color w:val="auto"/>
        </w:rPr>
      </w:pPr>
    </w:p>
    <w:p>
      <w:pPr>
        <w:ind w:left="1600" w:hanging="307"/>
        <w:spacing w:after="0"/>
        <w:tabs>
          <w:tab w:leader="none" w:pos="1600"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38" w:lineRule="exact"/>
        <w:rPr>
          <w:rFonts w:ascii="Arial" w:cs="Arial" w:eastAsia="Arial" w:hAnsi="Arial"/>
          <w:sz w:val="20"/>
          <w:szCs w:val="20"/>
          <w:i w:val="1"/>
          <w:iCs w:val="1"/>
          <w:color w:val="auto"/>
        </w:rPr>
      </w:pPr>
    </w:p>
    <w:p>
      <w:pPr>
        <w:ind w:left="1300" w:hanging="7"/>
        <w:spacing w:after="0" w:line="290" w:lineRule="auto"/>
        <w:tabs>
          <w:tab w:leader="none" w:pos="1620" w:val="left"/>
        </w:tabs>
        <w:numPr>
          <w:ilvl w:val="1"/>
          <w:numId w:val="42"/>
        </w:numPr>
        <w:rPr>
          <w:rFonts w:ascii="Arial" w:cs="Arial" w:eastAsia="Arial" w:hAnsi="Arial"/>
          <w:sz w:val="19"/>
          <w:szCs w:val="19"/>
          <w:i w:val="1"/>
          <w:iCs w:val="1"/>
          <w:color w:val="auto"/>
        </w:rPr>
      </w:pPr>
      <w:r>
        <w:rPr>
          <w:rFonts w:ascii="Arial" w:cs="Arial" w:eastAsia="Arial" w:hAnsi="Arial"/>
          <w:sz w:val="19"/>
          <w:szCs w:val="19"/>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86" w:lineRule="exact"/>
        <w:rPr>
          <w:sz w:val="20"/>
          <w:szCs w:val="20"/>
          <w:color w:val="auto"/>
        </w:rPr>
      </w:pPr>
    </w:p>
    <w:p>
      <w:pPr>
        <w:jc w:val="both"/>
        <w:ind w:left="640" w:firstLine="10"/>
        <w:spacing w:after="0" w:line="250" w:lineRule="auto"/>
        <w:tabs>
          <w:tab w:leader="none" w:pos="916"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5" w:lineRule="exact"/>
        <w:rPr>
          <w:rFonts w:ascii="Arial" w:cs="Arial" w:eastAsia="Arial" w:hAnsi="Arial"/>
          <w:sz w:val="20"/>
          <w:szCs w:val="20"/>
          <w:i w:val="1"/>
          <w:iCs w:val="1"/>
          <w:color w:val="auto"/>
        </w:rPr>
      </w:pPr>
    </w:p>
    <w:p>
      <w:pPr>
        <w:jc w:val="both"/>
        <w:ind w:left="640" w:firstLine="10"/>
        <w:spacing w:after="0" w:line="246" w:lineRule="auto"/>
        <w:tabs>
          <w:tab w:leader="none" w:pos="977"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08" w:lineRule="exact"/>
        <w:rPr>
          <w:rFonts w:ascii="Arial" w:cs="Arial" w:eastAsia="Arial" w:hAnsi="Arial"/>
          <w:sz w:val="20"/>
          <w:szCs w:val="20"/>
          <w:i w:val="1"/>
          <w:iCs w:val="1"/>
          <w:color w:val="auto"/>
        </w:rPr>
      </w:pPr>
    </w:p>
    <w:p>
      <w:pPr>
        <w:ind w:left="640" w:right="20" w:firstLine="10"/>
        <w:spacing w:after="0" w:line="264" w:lineRule="auto"/>
        <w:tabs>
          <w:tab w:leader="none" w:pos="987"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0" w:lineRule="exact"/>
        <w:rPr>
          <w:rFonts w:ascii="Arial" w:cs="Arial" w:eastAsia="Arial" w:hAnsi="Arial"/>
          <w:sz w:val="20"/>
          <w:szCs w:val="20"/>
          <w:i w:val="1"/>
          <w:iCs w:val="1"/>
          <w:color w:val="auto"/>
        </w:rPr>
      </w:pPr>
    </w:p>
    <w:p>
      <w:pPr>
        <w:jc w:val="both"/>
        <w:ind w:left="1300" w:hanging="7"/>
        <w:spacing w:after="0" w:line="246" w:lineRule="auto"/>
        <w:tabs>
          <w:tab w:leader="none" w:pos="1633" w:val="left"/>
        </w:tabs>
        <w:numPr>
          <w:ilvl w:val="1"/>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8" w:lineRule="exact"/>
        <w:rPr>
          <w:rFonts w:ascii="Arial" w:cs="Arial" w:eastAsia="Arial" w:hAnsi="Arial"/>
          <w:sz w:val="20"/>
          <w:szCs w:val="20"/>
          <w:i w:val="1"/>
          <w:iCs w:val="1"/>
          <w:color w:val="auto"/>
        </w:rPr>
      </w:pPr>
    </w:p>
    <w:p>
      <w:pPr>
        <w:ind w:left="1300" w:hanging="7"/>
        <w:spacing w:after="0" w:line="264" w:lineRule="auto"/>
        <w:tabs>
          <w:tab w:leader="none" w:pos="1627" w:val="left"/>
        </w:tabs>
        <w:numPr>
          <w:ilvl w:val="1"/>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40" w:firstLine="10"/>
        <w:spacing w:after="0" w:line="244" w:lineRule="auto"/>
        <w:tabs>
          <w:tab w:leader="none" w:pos="968"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4" w:right="339" w:bottom="1440" w:gutter="0" w:footer="0" w:header="0"/>
        </w:sectPr>
      </w:pPr>
    </w:p>
    <w:bookmarkStart w:id="119" w:name="page120"/>
    <w:bookmarkEnd w:id="119"/>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3"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1"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§210.4-10(a)(6) defines developed oil and gas reserves as follows: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39" w:lineRule="exact"/>
        <w:rPr>
          <w:sz w:val="20"/>
          <w:szCs w:val="20"/>
          <w:color w:val="auto"/>
        </w:rPr>
      </w:pPr>
    </w:p>
    <w:p>
      <w:pPr>
        <w:ind w:left="1300" w:hanging="7"/>
        <w:spacing w:after="0" w:line="264" w:lineRule="auto"/>
        <w:tabs>
          <w:tab w:leader="none" w:pos="1562"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hanging="7"/>
        <w:spacing w:after="0" w:line="264" w:lineRule="auto"/>
        <w:tabs>
          <w:tab w:leader="none" w:pos="1577"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3" w:lineRule="exact"/>
        <w:rPr>
          <w:sz w:val="20"/>
          <w:szCs w:val="20"/>
          <w:color w:val="auto"/>
        </w:rPr>
      </w:pPr>
    </w:p>
    <w:p>
      <w:pPr>
        <w:ind w:firstLine="643"/>
        <w:spacing w:after="0" w:line="243"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2" w:lineRule="exact"/>
        <w:rPr>
          <w:sz w:val="20"/>
          <w:szCs w:val="20"/>
          <w:color w:val="auto"/>
        </w:rPr>
      </w:pPr>
    </w:p>
    <w:p>
      <w:pPr>
        <w:ind w:left="640"/>
        <w:spacing w:after="0" w:line="243"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20" w:name="page121"/>
    <w:bookmarkEnd w:id="120"/>
    <w:p>
      <w:pPr>
        <w:ind w:right="5080"/>
        <w:spacing w:after="0" w:line="243"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80" w:hanging="409"/>
        <w:spacing w:after="0" w:line="237" w:lineRule="auto"/>
        <w:tabs>
          <w:tab w:leader="none" w:pos="138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80" w:hanging="409"/>
        <w:spacing w:after="0" w:line="237" w:lineRule="auto"/>
        <w:tabs>
          <w:tab w:leader="none" w:pos="138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80" w:hanging="409"/>
        <w:spacing w:after="0"/>
        <w:tabs>
          <w:tab w:leader="none" w:pos="138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2" w:lineRule="exact"/>
        <w:rPr>
          <w:sz w:val="20"/>
          <w:szCs w:val="20"/>
          <w:color w:val="auto"/>
        </w:rPr>
      </w:pPr>
    </w:p>
    <w:p>
      <w:pPr>
        <w:ind w:left="640"/>
        <w:spacing w:after="0" w:line="243"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40" w:right="20"/>
        <w:spacing w:after="0" w:line="264"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3" w:lineRule="exact"/>
        <w:rPr>
          <w:sz w:val="20"/>
          <w:szCs w:val="20"/>
          <w:color w:val="auto"/>
        </w:rPr>
      </w:pPr>
    </w:p>
    <w:p>
      <w:pPr>
        <w:ind w:firstLine="643"/>
        <w:spacing w:after="0" w:line="243"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40" w:right="20"/>
        <w:spacing w:after="0" w:line="264"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jc w:val="both"/>
        <w:ind w:left="1300" w:firstLine="33"/>
        <w:spacing w:after="0" w:line="250" w:lineRule="auto"/>
        <w:tabs>
          <w:tab w:leader="none" w:pos="1581" w:val="left"/>
        </w:tabs>
        <w:numPr>
          <w:ilvl w:val="0"/>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5" w:lineRule="exact"/>
        <w:rPr>
          <w:rFonts w:ascii="Arial" w:cs="Arial" w:eastAsia="Arial" w:hAnsi="Arial"/>
          <w:sz w:val="20"/>
          <w:szCs w:val="20"/>
          <w:i w:val="1"/>
          <w:iCs w:val="1"/>
          <w:color w:val="auto"/>
        </w:rPr>
      </w:pPr>
    </w:p>
    <w:p>
      <w:pPr>
        <w:jc w:val="both"/>
        <w:ind w:left="1300" w:hanging="7"/>
        <w:spacing w:after="0" w:line="250" w:lineRule="auto"/>
        <w:tabs>
          <w:tab w:leader="none" w:pos="1602" w:val="left"/>
        </w:tabs>
        <w:numPr>
          <w:ilvl w:val="0"/>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5" w:lineRule="exact"/>
        <w:rPr>
          <w:rFonts w:ascii="Arial" w:cs="Arial" w:eastAsia="Arial" w:hAnsi="Arial"/>
          <w:sz w:val="20"/>
          <w:szCs w:val="20"/>
          <w:i w:val="1"/>
          <w:iCs w:val="1"/>
          <w:color w:val="auto"/>
        </w:rPr>
      </w:pPr>
    </w:p>
    <w:p>
      <w:pPr>
        <w:jc w:val="both"/>
        <w:ind w:left="1300" w:hanging="7"/>
        <w:spacing w:after="0" w:line="246" w:lineRule="auto"/>
        <w:tabs>
          <w:tab w:leader="none" w:pos="1623" w:val="left"/>
        </w:tabs>
        <w:numPr>
          <w:ilvl w:val="1"/>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lvl w:ilvl="1">
      <w:lvlJc w:val="left"/>
      <w:lvlText w:val="(%2)"/>
      <w:numFmt w:val="decimal"/>
      <w:start w:val="1"/>
    </w:lvl>
  </w:abstractNum>
  <w:abstractNum w:abstractNumId="23">
    <w:nsid w:val="5577F8E1"/>
    <w:multiLevelType w:val="hybridMultilevel"/>
    <w:lvl w:ilvl="0">
      <w:lvlJc w:val="left"/>
      <w:lvlText w:val="(%1)"/>
      <w:numFmt w:val="decimal"/>
      <w:start w:val="2"/>
    </w:lvl>
    <w:lvl w:ilvl="1">
      <w:lvlJc w:val="left"/>
      <w:lvlText w:val="%2"/>
      <w:numFmt w:val="decimal"/>
      <w:start w:val="1"/>
    </w:lvl>
  </w:abstractNum>
  <w:abstractNum w:abstractNumId="24">
    <w:nsid w:val="440BADFC"/>
    <w:multiLevelType w:val="hybridMultilevel"/>
    <w:lvl w:ilvl="0">
      <w:lvlJc w:val="left"/>
      <w:lvlText w:val="(%1)"/>
      <w:numFmt w:val="decimal"/>
      <w:start w:val="4"/>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5"/>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lvl w:ilvl="1">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lowerRoman"/>
      <w:start w:val="2"/>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3"/>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lowerRoman"/>
      <w:start w:val="1"/>
    </w:lvl>
    <w:lvl w:ilvl="1">
      <w:lvlJc w:val="left"/>
      <w:lvlText w:val="(%2)"/>
      <w:numFmt w:val="upperLetter"/>
      <w:start w:val="1"/>
    </w:lvl>
  </w:abstractNum>
  <w:abstractNum w:abstractNumId="42">
    <w:nsid w:val="2CD89A32"/>
    <w:multiLevelType w:val="hybridMultilevel"/>
    <w:lvl w:ilvl="0">
      <w:lvlJc w:val="left"/>
      <w:lvlText w:val="(%1)"/>
      <w:numFmt w:val="lowerRoman"/>
      <w:start w:val="2"/>
    </w:lvl>
    <w:lvl w:ilvl="1">
      <w:lvlJc w:val="left"/>
      <w:lvlText w:val="(%2)"/>
      <w:numFmt w:val="upperLetter"/>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54" Type="http://schemas.openxmlformats.org/officeDocument/2006/relationships/hyperlink" Target="http://www.sec.gov/ix?doc=/Archives/edgar/data/1602065/000160206521000006/vnom-20201231.htm#i700aec8d20af4047910f4616d0b0e309_46" TargetMode="External"/><Relationship Id="rId97" Type="http://schemas.openxmlformats.org/officeDocument/2006/relationships/hyperlink" Target="http://www.sec.gov/Archives/edgar/data/1602065/000119312514187469/d673207dex31.htm" TargetMode="External"/><Relationship Id="rId98" Type="http://schemas.openxmlformats.org/officeDocument/2006/relationships/hyperlink" Target="http://www.sec.gov/Archives/edgar/data/0001602065/000160206518000017/viperex31-5x15x18.htm" TargetMode="External"/><Relationship Id="rId99" Type="http://schemas.openxmlformats.org/officeDocument/2006/relationships/hyperlink" Target="http://www.sec.gov/Archives/edgar/data/1602065/000160206518000017/viperex32-5x15x18.htm" TargetMode="External"/><Relationship Id="rId100" Type="http://schemas.openxmlformats.org/officeDocument/2006/relationships/hyperlink" Target="http://www.sec.gov/Archives/edgar/data/0001602065/000160206518000017/viperex33-5x15x18.htm" TargetMode="External"/><Relationship Id="rId101" Type="http://schemas.openxmlformats.org/officeDocument/2006/relationships/hyperlink" Target="http://www.sec.gov/Archives/edgar/data/1602065/000160206520000014/viperex31-33120.htm" TargetMode="External"/><Relationship Id="rId102" Type="http://schemas.openxmlformats.org/officeDocument/2006/relationships/hyperlink" Target="http://www.sec.gov/Archives/edgar/data/0001602065/000119312521367951/d249385dex31.htm" TargetMode="External"/><Relationship Id="rId103" Type="http://schemas.openxmlformats.org/officeDocument/2006/relationships/hyperlink" Target="https://www.sec.gov/Archives/edgar/data/1602065/000160206520000009/viper201910-kxex41.htm" TargetMode="External"/><Relationship Id="rId104" Type="http://schemas.openxmlformats.org/officeDocument/2006/relationships/hyperlink" Target="http://www.sec.gov/Archives/edgar/data/1602065/000160206518000017/viperex41-5x15x18.htm" TargetMode="External"/><Relationship Id="rId105" Type="http://schemas.openxmlformats.org/officeDocument/2006/relationships/hyperlink" Target="http://www.sec.gov/Archives/edgar/data/1602065/000160206521000051/viperex41-10x1x21.htm" TargetMode="External"/><Relationship Id="rId106" Type="http://schemas.openxmlformats.org/officeDocument/2006/relationships/hyperlink" Target="http://www.sec.gov/Archives/edgar/data/1602065/000110465919054635/tm19193893_ex4-1.htm" TargetMode="External"/><Relationship Id="rId109" Type="http://schemas.openxmlformats.org/officeDocument/2006/relationships/hyperlink" Target="http://www.sec.gov/Archives/edgar/data/1602065/000160206518000027/viperex101-7x26x18.htm" TargetMode="External"/><Relationship Id="rId110" Type="http://schemas.openxmlformats.org/officeDocument/2006/relationships/hyperlink" Target="http://www.sec.gov/Archives/edgar/data/1602065/000119312514245558/d743920dex102.htm" TargetMode="External"/><Relationship Id="rId111" Type="http://schemas.openxmlformats.org/officeDocument/2006/relationships/hyperlink" Target="http://www.sec.gov/Archives/edgar/data/1602065/000119312514245558/d743920dex104.htm" TargetMode="External"/><Relationship Id="rId112" Type="http://schemas.openxmlformats.org/officeDocument/2006/relationships/hyperlink" Target="http://www.sec.gov/Archives/edgar/data/1602065/000119312514245558/d743920dex105.htm" TargetMode="External"/><Relationship Id="rId113" Type="http://schemas.openxmlformats.org/officeDocument/2006/relationships/hyperlink" Target="http://www.sec.gov/Archives/edgar/data/1602065/000119312514245558/d743920dex106.htm" TargetMode="External"/><Relationship Id="rId114" Type="http://schemas.openxmlformats.org/officeDocument/2006/relationships/hyperlink" Target="https://www.sec.gov/Archives/edgar/data/1602065/000160206520000009/viper201910-kxex108.htm" TargetMode="External"/><Relationship Id="rId115" Type="http://schemas.openxmlformats.org/officeDocument/2006/relationships/hyperlink" Target="http://www.sec.gov/Archives/edgar/data/1602065/000119312518119710/d559361ddef14c.htm" TargetMode="External"/><Relationship Id="rId116" Type="http://schemas.openxmlformats.org/officeDocument/2006/relationships/hyperlink" Target="http://www.sec.gov/Archives/edgar/data/1602065/000160206518000017/viperex104-5x15x18.htm" TargetMode="External"/><Relationship Id="rId117" Type="http://schemas.openxmlformats.org/officeDocument/2006/relationships/hyperlink" Target="http://www.sec.gov/Archives/edgar/data/1602065/000160206518000017/viperex101-5x15x18.htm" TargetMode="External"/><Relationship Id="rId118" Type="http://schemas.openxmlformats.org/officeDocument/2006/relationships/hyperlink" Target="http://www.sec.gov/Archives/edgar/data/1602065/000160206518000017/viperex102-5x15x18.htm" TargetMode="External"/><Relationship Id="rId119" Type="http://schemas.openxmlformats.org/officeDocument/2006/relationships/hyperlink" Target="http://www.sec.gov/Archives/edgar/data/1602065/000160206519000040/viperex101-9x30x19.htm" TargetMode="External"/><Relationship Id="rId120" Type="http://schemas.openxmlformats.org/officeDocument/2006/relationships/hyperlink" Target="http://www.sec.gov/Archives/edgar/data/1602065/000160206519000042/viperex101-10x10x19.htm" TargetMode="External"/><Relationship Id="rId121" Type="http://schemas.openxmlformats.org/officeDocument/2006/relationships/hyperlink" Target="http://www.sec.gov/Archives/edgar/data/1602065/000160206519000051/viperex101-12519.htm" TargetMode="External"/><Relationship Id="rId122" Type="http://schemas.openxmlformats.org/officeDocument/2006/relationships/hyperlink" Target="http://www.sec.gov/Archives/edgar/data/1602065/000160206520000024/viperex101-51520.htm" TargetMode="External"/><Relationship Id="rId123" Type="http://schemas.openxmlformats.org/officeDocument/2006/relationships/hyperlink" Target="http://www.sec.gov/Archives/edgar/data/1602065/000160206520000056/viperex101-11x12x20.htm" TargetMode="External"/><Relationship Id="rId124" Type="http://schemas.openxmlformats.org/officeDocument/2006/relationships/hyperlink" Target="http://www.sec.gov/Archives/edgar/data/1602065/000160206521000022/viperex101-6x2x21.htm" TargetMode="External"/><Relationship Id="rId127" Type="http://schemas.openxmlformats.org/officeDocument/2006/relationships/hyperlink" Target="http://www.sec.gov/Archives/edgar/data/1602065/000160206521000061/viperex101-11x19x21.htm" TargetMode="External"/><Relationship Id="rId128" Type="http://schemas.openxmlformats.org/officeDocument/2006/relationships/hyperlink" Target="http://www.sec.gov/Archives/edgar/data/1602065/000110465919054635/tm1919389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2022-02-24T16:55:30Z</dcterms:created>
  <dcterms:modified xsi:type="dcterms:W3CDTF">2022-02-24T16:55:30Z</dcterms:modified>
</cp:coreProperties>
</file>