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107315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100965</wp:posOffset>
            </wp:positionV>
            <wp:extent cx="2614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01" w:lineRule="exact"/>
        <w:rPr>
          <w:sz w:val="24"/>
          <w:szCs w:val="24"/>
          <w:color w:val="auto"/>
        </w:rPr>
      </w:pPr>
    </w:p>
    <w:p>
      <w:pPr>
        <w:ind w:left="640" w:right="9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640" w:right="940" w:hanging="614"/>
        <w:spacing w:after="0" w:line="235" w:lineRule="auto"/>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197485</wp:posOffset>
            </wp:positionV>
            <wp:extent cx="2614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Viper Energy Partners LP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71"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1760" w:type="dxa"/>
            <w:vAlign w:val="bottom"/>
          </w:tcPr>
          <w:p>
            <w:pPr>
              <w:jc w:val="center"/>
              <w:ind w:left="1103"/>
              <w:spacing w:after="0"/>
              <w:rPr>
                <w:sz w:val="20"/>
                <w:szCs w:val="20"/>
                <w:color w:val="auto"/>
              </w:rPr>
            </w:pPr>
            <w:r>
              <w:rPr>
                <w:rFonts w:ascii="Arial" w:cs="Arial" w:eastAsia="Arial" w:hAnsi="Arial"/>
                <w:sz w:val="16"/>
                <w:szCs w:val="16"/>
                <w:b w:val="1"/>
                <w:bCs w:val="1"/>
                <w:color w:val="auto"/>
                <w:w w:val="98"/>
              </w:rPr>
              <w:t>DE</w:t>
            </w:r>
          </w:p>
        </w:tc>
        <w:tc>
          <w:tcPr>
            <w:tcW w:w="1360" w:type="dxa"/>
            <w:vAlign w:val="bottom"/>
          </w:tcPr>
          <w:p>
            <w:pPr>
              <w:spacing w:after="0"/>
              <w:rPr>
                <w:sz w:val="18"/>
                <w:szCs w:val="18"/>
                <w:color w:val="auto"/>
              </w:rPr>
            </w:pPr>
          </w:p>
        </w:tc>
        <w:tc>
          <w:tcPr>
            <w:tcW w:w="4000" w:type="dxa"/>
            <w:vAlign w:val="bottom"/>
          </w:tcPr>
          <w:p>
            <w:pPr>
              <w:jc w:val="right"/>
              <w:ind w:right="781"/>
              <w:spacing w:after="0"/>
              <w:rPr>
                <w:sz w:val="20"/>
                <w:szCs w:val="20"/>
                <w:color w:val="auto"/>
              </w:rPr>
            </w:pPr>
            <w:r>
              <w:rPr>
                <w:rFonts w:ascii="Arial" w:cs="Arial" w:eastAsia="Arial" w:hAnsi="Arial"/>
                <w:sz w:val="16"/>
                <w:szCs w:val="16"/>
                <w:b w:val="1"/>
                <w:bCs w:val="1"/>
                <w:color w:val="auto"/>
              </w:rPr>
              <w:t>46-5001985</w:t>
            </w:r>
          </w:p>
        </w:tc>
        <w:tc>
          <w:tcPr>
            <w:tcW w:w="0" w:type="dxa"/>
            <w:vAlign w:val="bottom"/>
          </w:tcPr>
          <w:p>
            <w:pPr>
              <w:spacing w:after="0"/>
              <w:rPr>
                <w:sz w:val="1"/>
                <w:szCs w:val="1"/>
                <w:color w:val="auto"/>
              </w:rPr>
            </w:pPr>
          </w:p>
        </w:tc>
      </w:tr>
      <w:tr>
        <w:trPr>
          <w:trHeight w:val="357"/>
        </w:trPr>
        <w:tc>
          <w:tcPr>
            <w:tcW w:w="3120" w:type="dxa"/>
            <w:vAlign w:val="bottom"/>
            <w:gridSpan w:val="2"/>
          </w:tcPr>
          <w:p>
            <w:pPr>
              <w:jc w:val="center"/>
              <w:ind w:right="102"/>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4000" w:type="dxa"/>
            <w:vAlign w:val="bottom"/>
          </w:tcPr>
          <w:p>
            <w:pPr>
              <w:jc w:val="center"/>
              <w:ind w:left="1421"/>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186"/>
        </w:trPr>
        <w:tc>
          <w:tcPr>
            <w:tcW w:w="3120" w:type="dxa"/>
            <w:vAlign w:val="bottom"/>
            <w:gridSpan w:val="2"/>
          </w:tcPr>
          <w:p>
            <w:pPr>
              <w:jc w:val="center"/>
              <w:ind w:right="102"/>
              <w:spacing w:after="0"/>
              <w:rPr>
                <w:sz w:val="20"/>
                <w:szCs w:val="20"/>
                <w:color w:val="auto"/>
              </w:rPr>
            </w:pPr>
            <w:r>
              <w:rPr>
                <w:rFonts w:ascii="Arial" w:cs="Arial" w:eastAsia="Arial" w:hAnsi="Arial"/>
                <w:sz w:val="14"/>
                <w:szCs w:val="14"/>
                <w:b w:val="1"/>
                <w:bCs w:val="1"/>
                <w:color w:val="auto"/>
                <w:w w:val="95"/>
              </w:rPr>
              <w:t>Organization)</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3120" w:type="dxa"/>
            <w:vAlign w:val="bottom"/>
            <w:gridSpan w:val="2"/>
          </w:tcPr>
          <w:p>
            <w:pPr>
              <w:jc w:val="center"/>
              <w:ind w:right="102"/>
              <w:spacing w:after="0"/>
              <w:rPr>
                <w:sz w:val="20"/>
                <w:szCs w:val="20"/>
                <w:color w:val="auto"/>
              </w:rPr>
            </w:pPr>
            <w:r>
              <w:rPr>
                <w:rFonts w:ascii="Arial" w:cs="Arial" w:eastAsia="Arial" w:hAnsi="Arial"/>
                <w:sz w:val="16"/>
                <w:szCs w:val="16"/>
                <w:b w:val="1"/>
                <w:bCs w:val="1"/>
                <w:color w:val="auto"/>
                <w:w w:val="88"/>
              </w:rPr>
              <w:t>500 West Texas</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jc w:val="center"/>
              <w:ind w:right="102"/>
              <w:spacing w:after="0"/>
              <w:rPr>
                <w:sz w:val="20"/>
                <w:szCs w:val="20"/>
                <w:color w:val="auto"/>
              </w:rPr>
            </w:pPr>
            <w:r>
              <w:rPr>
                <w:rFonts w:ascii="Arial" w:cs="Arial" w:eastAsia="Arial" w:hAnsi="Arial"/>
                <w:sz w:val="16"/>
                <w:szCs w:val="16"/>
                <w:b w:val="1"/>
                <w:bCs w:val="1"/>
                <w:color w:val="auto"/>
                <w:w w:val="88"/>
              </w:rPr>
              <w:t>Suite 1200</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Midland, TX</w:t>
            </w:r>
          </w:p>
        </w:tc>
        <w:tc>
          <w:tcPr>
            <w:tcW w:w="1360" w:type="dxa"/>
            <w:vAlign w:val="bottom"/>
          </w:tcPr>
          <w:p>
            <w:pPr>
              <w:spacing w:after="0"/>
              <w:rPr>
                <w:sz w:val="18"/>
                <w:szCs w:val="18"/>
                <w:color w:val="auto"/>
              </w:rPr>
            </w:pPr>
          </w:p>
        </w:tc>
        <w:tc>
          <w:tcPr>
            <w:tcW w:w="4000" w:type="dxa"/>
            <w:vAlign w:val="bottom"/>
          </w:tcPr>
          <w:p>
            <w:pPr>
              <w:jc w:val="right"/>
              <w:ind w:right="981"/>
              <w:spacing w:after="0"/>
              <w:rPr>
                <w:sz w:val="20"/>
                <w:szCs w:val="20"/>
                <w:color w:val="auto"/>
              </w:rPr>
            </w:pPr>
            <w:r>
              <w:rPr>
                <w:rFonts w:ascii="Arial" w:cs="Arial" w:eastAsia="Arial" w:hAnsi="Arial"/>
                <w:sz w:val="16"/>
                <w:szCs w:val="16"/>
                <w:b w:val="1"/>
                <w:bCs w:val="1"/>
                <w:color w:val="auto"/>
              </w:rPr>
              <w:t>79701</w:t>
            </w:r>
          </w:p>
        </w:tc>
        <w:tc>
          <w:tcPr>
            <w:tcW w:w="0" w:type="dxa"/>
            <w:vAlign w:val="bottom"/>
          </w:tcPr>
          <w:p>
            <w:pPr>
              <w:spacing w:after="0"/>
              <w:rPr>
                <w:sz w:val="1"/>
                <w:szCs w:val="1"/>
                <w:color w:val="auto"/>
              </w:rPr>
            </w:pPr>
          </w:p>
        </w:tc>
      </w:tr>
      <w:tr>
        <w:trPr>
          <w:trHeight w:val="108"/>
        </w:trPr>
        <w:tc>
          <w:tcPr>
            <w:tcW w:w="17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120" w:type="dxa"/>
            <w:vAlign w:val="bottom"/>
            <w:gridSpan w:val="2"/>
          </w:tcPr>
          <w:p>
            <w:pPr>
              <w:jc w:val="center"/>
              <w:ind w:right="1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00" w:type="dxa"/>
            <w:vAlign w:val="bottom"/>
          </w:tcPr>
          <w:p>
            <w:pPr>
              <w:jc w:val="center"/>
              <w:ind w:left="1421"/>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529"/>
        </w:trPr>
        <w:tc>
          <w:tcPr>
            <w:tcW w:w="1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0" w:type="dxa"/>
            <w:vAlign w:val="bottom"/>
          </w:tcPr>
          <w:p>
            <w:pPr>
              <w:jc w:val="center"/>
              <w:ind w:right="2861"/>
              <w:spacing w:after="0"/>
              <w:rPr>
                <w:sz w:val="20"/>
                <w:szCs w:val="20"/>
                <w:color w:val="auto"/>
              </w:rPr>
            </w:pPr>
            <w:r>
              <w:rPr>
                <w:rFonts w:ascii="Arial" w:cs="Arial" w:eastAsia="Arial" w:hAnsi="Arial"/>
                <w:sz w:val="16"/>
                <w:szCs w:val="16"/>
                <w:b w:val="1"/>
                <w:bCs w:val="1"/>
                <w:color w:val="auto"/>
                <w:w w:val="93"/>
              </w:rPr>
              <w:t>(432) 221-7400</w:t>
            </w: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5360" w:type="dxa"/>
            <w:vAlign w:val="bottom"/>
            <w:gridSpan w:val="2"/>
          </w:tcPr>
          <w:p>
            <w:pPr>
              <w:jc w:val="center"/>
              <w:ind w:right="15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10"/>
        </w:trPr>
        <w:tc>
          <w:tcPr>
            <w:tcW w:w="7120" w:type="dxa"/>
            <w:vAlign w:val="bottom"/>
            <w:gridSpan w:val="3"/>
          </w:tcPr>
          <w:p>
            <w:pPr>
              <w:jc w:val="center"/>
              <w:ind w:left="83"/>
              <w:spacing w:after="0"/>
              <w:rPr>
                <w:sz w:val="20"/>
                <w:szCs w:val="20"/>
                <w:color w:val="auto"/>
              </w:rPr>
            </w:pPr>
            <w:r>
              <w:rPr>
                <w:rFonts w:ascii="Arial" w:cs="Arial" w:eastAsia="Arial" w:hAnsi="Arial"/>
                <w:sz w:val="14"/>
                <w:szCs w:val="14"/>
                <w:color w:val="auto"/>
                <w:w w:val="92"/>
              </w:rPr>
              <w:t>Securities registered pursuant to Section 12(b) of the Securities Exchange Act of 1934:</w:t>
            </w:r>
          </w:p>
        </w:tc>
        <w:tc>
          <w:tcPr>
            <w:tcW w:w="0" w:type="dxa"/>
            <w:vAlign w:val="bottom"/>
          </w:tcPr>
          <w:p>
            <w:pPr>
              <w:spacing w:after="0"/>
              <w:rPr>
                <w:sz w:val="1"/>
                <w:szCs w:val="1"/>
                <w:color w:val="auto"/>
              </w:rPr>
            </w:pPr>
          </w:p>
        </w:tc>
      </w:tr>
      <w:tr>
        <w:trPr>
          <w:trHeight w:val="330"/>
        </w:trPr>
        <w:tc>
          <w:tcPr>
            <w:tcW w:w="1760" w:type="dxa"/>
            <w:vAlign w:val="bottom"/>
          </w:tcPr>
          <w:p>
            <w:pPr>
              <w:jc w:val="center"/>
              <w:ind w:right="323"/>
              <w:spacing w:after="0"/>
              <w:rPr>
                <w:sz w:val="20"/>
                <w:szCs w:val="20"/>
                <w:color w:val="auto"/>
              </w:rPr>
            </w:pPr>
            <w:r>
              <w:rPr>
                <w:rFonts w:ascii="Arial" w:cs="Arial" w:eastAsia="Arial" w:hAnsi="Arial"/>
                <w:sz w:val="16"/>
                <w:szCs w:val="16"/>
                <w:b w:val="1"/>
                <w:bCs w:val="1"/>
                <w:color w:val="auto"/>
                <w:w w:val="87"/>
              </w:rPr>
              <w:t>Title of each class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000" w:type="dxa"/>
            <w:vAlign w:val="bottom"/>
          </w:tcPr>
          <w:p>
            <w:pPr>
              <w:jc w:val="center"/>
              <w:ind w:left="521"/>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23"/>
              <w:spacing w:after="0"/>
              <w:rPr>
                <w:sz w:val="20"/>
                <w:szCs w:val="20"/>
                <w:color w:val="auto"/>
              </w:rPr>
            </w:pPr>
            <w:r>
              <w:rPr>
                <w:rFonts w:ascii="Arial" w:cs="Arial" w:eastAsia="Arial" w:hAnsi="Arial"/>
                <w:sz w:val="16"/>
                <w:szCs w:val="16"/>
                <w:color w:val="auto"/>
                <w:w w:val="94"/>
              </w:rPr>
              <w:t>Common Units</w:t>
            </w:r>
          </w:p>
        </w:tc>
        <w:tc>
          <w:tcPr>
            <w:tcW w:w="1360" w:type="dxa"/>
            <w:vAlign w:val="bottom"/>
          </w:tcPr>
          <w:p>
            <w:pPr>
              <w:jc w:val="center"/>
              <w:spacing w:after="0"/>
              <w:rPr>
                <w:sz w:val="20"/>
                <w:szCs w:val="20"/>
                <w:color w:val="auto"/>
              </w:rPr>
            </w:pPr>
            <w:r>
              <w:rPr>
                <w:rFonts w:ascii="Arial" w:cs="Arial" w:eastAsia="Arial" w:hAnsi="Arial"/>
                <w:sz w:val="16"/>
                <w:szCs w:val="16"/>
                <w:color w:val="auto"/>
              </w:rPr>
              <w:t>VNOM</w:t>
            </w:r>
          </w:p>
        </w:tc>
        <w:tc>
          <w:tcPr>
            <w:tcW w:w="4000" w:type="dxa"/>
            <w:vAlign w:val="bottom"/>
          </w:tcPr>
          <w:p>
            <w:pPr>
              <w:jc w:val="center"/>
              <w:ind w:left="521"/>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tcPr>
          <w:p>
            <w:pPr>
              <w:jc w:val="center"/>
              <w:ind w:left="521"/>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As of October 30, 2020, the registrant had outstanding 67,862,281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61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Glossary of Oil and Natural Gas Terms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ii</w:t>
              </w:r>
            </w:hyperlink>
          </w:p>
        </w:tc>
      </w:tr>
      <w:tr>
        <w:trPr>
          <w:trHeight w:val="230"/>
        </w:trPr>
        <w:tc>
          <w:tcPr>
            <w:tcW w:w="20" w:type="dxa"/>
            <w:vAlign w:val="bottom"/>
          </w:tcPr>
          <w:p>
            <w:pPr>
              <w:spacing w:after="0"/>
              <w:rPr>
                <w:sz w:val="19"/>
                <w:szCs w:val="19"/>
                <w:color w:val="auto"/>
              </w:rPr>
            </w:pPr>
          </w:p>
        </w:tc>
        <w:tc>
          <w:tcPr>
            <w:tcW w:w="10540" w:type="dxa"/>
            <w:vAlign w:val="bottom"/>
            <w:gridSpan w:val="6"/>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Glossary of Certain Other Terms</w:t>
              </w:r>
            </w:hyperlink>
          </w:p>
        </w:tc>
        <w:tc>
          <w:tcPr>
            <w:tcW w:w="660" w:type="dxa"/>
            <w:vAlign w:val="bottom"/>
          </w:tcPr>
          <w:p>
            <w:pPr>
              <w:jc w:val="cente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iii</w:t>
              </w:r>
            </w:hyperlink>
          </w:p>
        </w:tc>
      </w:tr>
      <w:tr>
        <w:trPr>
          <w:trHeight w:val="229"/>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Cautionary Statement Regarding Forward-Looking Statements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iv</w:t>
              </w:r>
            </w:hyperlink>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jc w:val="center"/>
              <w:ind w:right="2940"/>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PART I. FINANCIAL INFORMATION</w:t>
              </w:r>
            </w:hyperlink>
          </w:p>
        </w:tc>
        <w:tc>
          <w:tcPr>
            <w:tcW w:w="66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0540" w:type="dxa"/>
            <w:vAlign w:val="bottom"/>
            <w:gridSpan w:val="6"/>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 xml:space="preserve">Item 1. Condensed Consolidated </w:t>
              </w:r>
              <w:r>
                <w:rPr>
                  <w:rFonts w:ascii="Arial" w:cs="Arial" w:eastAsia="Arial" w:hAnsi="Arial"/>
                  <w:sz w:val="18"/>
                  <w:szCs w:val="18"/>
                  <w:u w:val="single" w:color="auto"/>
                  <w:color w:val="0000FF"/>
                </w:rPr>
                <w:t>Financial Statements (Unaudited)</w:t>
              </w:r>
            </w:hyperlink>
          </w:p>
        </w:tc>
        <w:tc>
          <w:tcPr>
            <w:tcW w:w="660" w:type="dxa"/>
            <w:vAlign w:val="bottom"/>
          </w:tcPr>
          <w:p>
            <w:pPr>
              <w:jc w:val="center"/>
              <w:spacing w:after="0" w:line="189" w:lineRule="exact"/>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1</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0000FF"/>
            </w:tcBorders>
            <w:gridSpan w:val="3"/>
            <w:shd w:val="clear" w:color="auto" w:fill="CCEEFF"/>
          </w:tcPr>
          <w:p>
            <w:pPr>
              <w:spacing w:after="0" w:line="182"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Condensed Consolidated Balance Sheets</w:t>
              </w:r>
            </w:hyperlink>
          </w:p>
        </w:tc>
        <w:tc>
          <w:tcPr>
            <w:tcW w:w="78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line="196" w:lineRule="exact"/>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1</w:t>
              </w:r>
            </w:hyperlink>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9880" w:type="dxa"/>
            <w:vAlign w:val="bottom"/>
            <w:tcBorders>
              <w:top w:val="single" w:sz="8" w:color="CCEEFF"/>
            </w:tcBorders>
            <w:gridSpan w:val="5"/>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w:t>
              </w:r>
              <w:r>
                <w:rPr>
                  <w:rFonts w:ascii="Arial" w:cs="Arial" w:eastAsia="Arial" w:hAnsi="Arial"/>
                  <w:sz w:val="18"/>
                  <w:szCs w:val="18"/>
                  <w:u w:val="single" w:color="auto"/>
                  <w:color w:val="0000FF"/>
                </w:rPr>
                <w:t>Statements of Operations</w:t>
              </w:r>
            </w:hyperlink>
          </w:p>
        </w:tc>
        <w:tc>
          <w:tcPr>
            <w:tcW w:w="660" w:type="dxa"/>
            <w:vAlign w:val="bottom"/>
            <w:tcBorders>
              <w:top w:val="single" w:sz="8" w:color="CCEEFF"/>
            </w:tcBorders>
          </w:tcPr>
          <w:p>
            <w:pPr>
              <w:jc w:val="center"/>
              <w:spacing w:after="0" w:line="189" w:lineRule="exact"/>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2</w:t>
              </w:r>
            </w:hyperlink>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80" w:type="dxa"/>
            <w:vAlign w:val="bottom"/>
            <w:gridSpan w:val="5"/>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 xml:space="preserve">Condensed Consolidated </w:t>
              </w:r>
              <w:r>
                <w:rPr>
                  <w:rFonts w:ascii="Arial" w:cs="Arial" w:eastAsia="Arial" w:hAnsi="Arial"/>
                  <w:sz w:val="18"/>
                  <w:szCs w:val="18"/>
                  <w:u w:val="single" w:color="auto"/>
                  <w:color w:val="0000FF"/>
                </w:rPr>
                <w:t>Statements of Changes to Unitholders’ Equity</w:t>
              </w:r>
            </w:hyperlink>
          </w:p>
        </w:tc>
        <w:tc>
          <w:tcPr>
            <w:tcW w:w="660" w:type="dxa"/>
            <w:vAlign w:val="bottom"/>
            <w:shd w:val="clear" w:color="auto" w:fill="CCEEFF"/>
          </w:tcPr>
          <w:p>
            <w:pPr>
              <w:jc w:val="center"/>
              <w:spacing w:after="0" w:line="189" w:lineRule="exact"/>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5"/>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660" w:type="dxa"/>
            <w:vAlign w:val="bottom"/>
          </w:tcPr>
          <w:p>
            <w:pPr>
              <w:jc w:val="center"/>
              <w:spacing w:after="0" w:line="189" w:lineRule="exact"/>
              <w:rPr>
                <w:rFonts w:ascii="Arial" w:cs="Arial" w:eastAsia="Arial" w:hAnsi="Arial"/>
                <w:sz w:val="18"/>
                <w:szCs w:val="18"/>
                <w:u w:val="single" w:color="auto"/>
                <w:color w:val="0000FF"/>
                <w:w w:val="79"/>
              </w:rPr>
            </w:pPr>
            <w:hyperlink w:anchor="page10">
              <w:r>
                <w:rPr>
                  <w:rFonts w:ascii="Arial" w:cs="Arial" w:eastAsia="Arial" w:hAnsi="Arial"/>
                  <w:sz w:val="18"/>
                  <w:szCs w:val="18"/>
                  <w:u w:val="single" w:color="auto"/>
                  <w:color w:val="0000FF"/>
                  <w:w w:val="79"/>
                </w:rPr>
                <w:t>5</w:t>
              </w:r>
            </w:hyperlink>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80" w:type="dxa"/>
            <w:vAlign w:val="bottom"/>
            <w:gridSpan w:val="5"/>
            <w:shd w:val="clear" w:color="auto" w:fill="CCEEFF"/>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Condensed Notes to Consolidated Financial Statements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6</w:t>
              </w:r>
            </w:hyperlink>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 Management’s Discussion and Analysis of Financial Condition and Results of Operations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18</w:t>
              </w:r>
            </w:hyperlink>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3. Quantitative and Qualitative Disclosures about Market Risk</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29</w:t>
              </w:r>
            </w:hyperlink>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4. Controls and Procedures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31</w:t>
              </w:r>
            </w:hyperlink>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jc w:val="center"/>
              <w:ind w:right="294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PART II. OTHER INFORMATION</w:t>
              </w:r>
            </w:hyperlink>
          </w:p>
        </w:tc>
        <w:tc>
          <w:tcPr>
            <w:tcW w:w="6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 Legal Proceedings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31</w:t>
              </w:r>
            </w:hyperlink>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1A. Risk Factors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31</w:t>
              </w:r>
            </w:hyperlink>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2. Unregistered Sales of Equity Securities and Use of Proceeds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32</w:t>
              </w:r>
            </w:hyperlink>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6. Exhibits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33</w:t>
              </w:r>
            </w:hyperlink>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0540" w:type="dxa"/>
            <w:vAlign w:val="bottom"/>
            <w:gridSpan w:val="6"/>
            <w:shd w:val="clear" w:color="auto" w:fill="CCEEFF"/>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Signatures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8780" w:type="dxa"/>
            <w:vAlign w:val="bottom"/>
          </w:tcPr>
          <w:p>
            <w:pPr>
              <w:ind w:left="1120"/>
              <w:spacing w:after="0"/>
              <w:rPr>
                <w:sz w:val="20"/>
                <w:szCs w:val="20"/>
                <w:color w:val="auto"/>
              </w:rPr>
            </w:pPr>
            <w:r>
              <w:rPr>
                <w:rFonts w:ascii="Arial" w:cs="Arial" w:eastAsia="Arial" w:hAnsi="Arial"/>
                <w:sz w:val="18"/>
                <w:szCs w:val="18"/>
                <w:b w:val="1"/>
                <w:bCs w:val="1"/>
                <w:color w:val="auto"/>
              </w:rPr>
              <w:t>GLOSSARY OF OIL AND NATURAL GAS TERMS</w:t>
            </w:r>
          </w:p>
        </w:tc>
        <w:tc>
          <w:tcPr>
            <w:tcW w:w="0" w:type="dxa"/>
            <w:vAlign w:val="bottom"/>
          </w:tcPr>
          <w:p>
            <w:pPr>
              <w:spacing w:after="0"/>
              <w:rPr>
                <w:sz w:val="1"/>
                <w:szCs w:val="1"/>
                <w:color w:val="auto"/>
              </w:rPr>
            </w:pP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gas terms that are used in this Quarterly Report on Form 10-Q (this “report”):</w:t>
            </w:r>
          </w:p>
        </w:tc>
        <w:tc>
          <w:tcPr>
            <w:tcW w:w="0" w:type="dxa"/>
            <w:vAlign w:val="bottom"/>
          </w:tcPr>
          <w:p>
            <w:pPr>
              <w:spacing w:after="0"/>
              <w:rPr>
                <w:sz w:val="1"/>
                <w:szCs w:val="1"/>
                <w:color w:val="auto"/>
              </w:rPr>
            </w:pPr>
          </w:p>
        </w:tc>
      </w:tr>
      <w:tr>
        <w:trPr>
          <w:trHeight w:val="122"/>
        </w:trPr>
        <w:tc>
          <w:tcPr>
            <w:tcW w:w="24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 large depression on the earth’s surface in which sediments accumulate.</w:t>
            </w: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Bbl or barrel</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One stock tank barrel, or 42 U.S. gallons liquid volume, used in this report in reference to crude oil or other liquid</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hydrocarbons.</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One barrel of crude oil equivalent, with six thousand cubic feet of natural gas being equivalent to one barrel of oil.</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BOE/d</w:t>
            </w:r>
          </w:p>
        </w:tc>
        <w:tc>
          <w:tcPr>
            <w:tcW w:w="8780" w:type="dxa"/>
            <w:vAlign w:val="bottom"/>
          </w:tcPr>
          <w:p>
            <w:pPr>
              <w:ind w:left="280"/>
              <w:spacing w:after="0"/>
              <w:rPr>
                <w:sz w:val="20"/>
                <w:szCs w:val="20"/>
                <w:color w:val="auto"/>
              </w:rPr>
            </w:pPr>
            <w:r>
              <w:rPr>
                <w:rFonts w:ascii="Arial" w:cs="Arial" w:eastAsia="Arial" w:hAnsi="Arial"/>
                <w:sz w:val="18"/>
                <w:szCs w:val="18"/>
                <w:color w:val="auto"/>
              </w:rPr>
              <w:t>BOE per day.</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Condensate</w:t>
            </w:r>
          </w:p>
        </w:tc>
        <w:tc>
          <w:tcPr>
            <w:tcW w:w="8780" w:type="dxa"/>
            <w:vAlign w:val="bottom"/>
          </w:tcPr>
          <w:p>
            <w:pPr>
              <w:ind w:left="280"/>
              <w:spacing w:after="0"/>
              <w:rPr>
                <w:sz w:val="20"/>
                <w:szCs w:val="20"/>
                <w:color w:val="auto"/>
              </w:rPr>
            </w:pPr>
            <w:r>
              <w:rPr>
                <w:rFonts w:ascii="Arial" w:cs="Arial" w:eastAsia="Arial" w:hAnsi="Arial"/>
                <w:sz w:val="18"/>
                <w:szCs w:val="18"/>
                <w:color w:val="auto"/>
              </w:rPr>
              <w:t>Liquid hydrocarbons associated with the production of a primarily natural gas reserve.</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Fracturing</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The process of creating and preserving a fracture or system of fractures in a reservoir rock typically by injecting a</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fluid under pressure through a wellbore and into the targeted formation.</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Horizontal wells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 vertical</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drilling mechanisms.</w:t>
            </w:r>
          </w:p>
        </w:tc>
        <w:tc>
          <w:tcPr>
            <w:tcW w:w="0" w:type="dxa"/>
            <w:vAlign w:val="bottom"/>
          </w:tcPr>
          <w:p>
            <w:pPr>
              <w:spacing w:after="0"/>
              <w:rPr>
                <w:sz w:val="1"/>
                <w:szCs w:val="1"/>
                <w:color w:val="auto"/>
              </w:rPr>
            </w:pPr>
          </w:p>
        </w:tc>
      </w:tr>
      <w:tr>
        <w:trPr>
          <w:trHeight w:val="230"/>
        </w:trPr>
        <w:tc>
          <w:tcPr>
            <w:tcW w:w="2440" w:type="dxa"/>
            <w:vAlign w:val="bottom"/>
            <w:vMerge w:val="restart"/>
          </w:tcPr>
          <w:p>
            <w:pPr>
              <w:ind w:left="20"/>
              <w:spacing w:after="0"/>
              <w:rPr>
                <w:sz w:val="20"/>
                <w:szCs w:val="20"/>
                <w:color w:val="auto"/>
              </w:rPr>
            </w:pPr>
            <w:r>
              <w:rPr>
                <w:rFonts w:ascii="Arial" w:cs="Arial" w:eastAsia="Arial" w:hAnsi="Arial"/>
                <w:sz w:val="18"/>
                <w:szCs w:val="18"/>
                <w:color w:val="auto"/>
              </w:rPr>
              <w:t>MBbls</w:t>
            </w:r>
          </w:p>
        </w:tc>
        <w:tc>
          <w:tcPr>
            <w:tcW w:w="8780" w:type="dxa"/>
            <w:vAlign w:val="bottom"/>
          </w:tcPr>
          <w:p>
            <w:pPr>
              <w:ind w:left="280"/>
              <w:spacing w:after="0"/>
              <w:rPr>
                <w:sz w:val="20"/>
                <w:szCs w:val="20"/>
                <w:color w:val="auto"/>
              </w:rPr>
            </w:pPr>
            <w:r>
              <w:rPr>
                <w:rFonts w:ascii="Arial" w:cs="Arial" w:eastAsia="Arial" w:hAnsi="Arial"/>
                <w:sz w:val="18"/>
                <w:szCs w:val="18"/>
                <w:color w:val="auto"/>
              </w:rPr>
              <w:t>Thousand barrels of crude oil or other liquid hydrocarbons.</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4"/>
                <w:szCs w:val="14"/>
                <w:color w:val="auto"/>
              </w:rPr>
            </w:pPr>
          </w:p>
        </w:tc>
        <w:tc>
          <w:tcPr>
            <w:tcW w:w="8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MBOE</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One thousand barrels of crude oil equivalent, determined using a ratio of six Mcf of natural gas to one Bbl of crude</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oil, condensate or natural gas liquids.</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Mcf</w:t>
            </w:r>
          </w:p>
        </w:tc>
        <w:tc>
          <w:tcPr>
            <w:tcW w:w="8780" w:type="dxa"/>
            <w:vAlign w:val="bottom"/>
          </w:tcPr>
          <w:p>
            <w:pPr>
              <w:ind w:left="280"/>
              <w:spacing w:after="0"/>
              <w:rPr>
                <w:sz w:val="20"/>
                <w:szCs w:val="20"/>
                <w:color w:val="auto"/>
              </w:rPr>
            </w:pPr>
            <w:r>
              <w:rPr>
                <w:rFonts w:ascii="Arial" w:cs="Arial" w:eastAsia="Arial" w:hAnsi="Arial"/>
                <w:sz w:val="18"/>
                <w:szCs w:val="18"/>
                <w:color w:val="auto"/>
              </w:rPr>
              <w:t>One thousand cubic feet of natural gas.</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Mineral interests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The interests in ownership of the resource and mineral rights, giving an owner the right to profit from the extracted</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resources.</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MMBtu</w:t>
            </w:r>
          </w:p>
        </w:tc>
        <w:tc>
          <w:tcPr>
            <w:tcW w:w="8780" w:type="dxa"/>
            <w:vAlign w:val="bottom"/>
          </w:tcPr>
          <w:p>
            <w:pPr>
              <w:ind w:left="280"/>
              <w:spacing w:after="0"/>
              <w:rPr>
                <w:sz w:val="20"/>
                <w:szCs w:val="20"/>
                <w:color w:val="auto"/>
              </w:rPr>
            </w:pPr>
            <w:r>
              <w:rPr>
                <w:rFonts w:ascii="Arial" w:cs="Arial" w:eastAsia="Arial" w:hAnsi="Arial"/>
                <w:sz w:val="18"/>
                <w:szCs w:val="18"/>
                <w:color w:val="auto"/>
              </w:rPr>
              <w:t>One million British Thermal Units.</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royalty acres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acreage multiplied by the average royalty interest.</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Oil and natural gas properties</w:t>
            </w:r>
          </w:p>
        </w:tc>
        <w:tc>
          <w:tcPr>
            <w:tcW w:w="8780" w:type="dxa"/>
            <w:vAlign w:val="bottom"/>
          </w:tcPr>
          <w:p>
            <w:pPr>
              <w:ind w:left="2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Operator</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 lease.</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Prospect</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A specific geographic area which, based on supporting geological, geophysical or other data and also preliminary</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3"/>
              </w:rPr>
              <w:t>economic analysis using reasonably anticipated prices and costs, is deemed to have potential for the discovery of</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commercial hydrocarbons.</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Proved reserves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0"/>
              </w:rPr>
              <w:t>The estimated quantities of oil, natural gas and natural gas liquids which geological and engineering data demonstrate</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7"/>
              </w:rPr>
              <w:t>with reasonable certainty to be commercially recoverable in future years from known reservoirs under existing</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economic and operating conditions.</w:t>
            </w: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Reserves</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The estimated remaining quantities of oil and natural gas and related substances anticipated to be economically</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producible, as of a given date, by application of development projects to known accumulations. In addition, there</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must exist, or there must be a reasonable expectation that there will exist, the legal right to produce or a revenue</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interest in the production, installed means of delivering oil and natural gas or related substances to the market and all</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permits and financing required to implement the project. Reserves are not assigned to adjacent reservoirs isolated by</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major, potentially sealing, faults until those reservoirs are penetrated and evaluated as economically producible.</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Reserves should not be assigned to areas that are clearly separated from a known accumulation by a non-productive</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6"/>
              </w:rPr>
              <w:t>reservoir (i.e., absence of reservoir, structurally low reservoir or negative test results). Such areas may contain</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prospective resources (i.e., potentially recoverable resources from undiscovered accumulations).</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Reservoir</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 and/or</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crude oil that is confined by impermeable rock or water barriers and is separate from other reservoirs.</w:t>
            </w: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Royalty interest</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 any</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costs of development, which may be subject to expiration.</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WTI</w:t>
            </w:r>
          </w:p>
        </w:tc>
        <w:tc>
          <w:tcPr>
            <w:tcW w:w="87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West Texas Intermediate.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9040" w:type="dxa"/>
            <w:vAlign w:val="bottom"/>
          </w:tcPr>
          <w:p>
            <w:pPr>
              <w:ind w:left="168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08"/>
        </w:trPr>
        <w:tc>
          <w:tcPr>
            <w:tcW w:w="2180" w:type="dxa"/>
            <w:vAlign w:val="bottom"/>
            <w:tcBorders>
              <w:bottom w:val="single" w:sz="8" w:color="auto"/>
            </w:tcBorders>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r>
      <w:tr>
        <w:trPr>
          <w:trHeight w:val="38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Diamondback</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Diamondback Energy, Inc., a Delaware corporation.</w:t>
            </w:r>
          </w:p>
        </w:tc>
      </w:tr>
      <w:tr>
        <w:trPr>
          <w:trHeight w:val="392"/>
        </w:trPr>
        <w:tc>
          <w:tcPr>
            <w:tcW w:w="218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9040" w:type="dxa"/>
            <w:vAlign w:val="bottom"/>
          </w:tcPr>
          <w:p>
            <w:pPr>
              <w:ind w:left="540"/>
              <w:spacing w:after="0"/>
              <w:rPr>
                <w:sz w:val="20"/>
                <w:szCs w:val="20"/>
                <w:color w:val="auto"/>
              </w:rPr>
            </w:pPr>
            <w:r>
              <w:rPr>
                <w:rFonts w:ascii="Arial" w:cs="Arial" w:eastAsia="Arial" w:hAnsi="Arial"/>
                <w:sz w:val="18"/>
                <w:szCs w:val="18"/>
                <w:color w:val="auto"/>
              </w:rPr>
              <w:t>The Securities Exchange Act of 1934, as amended.</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391"/>
        </w:trPr>
        <w:tc>
          <w:tcPr>
            <w:tcW w:w="2180" w:type="dxa"/>
            <w:vAlign w:val="bottom"/>
          </w:tcPr>
          <w:p>
            <w:pPr>
              <w:ind w:left="20"/>
              <w:spacing w:after="0"/>
              <w:rPr>
                <w:sz w:val="20"/>
                <w:szCs w:val="20"/>
                <w:color w:val="auto"/>
              </w:rPr>
            </w:pPr>
            <w:r>
              <w:rPr>
                <w:rFonts w:ascii="Arial" w:cs="Arial" w:eastAsia="Arial" w:hAnsi="Arial"/>
                <w:sz w:val="18"/>
                <w:szCs w:val="18"/>
                <w:color w:val="auto"/>
              </w:rPr>
              <w:t>General Partner</w:t>
            </w:r>
          </w:p>
        </w:tc>
        <w:tc>
          <w:tcPr>
            <w:tcW w:w="9040" w:type="dxa"/>
            <w:vAlign w:val="bottom"/>
          </w:tcPr>
          <w:p>
            <w:pPr>
              <w:ind w:left="540"/>
              <w:spacing w:after="0"/>
              <w:rPr>
                <w:sz w:val="20"/>
                <w:szCs w:val="20"/>
                <w:color w:val="auto"/>
              </w:rPr>
            </w:pPr>
            <w:r>
              <w:rPr>
                <w:rFonts w:ascii="Arial" w:cs="Arial" w:eastAsia="Arial" w:hAnsi="Arial"/>
                <w:sz w:val="18"/>
                <w:szCs w:val="18"/>
                <w:color w:val="auto"/>
                <w:w w:val="94"/>
              </w:rPr>
              <w:t>Viper Energy Partners GP LLC, a Delaware limited liability company, and the General Partner of the Partnership.</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IPO</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The Partnership’s initial public offering.</w:t>
            </w:r>
          </w:p>
        </w:tc>
      </w:tr>
      <w:tr>
        <w:trPr>
          <w:trHeight w:val="392"/>
        </w:trPr>
        <w:tc>
          <w:tcPr>
            <w:tcW w:w="2180" w:type="dxa"/>
            <w:vAlign w:val="bottom"/>
          </w:tcPr>
          <w:p>
            <w:pPr>
              <w:ind w:left="20"/>
              <w:spacing w:after="0"/>
              <w:rPr>
                <w:sz w:val="20"/>
                <w:szCs w:val="20"/>
                <w:color w:val="auto"/>
              </w:rPr>
            </w:pPr>
            <w:r>
              <w:rPr>
                <w:rFonts w:ascii="Arial" w:cs="Arial" w:eastAsia="Arial" w:hAnsi="Arial"/>
                <w:sz w:val="18"/>
                <w:szCs w:val="18"/>
                <w:color w:val="auto"/>
              </w:rPr>
              <w:t>LTIP</w:t>
            </w:r>
          </w:p>
        </w:tc>
        <w:tc>
          <w:tcPr>
            <w:tcW w:w="9040" w:type="dxa"/>
            <w:vAlign w:val="bottom"/>
          </w:tcPr>
          <w:p>
            <w:pPr>
              <w:ind w:left="540"/>
              <w:spacing w:after="0"/>
              <w:rPr>
                <w:sz w:val="20"/>
                <w:szCs w:val="20"/>
                <w:color w:val="auto"/>
              </w:rPr>
            </w:pPr>
            <w:r>
              <w:rPr>
                <w:rFonts w:ascii="Arial" w:cs="Arial" w:eastAsia="Arial" w:hAnsi="Arial"/>
                <w:sz w:val="18"/>
                <w:szCs w:val="18"/>
                <w:color w:val="auto"/>
              </w:rPr>
              <w:t>Viper Energy Partners LP Long Term Incentive Plan.</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New York Mercantile Exchange.</w:t>
            </w:r>
          </w:p>
        </w:tc>
      </w:tr>
      <w:tr>
        <w:trPr>
          <w:trHeight w:val="338"/>
        </w:trPr>
        <w:tc>
          <w:tcPr>
            <w:tcW w:w="2180" w:type="dxa"/>
            <w:vAlign w:val="bottom"/>
          </w:tcPr>
          <w:p>
            <w:pPr>
              <w:ind w:left="20"/>
              <w:spacing w:after="0"/>
              <w:rPr>
                <w:sz w:val="20"/>
                <w:szCs w:val="20"/>
                <w:color w:val="auto"/>
              </w:rPr>
            </w:pPr>
            <w:r>
              <w:rPr>
                <w:rFonts w:ascii="Arial" w:cs="Arial" w:eastAsia="Arial" w:hAnsi="Arial"/>
                <w:sz w:val="18"/>
                <w:szCs w:val="18"/>
                <w:color w:val="auto"/>
              </w:rPr>
              <w:t>Operating Company</w:t>
            </w:r>
          </w:p>
        </w:tc>
        <w:tc>
          <w:tcPr>
            <w:tcW w:w="9040" w:type="dxa"/>
            <w:vAlign w:val="bottom"/>
          </w:tcPr>
          <w:p>
            <w:pPr>
              <w:ind w:left="540"/>
              <w:spacing w:after="0"/>
              <w:rPr>
                <w:sz w:val="20"/>
                <w:szCs w:val="20"/>
                <w:color w:val="auto"/>
              </w:rPr>
            </w:pPr>
            <w:r>
              <w:rPr>
                <w:rFonts w:ascii="Arial" w:cs="Arial" w:eastAsia="Arial" w:hAnsi="Arial"/>
                <w:sz w:val="18"/>
                <w:szCs w:val="18"/>
                <w:color w:val="auto"/>
                <w:w w:val="96"/>
              </w:rPr>
              <w:t>Viper Energy Partners LLC, a Delaware limited liability company and a consolidated subsidiary of Viper Energy</w:t>
            </w:r>
          </w:p>
        </w:tc>
      </w:tr>
      <w:tr>
        <w:trPr>
          <w:trHeight w:val="229"/>
        </w:trPr>
        <w:tc>
          <w:tcPr>
            <w:tcW w:w="2180" w:type="dxa"/>
            <w:vAlign w:val="bottom"/>
          </w:tcPr>
          <w:p>
            <w:pPr>
              <w:spacing w:after="0"/>
              <w:rPr>
                <w:sz w:val="19"/>
                <w:szCs w:val="19"/>
                <w:color w:val="auto"/>
              </w:rPr>
            </w:pPr>
          </w:p>
        </w:tc>
        <w:tc>
          <w:tcPr>
            <w:tcW w:w="9040" w:type="dxa"/>
            <w:vAlign w:val="bottom"/>
          </w:tcPr>
          <w:p>
            <w:pPr>
              <w:ind w:left="540"/>
              <w:spacing w:after="0"/>
              <w:rPr>
                <w:sz w:val="20"/>
                <w:szCs w:val="20"/>
                <w:color w:val="auto"/>
              </w:rPr>
            </w:pPr>
            <w:r>
              <w:rPr>
                <w:rFonts w:ascii="Arial" w:cs="Arial" w:eastAsia="Arial" w:hAnsi="Arial"/>
                <w:sz w:val="18"/>
                <w:szCs w:val="18"/>
                <w:color w:val="auto"/>
              </w:rPr>
              <w:t>Partners LP.</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38"/>
        </w:trPr>
        <w:tc>
          <w:tcPr>
            <w:tcW w:w="2180" w:type="dxa"/>
            <w:vAlign w:val="bottom"/>
          </w:tcPr>
          <w:p>
            <w:pPr>
              <w:ind w:left="20"/>
              <w:spacing w:after="0"/>
              <w:rPr>
                <w:sz w:val="20"/>
                <w:szCs w:val="20"/>
                <w:color w:val="auto"/>
              </w:rPr>
            </w:pPr>
            <w:r>
              <w:rPr>
                <w:rFonts w:ascii="Arial" w:cs="Arial" w:eastAsia="Arial" w:hAnsi="Arial"/>
                <w:sz w:val="18"/>
                <w:szCs w:val="18"/>
                <w:color w:val="auto"/>
              </w:rPr>
              <w:t>Partnership agreement</w:t>
            </w:r>
          </w:p>
        </w:tc>
        <w:tc>
          <w:tcPr>
            <w:tcW w:w="9040" w:type="dxa"/>
            <w:vAlign w:val="bottom"/>
          </w:tcPr>
          <w:p>
            <w:pPr>
              <w:ind w:left="540"/>
              <w:spacing w:after="0"/>
              <w:rPr>
                <w:sz w:val="20"/>
                <w:szCs w:val="20"/>
                <w:color w:val="auto"/>
              </w:rPr>
            </w:pPr>
            <w:r>
              <w:rPr>
                <w:rFonts w:ascii="Arial" w:cs="Arial" w:eastAsia="Arial" w:hAnsi="Arial"/>
                <w:sz w:val="18"/>
                <w:szCs w:val="18"/>
                <w:color w:val="auto"/>
                <w:w w:val="92"/>
              </w:rPr>
              <w:t>The first amended and restated agreement of limited partnership, dated June 23, 2014, entered into by the General</w:t>
            </w:r>
          </w:p>
        </w:tc>
      </w:tr>
      <w:tr>
        <w:trPr>
          <w:trHeight w:val="229"/>
        </w:trPr>
        <w:tc>
          <w:tcPr>
            <w:tcW w:w="2180" w:type="dxa"/>
            <w:vAlign w:val="bottom"/>
          </w:tcPr>
          <w:p>
            <w:pPr>
              <w:spacing w:after="0"/>
              <w:rPr>
                <w:sz w:val="19"/>
                <w:szCs w:val="19"/>
                <w:color w:val="auto"/>
              </w:rPr>
            </w:pPr>
          </w:p>
        </w:tc>
        <w:tc>
          <w:tcPr>
            <w:tcW w:w="9040" w:type="dxa"/>
            <w:vAlign w:val="bottom"/>
          </w:tcPr>
          <w:p>
            <w:pPr>
              <w:ind w:left="540"/>
              <w:spacing w:after="0"/>
              <w:rPr>
                <w:sz w:val="20"/>
                <w:szCs w:val="20"/>
                <w:color w:val="auto"/>
              </w:rPr>
            </w:pPr>
            <w:r>
              <w:rPr>
                <w:rFonts w:ascii="Arial" w:cs="Arial" w:eastAsia="Arial" w:hAnsi="Arial"/>
                <w:sz w:val="18"/>
                <w:szCs w:val="18"/>
                <w:color w:val="auto"/>
              </w:rPr>
              <w:t>Partner and Diamondback in connection with the closing of the IPO.</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United States Securities and Exchange Commission.</w:t>
            </w:r>
          </w:p>
        </w:tc>
      </w:tr>
      <w:tr>
        <w:trPr>
          <w:trHeight w:val="392"/>
        </w:trPr>
        <w:tc>
          <w:tcPr>
            <w:tcW w:w="2180" w:type="dxa"/>
            <w:vAlign w:val="bottom"/>
          </w:tcPr>
          <w:p>
            <w:pPr>
              <w:ind w:left="20"/>
              <w:spacing w:after="0"/>
              <w:rPr>
                <w:sz w:val="20"/>
                <w:szCs w:val="20"/>
                <w:color w:val="auto"/>
              </w:rPr>
            </w:pPr>
            <w:r>
              <w:rPr>
                <w:rFonts w:ascii="Arial" w:cs="Arial" w:eastAsia="Arial" w:hAnsi="Arial"/>
                <w:sz w:val="18"/>
                <w:szCs w:val="18"/>
                <w:color w:val="auto"/>
              </w:rPr>
              <w:t>Securities Act</w:t>
            </w:r>
          </w:p>
        </w:tc>
        <w:tc>
          <w:tcPr>
            <w:tcW w:w="9040" w:type="dxa"/>
            <w:vAlign w:val="bottom"/>
          </w:tcPr>
          <w:p>
            <w:pPr>
              <w:ind w:left="540"/>
              <w:spacing w:after="0"/>
              <w:rPr>
                <w:sz w:val="20"/>
                <w:szCs w:val="20"/>
                <w:color w:val="auto"/>
              </w:rPr>
            </w:pPr>
            <w:r>
              <w:rPr>
                <w:rFonts w:ascii="Arial" w:cs="Arial" w:eastAsia="Arial" w:hAnsi="Arial"/>
                <w:sz w:val="18"/>
                <w:szCs w:val="18"/>
                <w:color w:val="auto"/>
              </w:rPr>
              <w:t>The Securities Act of 1933, as amended.</w:t>
            </w:r>
          </w:p>
        </w:tc>
      </w:tr>
      <w:tr>
        <w:trPr>
          <w:trHeight w:val="391"/>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Wells Fargo</w:t>
            </w:r>
          </w:p>
        </w:tc>
        <w:tc>
          <w:tcPr>
            <w:tcW w:w="90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including those detailed under “Part II. Item 1A. Risk Factors” in this report, our Annual Report on Form 10-K for the year ended December 31, 2019 could affect our actual results and cause our actual results to 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its consolidated subsidiary, Viper Energy Partners LLC (the “Operating Company”).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63" w:lineRule="exact"/>
        <w:rPr>
          <w:sz w:val="20"/>
          <w:szCs w:val="20"/>
          <w:color w:val="auto"/>
        </w:rPr>
      </w:pPr>
    </w:p>
    <w:p>
      <w:pPr>
        <w:ind w:left="1220" w:right="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 and the extent and duration of price reductions and increased production by the Organization of the Petroleum Exporting Countries, or OPEC, members and other oil exporting nations;</w:t>
      </w:r>
    </w:p>
    <w:p>
      <w:pPr>
        <w:spacing w:after="0" w:line="62"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threat, occurrence, potential duration or other implications of epidemic or pandemic diseases, including the ongoing COVID-19 pandemic, or any government responses to such threat, occurrence or pandemic;</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 during the ongoing COVID-19 pandemic;</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of the U.S. oil and natural gas industry and the effect of U.S. energy, monetary and trade policies;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global economic conditions and political and economic developments, including the outcome of the recent U.S. presidential election and resulting energy and environmental policies;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production on our properties;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curtailments or interruptions of production, and any government order, rule or regulation that may impose production limits on properties in which we have mineral and royalty interest;</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third party operators on our mineral and royalty acreage;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obtain capital or financing needed for development and exploration operations;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defects in the properties in which we invest;</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or cost of rigs, equipment, raw materials, supplies, oilfield services or personnel;</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transportation, pipeline and storage facilities;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comply with applicable governmental laws and regulations and to obtain permits and governmental approvals;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distributions to eligible unitholders;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potential impairment charges;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hazards faced by our operators;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operators to keep pace with technological advancements;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existing and future laws and government regulations;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civil unrest, terrorist attacks and cyber threats;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future litigation;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jc w:val="center"/>
              <w:ind w:left="359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1"/>
        </w:trPr>
        <w:tc>
          <w:tcPr>
            <w:tcW w:w="758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580" w:type="dxa"/>
            <w:vAlign w:val="bottom"/>
          </w:tcPr>
          <w:p>
            <w:pPr>
              <w:jc w:val="center"/>
              <w:ind w:left="3590"/>
              <w:spacing w:after="0"/>
              <w:rPr>
                <w:sz w:val="20"/>
                <w:szCs w:val="20"/>
                <w:color w:val="auto"/>
              </w:rPr>
            </w:pPr>
            <w:r>
              <w:rPr>
                <w:rFonts w:ascii="Arial" w:cs="Arial" w:eastAsia="Arial" w:hAnsi="Arial"/>
                <w:sz w:val="18"/>
                <w:szCs w:val="18"/>
                <w:b w:val="1"/>
                <w:bCs w:val="1"/>
                <w:color w:val="auto"/>
                <w:w w:val="93"/>
              </w:rPr>
              <w:t>Viper Energy Partners LP</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80" w:type="dxa"/>
            <w:vAlign w:val="bottom"/>
          </w:tcPr>
          <w:p>
            <w:pPr>
              <w:jc w:val="center"/>
              <w:ind w:left="35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tcPr>
          <w:p>
            <w:pPr>
              <w:jc w:val="center"/>
              <w:ind w:left="357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7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5"/>
              </w:rPr>
              <w:t>(In thousands, except unit amounts)</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29"/>
        </w:trPr>
        <w:tc>
          <w:tcPr>
            <w:tcW w:w="7580" w:type="dxa"/>
            <w:vAlign w:val="bottom"/>
          </w:tcPr>
          <w:p>
            <w:pPr>
              <w:ind w:left="340"/>
              <w:spacing w:after="0"/>
              <w:rPr>
                <w:sz w:val="20"/>
                <w:szCs w:val="20"/>
                <w:color w:val="auto"/>
              </w:rPr>
            </w:pPr>
            <w:r>
              <w:rPr>
                <w:rFonts w:ascii="Arial" w:cs="Arial" w:eastAsia="Arial" w:hAnsi="Arial"/>
                <w:sz w:val="18"/>
                <w:szCs w:val="18"/>
                <w:color w:val="auto"/>
              </w:rPr>
              <w:t>Royalty income receivable (net of allowance for credit losses)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32,108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58,089</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 receivable—related party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0" w:type="dxa"/>
            <w:vAlign w:val="bottom"/>
          </w:tcPr>
          <w:p>
            <w:pPr>
              <w:spacing w:after="0"/>
              <w:rPr>
                <w:sz w:val="1"/>
                <w:szCs w:val="1"/>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8"/>
                <w:szCs w:val="18"/>
                <w:color w:val="auto"/>
              </w:rPr>
              <w:t>Property:</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5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Oil and natural gas interests, full cost method of accounting ($1,452,248 and $1,551,767 excluded</w:t>
            </w:r>
          </w:p>
        </w:tc>
        <w:tc>
          <w:tcPr>
            <w:tcW w:w="2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2,930,869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2,868,459</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depletion at September 30, 2020 and December 31, 2019, respectively)</w:t>
            </w:r>
          </w:p>
        </w:tc>
        <w:tc>
          <w:tcPr>
            <w:tcW w:w="2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34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5,688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depletion and impairment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(398,678)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(326,474)</w:t>
            </w:r>
          </w:p>
        </w:tc>
        <w:tc>
          <w:tcPr>
            <w:tcW w:w="0" w:type="dxa"/>
            <w:vAlign w:val="bottom"/>
          </w:tcPr>
          <w:p>
            <w:pPr>
              <w:spacing w:after="0"/>
              <w:rPr>
                <w:sz w:val="1"/>
                <w:szCs w:val="1"/>
                <w:color w:val="auto"/>
              </w:rPr>
            </w:pPr>
          </w:p>
        </w:tc>
      </w:tr>
      <w:tr>
        <w:trPr>
          <w:trHeight w:val="223"/>
        </w:trPr>
        <w:tc>
          <w:tcPr>
            <w:tcW w:w="7580" w:type="dxa"/>
            <w:vAlign w:val="bottom"/>
          </w:tcPr>
          <w:p>
            <w:pPr>
              <w:ind w:left="660"/>
              <w:spacing w:after="0"/>
              <w:rPr>
                <w:sz w:val="20"/>
                <w:szCs w:val="20"/>
                <w:color w:val="auto"/>
              </w:rPr>
            </w:pPr>
            <w:r>
              <w:rPr>
                <w:rFonts w:ascii="Arial" w:cs="Arial" w:eastAsia="Arial" w:hAnsi="Arial"/>
                <w:sz w:val="18"/>
                <w:szCs w:val="18"/>
                <w:color w:val="auto"/>
              </w:rPr>
              <w:t>Property,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2,537,879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2,547,673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(net of allowance)</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142,466</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22,823</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2,600,700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2,785,626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460"/>
              <w:spacing w:after="0"/>
              <w:rPr>
                <w:sz w:val="20"/>
                <w:szCs w:val="20"/>
                <w:color w:val="auto"/>
              </w:rPr>
            </w:pPr>
            <w:r>
              <w:rPr>
                <w:rFonts w:ascii="Arial" w:cs="Arial" w:eastAsia="Arial" w:hAnsi="Arial"/>
                <w:sz w:val="18"/>
                <w:szCs w:val="18"/>
                <w:b w:val="1"/>
                <w:bCs w:val="1"/>
                <w:color w:val="auto"/>
              </w:rPr>
              <w:t>Liabilities and Unitholders’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payable—related party</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75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20,831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23,263</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44,189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13,432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586,774</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647,556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600,206</w:t>
            </w:r>
          </w:p>
        </w:tc>
        <w:tc>
          <w:tcPr>
            <w:tcW w:w="0" w:type="dxa"/>
            <w:vAlign w:val="bottom"/>
          </w:tcPr>
          <w:p>
            <w:pPr>
              <w:spacing w:after="0"/>
              <w:rPr>
                <w:sz w:val="1"/>
                <w:szCs w:val="1"/>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Unitholders’ equity: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340"/>
              <w:spacing w:after="0"/>
              <w:rPr>
                <w:sz w:val="20"/>
                <w:szCs w:val="20"/>
                <w:color w:val="auto"/>
              </w:rPr>
            </w:pPr>
            <w:r>
              <w:rPr>
                <w:rFonts w:ascii="Arial" w:cs="Arial" w:eastAsia="Arial" w:hAnsi="Arial"/>
                <w:sz w:val="18"/>
                <w:szCs w:val="18"/>
                <w:color w:val="auto"/>
              </w:rPr>
              <w:t>General partner</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175"/>
        </w:trPr>
        <w:tc>
          <w:tcPr>
            <w:tcW w:w="75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units (67,850,632 units issued and outstanding as of September 30, 2020 and 67,805,707</w:t>
            </w:r>
          </w:p>
        </w:tc>
        <w:tc>
          <w:tcPr>
            <w:tcW w:w="2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725,625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929,116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 issued and outstanding as of December 31, 2019)</w:t>
            </w:r>
          </w:p>
        </w:tc>
        <w:tc>
          <w:tcPr>
            <w:tcW w:w="2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line="176" w:lineRule="exact"/>
              <w:rPr>
                <w:sz w:val="20"/>
                <w:szCs w:val="20"/>
                <w:color w:val="auto"/>
              </w:rPr>
            </w:pPr>
            <w:r>
              <w:rPr>
                <w:rFonts w:ascii="Arial" w:cs="Arial" w:eastAsia="Arial" w:hAnsi="Arial"/>
                <w:sz w:val="18"/>
                <w:szCs w:val="18"/>
                <w:color w:val="auto"/>
                <w:w w:val="89"/>
              </w:rPr>
              <w:t>Class B units (90,709,946 units issued and outstanding as of September 30, 2020 and December 31,</w:t>
            </w:r>
          </w:p>
        </w:tc>
        <w:tc>
          <w:tcPr>
            <w:tcW w:w="22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Viper Energy Partners LP unitholders’ equity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727,509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931,135</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1,225,635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1,254,285</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1,953,144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2,185,420</w:t>
            </w:r>
          </w:p>
        </w:tc>
        <w:tc>
          <w:tcPr>
            <w:tcW w:w="0" w:type="dxa"/>
            <w:vAlign w:val="bottom"/>
          </w:tcPr>
          <w:p>
            <w:pPr>
              <w:spacing w:after="0"/>
              <w:rPr>
                <w:sz w:val="1"/>
                <w:szCs w:val="1"/>
                <w:color w:val="auto"/>
              </w:rPr>
            </w:pPr>
          </w:p>
        </w:tc>
      </w:tr>
      <w:tr>
        <w:trPr>
          <w:trHeight w:val="223"/>
        </w:trPr>
        <w:tc>
          <w:tcPr>
            <w:tcW w:w="7580" w:type="dxa"/>
            <w:vAlign w:val="bottom"/>
          </w:tcPr>
          <w:p>
            <w:pPr>
              <w:ind w:left="660"/>
              <w:spacing w:after="0"/>
              <w:rPr>
                <w:sz w:val="20"/>
                <w:szCs w:val="20"/>
                <w:color w:val="auto"/>
              </w:rPr>
            </w:pPr>
            <w:r>
              <w:rPr>
                <w:rFonts w:ascii="Arial" w:cs="Arial" w:eastAsia="Arial" w:hAnsi="Arial"/>
                <w:sz w:val="18"/>
                <w:szCs w:val="18"/>
                <w:color w:val="auto"/>
              </w:rPr>
              <w:t>Total liabilities and unitholders’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2,600,700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2,785,626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7"/>
                <w:szCs w:val="17"/>
                <w:color w:val="auto"/>
              </w:rPr>
            </w:pPr>
          </w:p>
        </w:tc>
        <w:tc>
          <w:tcPr>
            <w:tcW w:w="21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6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9"/>
                <w:szCs w:val="19"/>
                <w:color w:val="auto"/>
              </w:rPr>
            </w:pPr>
          </w:p>
        </w:tc>
        <w:tc>
          <w:tcPr>
            <w:tcW w:w="21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6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per unit amounts)</w:t>
            </w:r>
          </w:p>
        </w:tc>
        <w:tc>
          <w:tcPr>
            <w:tcW w:w="820" w:type="dxa"/>
            <w:vAlign w:val="bottom"/>
          </w:tcPr>
          <w:p>
            <w:pPr>
              <w:spacing w:after="0"/>
              <w:rPr>
                <w:sz w:val="19"/>
                <w:szCs w:val="19"/>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440" w:type="dxa"/>
            <w:vAlign w:val="bottom"/>
          </w:tcPr>
          <w:p>
            <w:pPr>
              <w:ind w:left="340"/>
              <w:spacing w:after="0"/>
              <w:rPr>
                <w:sz w:val="20"/>
                <w:szCs w:val="20"/>
                <w:color w:val="auto"/>
              </w:rPr>
            </w:pPr>
            <w:r>
              <w:rPr>
                <w:rFonts w:ascii="Arial" w:cs="Arial" w:eastAsia="Arial" w:hAnsi="Arial"/>
                <w:sz w:val="18"/>
                <w:szCs w:val="18"/>
                <w:color w:val="auto"/>
              </w:rPr>
              <w:t>Royalty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62,584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71,080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171,857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201,950</w:t>
            </w:r>
          </w:p>
        </w:tc>
      </w:tr>
      <w:tr>
        <w:trPr>
          <w:trHeight w:val="229"/>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bonus income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r>
      <w:tr>
        <w:trPr>
          <w:trHeight w:val="230"/>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income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income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205,572</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and ad valorem taxes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r>
      <w:tr>
        <w:trPr>
          <w:trHeight w:val="230"/>
        </w:trPr>
        <w:tc>
          <w:tcPr>
            <w:tcW w:w="6440" w:type="dxa"/>
            <w:vAlign w:val="bottom"/>
          </w:tcPr>
          <w:p>
            <w:pPr>
              <w:ind w:left="340"/>
              <w:spacing w:after="0"/>
              <w:rPr>
                <w:sz w:val="20"/>
                <w:szCs w:val="20"/>
                <w:color w:val="auto"/>
              </w:rPr>
            </w:pPr>
            <w:r>
              <w:rPr>
                <w:rFonts w:ascii="Arial" w:cs="Arial" w:eastAsia="Arial" w:hAnsi="Arial"/>
                <w:sz w:val="18"/>
                <w:szCs w:val="18"/>
                <w:color w:val="auto"/>
              </w:rPr>
              <w:t>Depletion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24,780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72,204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51,408</w:t>
            </w:r>
          </w:p>
        </w:tc>
      </w:tr>
      <w:tr>
        <w:trPr>
          <w:trHeight w:val="229"/>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r>
      <w:tr>
        <w:trPr>
          <w:trHeight w:val="223"/>
        </w:trPr>
        <w:tc>
          <w:tcPr>
            <w:tcW w:w="64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69,443</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136,129</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r>
      <w:tr>
        <w:trPr>
          <w:trHeight w:val="229"/>
        </w:trPr>
        <w:tc>
          <w:tcPr>
            <w:tcW w:w="6440" w:type="dxa"/>
            <w:vAlign w:val="bottom"/>
          </w:tcPr>
          <w:p>
            <w:pPr>
              <w:ind w:left="340"/>
              <w:spacing w:after="0"/>
              <w:rPr>
                <w:sz w:val="20"/>
                <w:szCs w:val="20"/>
                <w:color w:val="auto"/>
              </w:rPr>
            </w:pPr>
            <w:r>
              <w:rPr>
                <w:rFonts w:ascii="Arial" w:cs="Arial" w:eastAsia="Arial" w:hAnsi="Arial"/>
                <w:sz w:val="18"/>
                <w:szCs w:val="18"/>
                <w:color w:val="auto"/>
              </w:rPr>
              <w:t>Gain (loss) on derivative instruments, net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(5,084)</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(47,469)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r>
      <w:tr>
        <w:trPr>
          <w:trHeight w:val="229"/>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r>
      <w:tr>
        <w:trPr>
          <w:trHeight w:val="223"/>
        </w:trPr>
        <w:tc>
          <w:tcPr>
            <w:tcW w:w="6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(79,889)</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16,184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130,774</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142,466</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(41,908)</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16,184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(140,722)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172,682</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23,963</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128,692</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Viper Energy Partners LP</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(164,685)</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common limited partner units: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limited partner units outstanding: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67,847</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62,645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67,832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60,267</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67,847</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67,832</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General</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Limited Partners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Controlling</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Partner</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11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4"/>
              </w:rPr>
              <w:t>Class B</w:t>
            </w: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929,116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2,185,420</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public</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Diamondback</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(41,173)</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Units repurchased for tax withholding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(142,169)</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(123,850)</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756,408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1,990,167</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public</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Diamondback</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(33,056)</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67,831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728,149</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1,211,407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1,941,485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Diamondback</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w w:val="99"/>
              </w:rPr>
              <w:t>Units repurchased for tax withholding</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725,625</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1,225,635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1,953,144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to Unitholders' Equity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General</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Limited Partners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Controlling</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Partner</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4"/>
              </w:rPr>
              <w:t>Class B</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540,112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1,237,042</w:t>
            </w:r>
          </w:p>
        </w:tc>
        <w:tc>
          <w:tcPr>
            <w:tcW w:w="0" w:type="dxa"/>
            <w:vAlign w:val="bottom"/>
          </w:tcPr>
          <w:p>
            <w:pPr>
              <w:spacing w:after="0"/>
              <w:rPr>
                <w:sz w:val="1"/>
                <w:szCs w:val="1"/>
                <w:color w:val="auto"/>
              </w:rPr>
            </w:pPr>
          </w:p>
        </w:tc>
      </w:tr>
      <w:tr>
        <w:trPr>
          <w:trHeight w:val="176"/>
        </w:trPr>
        <w:tc>
          <w:tcPr>
            <w:tcW w:w="3160" w:type="dxa"/>
            <w:vAlign w:val="bottom"/>
          </w:tcPr>
          <w:p>
            <w:pPr>
              <w:ind w:left="220"/>
              <w:spacing w:after="0" w:line="176" w:lineRule="exact"/>
              <w:rPr>
                <w:sz w:val="20"/>
                <w:szCs w:val="20"/>
                <w:color w:val="auto"/>
              </w:rPr>
            </w:pPr>
            <w:r>
              <w:rPr>
                <w:rFonts w:ascii="Arial" w:cs="Arial" w:eastAsia="Arial" w:hAnsi="Arial"/>
                <w:sz w:val="18"/>
                <w:szCs w:val="18"/>
                <w:color w:val="auto"/>
              </w:rPr>
              <w:t>Net proceeds from the issuance of</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340,648</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340,648</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common units - public</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(25,970)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(25,970)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(37,326)</w:t>
            </w: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Change in ownership of consolidated</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(71,195)</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w w:val="98"/>
              </w:rPr>
              <w:t>Units repurchased for tax withholding</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74,311</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62,628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817,014</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788,658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1,607,662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Offering costs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(27,817)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795,903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1,604,041</w:t>
            </w: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(29,099)</w:t>
            </w: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(34,400)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51,097</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1,592,068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7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7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6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(140,722)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172,682</w:t>
            </w:r>
          </w:p>
        </w:tc>
      </w:tr>
      <w:tr>
        <w:trPr>
          <w:trHeight w:val="230"/>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640" w:type="dxa"/>
            <w:vAlign w:val="bottom"/>
          </w:tcPr>
          <w:p>
            <w:pPr>
              <w:ind w:left="66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142,466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(42,077)</w:t>
            </w:r>
          </w:p>
        </w:tc>
      </w:tr>
      <w:tr>
        <w:trPr>
          <w:trHeight w:val="229"/>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Depletion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51,408</w:t>
            </w:r>
          </w:p>
        </w:tc>
      </w:tr>
      <w:tr>
        <w:trPr>
          <w:trHeight w:val="230"/>
        </w:trPr>
        <w:tc>
          <w:tcPr>
            <w:tcW w:w="7640" w:type="dxa"/>
            <w:vAlign w:val="bottom"/>
          </w:tcPr>
          <w:p>
            <w:pPr>
              <w:ind w:left="660"/>
              <w:spacing w:after="0"/>
              <w:rPr>
                <w:sz w:val="20"/>
                <w:szCs w:val="20"/>
                <w:color w:val="auto"/>
              </w:rPr>
            </w:pPr>
            <w:r>
              <w:rPr>
                <w:rFonts w:ascii="Arial" w:cs="Arial" w:eastAsia="Arial" w:hAnsi="Arial"/>
                <w:sz w:val="18"/>
                <w:szCs w:val="18"/>
                <w:color w:val="auto"/>
              </w:rPr>
              <w:t>(Gain) loss on derivative instruments,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payments on derivatives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660"/>
              <w:spacing w:after="0"/>
              <w:rPr>
                <w:sz w:val="20"/>
                <w:szCs w:val="20"/>
                <w:color w:val="auto"/>
              </w:rPr>
            </w:pPr>
            <w:r>
              <w:rPr>
                <w:rFonts w:ascii="Arial" w:cs="Arial" w:eastAsia="Arial" w:hAnsi="Arial"/>
                <w:sz w:val="18"/>
                <w:szCs w:val="18"/>
                <w:color w:val="auto"/>
              </w:rPr>
              <w:t>(Gain) loss on extinguishment of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(Gain) loss on revaluation of investment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r>
      <w:tr>
        <w:trPr>
          <w:trHeight w:val="229"/>
        </w:trPr>
        <w:tc>
          <w:tcPr>
            <w:tcW w:w="7640" w:type="dxa"/>
            <w:vAlign w:val="bottom"/>
          </w:tcPr>
          <w:p>
            <w:pPr>
              <w:ind w:left="6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Non-cash unit-based compensation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r>
      <w:tr>
        <w:trPr>
          <w:trHeight w:val="229"/>
        </w:trPr>
        <w:tc>
          <w:tcPr>
            <w:tcW w:w="76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Royalty income receivable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r>
      <w:tr>
        <w:trPr>
          <w:trHeight w:val="230"/>
        </w:trPr>
        <w:tc>
          <w:tcPr>
            <w:tcW w:w="7640" w:type="dxa"/>
            <w:vAlign w:val="bottom"/>
          </w:tcPr>
          <w:p>
            <w:pPr>
              <w:ind w:left="660"/>
              <w:spacing w:after="0"/>
              <w:rPr>
                <w:sz w:val="20"/>
                <w:szCs w:val="20"/>
                <w:color w:val="auto"/>
              </w:rPr>
            </w:pPr>
            <w:r>
              <w:rPr>
                <w:rFonts w:ascii="Arial" w:cs="Arial" w:eastAsia="Arial" w:hAnsi="Arial"/>
                <w:sz w:val="18"/>
                <w:szCs w:val="18"/>
                <w:color w:val="auto"/>
              </w:rPr>
              <w:t>Royalty income receivable—related party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(10,544)</w:t>
            </w:r>
          </w:p>
        </w:tc>
      </w:tr>
      <w:tr>
        <w:trPr>
          <w:trHeight w:val="229"/>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7640" w:type="dxa"/>
            <w:vAlign w:val="bottom"/>
          </w:tcPr>
          <w:p>
            <w:pPr>
              <w:ind w:left="660"/>
              <w:spacing w:after="0"/>
              <w:rPr>
                <w:sz w:val="20"/>
                <w:szCs w:val="20"/>
                <w:color w:val="auto"/>
              </w:rPr>
            </w:pPr>
            <w:r>
              <w:rPr>
                <w:rFonts w:ascii="Arial" w:cs="Arial" w:eastAsia="Arial" w:hAnsi="Arial"/>
                <w:sz w:val="18"/>
                <w:szCs w:val="18"/>
                <w:color w:val="auto"/>
              </w:rPr>
              <w:t>Accounts payable—related party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143,206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164,228</w:t>
            </w: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oil and natural gas interests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(319,696)</w:t>
            </w: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Funds held in escrow</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Proceeds from the sale of investments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(327,196)</w:t>
            </w: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borrowings under credit facility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368,000</w:t>
            </w: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Repayment on credit facility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(369,500)</w:t>
            </w:r>
          </w:p>
        </w:tc>
      </w:tr>
      <w:tr>
        <w:trPr>
          <w:trHeight w:val="230"/>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Repayment of senior notes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public offerings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340,860</w:t>
            </w: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Public offering costs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Units purchased for tax withholding</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Distributions to General Partner</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public</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(78,590)</w:t>
            </w:r>
          </w:p>
        </w:tc>
      </w:tr>
      <w:tr>
        <w:trPr>
          <w:trHeight w:val="230"/>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Distributions to Diamondback</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(99,543)</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160,244</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Net increase (decrease) in cash</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(2,724)</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22,676</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19,952</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10,882</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Viper Energy Partners LP (the “Partnership”) is a publicly traded Delaware limited partnership. The Partnership is currently focused on owning and acquiring mineral interests and royalty interests in oil and natural gas properties in the Permian Basin and Eagle Ford Shale.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2020, Viper Energy Partners GP LLC (the “General Partner”), held a 100% general partner interest in the Partnership and Diamondback Energy, Inc. (“Diamondback”) beneficially owned an approximate 58%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condensed consolidated financial statements and related notes thereto were prepared in accordance with GAAP. All material intercompany balances and transactions have been eliminated upon consolidation.</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Annual Report on Form 10–K for the fiscal year ended December 31, 2019, which contains a summary of the Partnership’s significant accounting policies and other disclosures.</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at the date of the financial statements.</w:t>
      </w:r>
    </w:p>
    <w:p>
      <w:pPr>
        <w:spacing w:after="0" w:line="21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Making accurate estimates and assumptions is particularly difficult as the oil and gas industry experiences challenges resulting from negative pricing pressure from the effects of COVID-19 and actions by OPEC members and other exporting nations on the supply and demand in global oil and natural gas markets. Many companies in the oil and natural gas industry have changed near term business plans in response to changing market conditions. The aforementioned circumstances generally increase uncertainty in the Partnership’s accounting estimates, particularly those involving financial forecasts.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the recoverability of costs of unevaluated properties, fair value estimates of commodity derivatives, unit–based compensation and estimate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Accounts receivable consist of receivables from oil and natural gas sales. The operators remit payment for production directly to the Partnership. Most payments for production are received within three months after the production date. Payments on new wells added organically or through acquisition may be further delayed due to title opinion work which is required to be completed by the operator before payments are released.</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Partnership adopted Accounting Standards Update (“ASU”) 2016-13 and the subsequent applicable modifications to the rule on January 1, 2020. Accounts receivable are stated at amounts due from purchasers, net of an allowance for expected losses as estimated by the Partnership when collection is deemed doubtful. Accounts receivable outstanding longer than the contractual payment terms are considered past due. The Partnership determines its allowance by considering a number of factors, including the Partnership’s previous loss history, the debtor’s current ability to pay its obligation to the Partnership, the condition of the general economy and the industry as a whole. The Partnership writes off specific accounts receivable when they become uncollectible, and payments subsequently received on such receivables are credited to the allowance for expected losses. The adoption of ASU 2016-13 did not result in a material change to the Partnership’s allowance, and no cumulative-effect adjustment was made to beginning unitholders’ equity. At September 30, 2020, the Partnership recorded an immaterial allowance for expected losses and did not record such an allowance at December 31,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Partnership is required to recognize its derivative instruments on the condensed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Partnership has not designated its derivative instruments as hedges for accounting purposes and, as a result, marks its derivative instruments to fair value and recognizes the cash and non-cash change in fair value on derivative instruments for each period in the 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59"/>
        </w:trPr>
        <w:tc>
          <w:tcPr>
            <w:tcW w:w="702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6"/>
        </w:trPr>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4"/>
                <w:szCs w:val="24"/>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r>
      <w:tr>
        <w:trPr>
          <w:trHeight w:val="223"/>
        </w:trPr>
        <w:tc>
          <w:tcPr>
            <w:tcW w:w="7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20" w:type="dxa"/>
            <w:vAlign w:val="bottom"/>
            <w:gridSpan w:val="4"/>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5,632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Non-controlling interest in the accompanying condensed consolidated financial statements represents Diamondback’s ownership in the net assets of the Operating Company. When Diamondback’s relative ownership interest in the Operating Company changes, adjustments to non-controlling interest and common unitholder’s equity, tax effected, will occur. Because these changes in the Partnership’s ownership interest in the Operating Company did not result in a change of control, the transactions were accounted for as equity transactions under ASC Topic 810, “Consolidation.” This guidance requires that any differences between the carrying value of the Partnership’s basis in the Operating Company and the fair value of the consideration received are recognized directly in equity and attributed to the controlling interest.</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first quarter of 2019, the Partnership recorded an adjustment to non-controlling interest of $90.1 million, common unitholder equity of $(71.2) million, and deferred tax asset of $18.9 million to reflect the ownership structure that was effective at March 31, 2019. The adjustment had no impact on earnings. See Note 7 - Unitholders' Equity and Partnership Distributions for further discussion of change in ownership.</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considers the applicability and impact of all ASUs. ASUs not listed below were assessed and determined to be either not applicable or clarifications of ASUs previously disclosed. The following table provides a brief description of recent accounting pronouncements and the Partnership’s analysis of the effects on its financial statements: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Standard</w:t>
            </w:r>
          </w:p>
        </w:tc>
        <w:tc>
          <w:tcPr>
            <w:tcW w:w="4180" w:type="dxa"/>
            <w:vAlign w:val="bottom"/>
            <w:vMerge w:val="restart"/>
          </w:tcPr>
          <w:p>
            <w:pPr>
              <w:ind w:left="1860"/>
              <w:spacing w:after="0"/>
              <w:rPr>
                <w:sz w:val="20"/>
                <w:szCs w:val="20"/>
                <w:color w:val="auto"/>
              </w:rPr>
            </w:pPr>
            <w:r>
              <w:rPr>
                <w:rFonts w:ascii="Arial" w:cs="Arial" w:eastAsia="Arial" w:hAnsi="Arial"/>
                <w:sz w:val="16"/>
                <w:szCs w:val="16"/>
                <w:b w:val="1"/>
                <w:bCs w:val="1"/>
                <w:color w:val="auto"/>
              </w:rPr>
              <w:t>Description</w:t>
            </w:r>
          </w:p>
        </w:tc>
        <w:tc>
          <w:tcPr>
            <w:tcW w:w="130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Date of</w:t>
            </w:r>
          </w:p>
        </w:tc>
        <w:tc>
          <w:tcPr>
            <w:tcW w:w="3960" w:type="dxa"/>
            <w:vAlign w:val="bottom"/>
          </w:tcPr>
          <w:p>
            <w:pPr>
              <w:jc w:val="center"/>
              <w:ind w:left="50"/>
              <w:spacing w:after="0"/>
              <w:rPr>
                <w:sz w:val="20"/>
                <w:szCs w:val="20"/>
                <w:color w:val="auto"/>
              </w:rPr>
            </w:pPr>
            <w:r>
              <w:rPr>
                <w:rFonts w:ascii="Arial" w:cs="Arial" w:eastAsia="Arial" w:hAnsi="Arial"/>
                <w:sz w:val="16"/>
                <w:szCs w:val="16"/>
                <w:b w:val="1"/>
                <w:bCs w:val="1"/>
                <w:color w:val="auto"/>
                <w:w w:val="92"/>
              </w:rPr>
              <w:t>Effect on Financial Statements or Other Significant</w:t>
            </w:r>
          </w:p>
        </w:tc>
        <w:tc>
          <w:tcPr>
            <w:tcW w:w="0" w:type="dxa"/>
            <w:vAlign w:val="bottom"/>
          </w:tcPr>
          <w:p>
            <w:pPr>
              <w:spacing w:after="0"/>
              <w:rPr>
                <w:sz w:val="1"/>
                <w:szCs w:val="1"/>
                <w:color w:val="auto"/>
              </w:rPr>
            </w:pPr>
          </w:p>
        </w:tc>
      </w:tr>
      <w:tr>
        <w:trPr>
          <w:trHeight w:val="213"/>
        </w:trPr>
        <w:tc>
          <w:tcPr>
            <w:tcW w:w="1800" w:type="dxa"/>
            <w:vAlign w:val="bottom"/>
            <w:tcBorders>
              <w:bottom w:val="single" w:sz="8" w:color="auto"/>
            </w:tcBorders>
            <w:vMerge w:val="continue"/>
          </w:tcPr>
          <w:p>
            <w:pPr>
              <w:spacing w:after="0"/>
              <w:rPr>
                <w:sz w:val="18"/>
                <w:szCs w:val="18"/>
                <w:color w:val="auto"/>
              </w:rPr>
            </w:pPr>
          </w:p>
        </w:tc>
        <w:tc>
          <w:tcPr>
            <w:tcW w:w="41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93"/>
              </w:rPr>
              <w:t>Adoption</w:t>
            </w:r>
          </w:p>
        </w:tc>
        <w:tc>
          <w:tcPr>
            <w:tcW w:w="3960" w:type="dxa"/>
            <w:vAlign w:val="bottom"/>
            <w:tcBorders>
              <w:bottom w:val="single" w:sz="8" w:color="auto"/>
            </w:tcBorders>
          </w:tcPr>
          <w:p>
            <w:pPr>
              <w:jc w:val="center"/>
              <w:ind w:left="50"/>
              <w:spacing w:after="0"/>
              <w:rPr>
                <w:sz w:val="20"/>
                <w:szCs w:val="20"/>
                <w:color w:val="auto"/>
              </w:rPr>
            </w:pPr>
            <w:r>
              <w:rPr>
                <w:rFonts w:ascii="Arial" w:cs="Arial" w:eastAsia="Arial" w:hAnsi="Arial"/>
                <w:sz w:val="16"/>
                <w:szCs w:val="16"/>
                <w:b w:val="1"/>
                <w:bCs w:val="1"/>
                <w:color w:val="auto"/>
                <w:w w:val="98"/>
              </w:rPr>
              <w:t>Matters</w:t>
            </w:r>
          </w:p>
        </w:tc>
        <w:tc>
          <w:tcPr>
            <w:tcW w:w="0" w:type="dxa"/>
            <w:vAlign w:val="bottom"/>
          </w:tcPr>
          <w:p>
            <w:pPr>
              <w:spacing w:after="0"/>
              <w:rPr>
                <w:sz w:val="1"/>
                <w:szCs w:val="1"/>
                <w:color w:val="auto"/>
              </w:rPr>
            </w:pPr>
          </w:p>
        </w:tc>
      </w:tr>
      <w:tr>
        <w:trPr>
          <w:trHeight w:val="212"/>
        </w:trPr>
        <w:tc>
          <w:tcPr>
            <w:tcW w:w="5980" w:type="dxa"/>
            <w:vAlign w:val="bottom"/>
            <w:gridSpan w:val="2"/>
            <w:shd w:val="clear" w:color="auto" w:fill="ACACAC"/>
          </w:tcPr>
          <w:p>
            <w:pPr>
              <w:ind w:left="20"/>
              <w:spacing w:after="0"/>
              <w:rPr>
                <w:sz w:val="20"/>
                <w:szCs w:val="20"/>
                <w:color w:val="auto"/>
              </w:rPr>
            </w:pPr>
            <w:r>
              <w:rPr>
                <w:rFonts w:ascii="Arial" w:cs="Arial" w:eastAsia="Arial" w:hAnsi="Arial"/>
                <w:sz w:val="16"/>
                <w:szCs w:val="16"/>
                <w:i w:val="1"/>
                <w:iCs w:val="1"/>
                <w:color w:val="auto"/>
              </w:rPr>
              <w:t>Recently Adopted Pronouncements</w:t>
            </w:r>
          </w:p>
        </w:tc>
        <w:tc>
          <w:tcPr>
            <w:tcW w:w="1300" w:type="dxa"/>
            <w:vAlign w:val="bottom"/>
            <w:shd w:val="clear" w:color="auto" w:fill="ACACAC"/>
          </w:tcPr>
          <w:p>
            <w:pPr>
              <w:spacing w:after="0"/>
              <w:rPr>
                <w:sz w:val="18"/>
                <w:szCs w:val="18"/>
                <w:color w:val="auto"/>
              </w:rPr>
            </w:pPr>
          </w:p>
        </w:tc>
        <w:tc>
          <w:tcPr>
            <w:tcW w:w="396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5" w:lineRule="exact"/>
              <w:rPr>
                <w:sz w:val="20"/>
                <w:szCs w:val="20"/>
                <w:color w:val="auto"/>
              </w:rPr>
            </w:pPr>
            <w:r>
              <w:rPr>
                <w:rFonts w:ascii="Arial" w:cs="Arial" w:eastAsia="Arial" w:hAnsi="Arial"/>
                <w:sz w:val="16"/>
                <w:szCs w:val="16"/>
                <w:color w:val="auto"/>
              </w:rPr>
              <w:t>ASU 2016-13, “Financial</w:t>
            </w:r>
          </w:p>
        </w:tc>
        <w:tc>
          <w:tcPr>
            <w:tcW w:w="4180" w:type="dxa"/>
            <w:vAlign w:val="bottom"/>
          </w:tcPr>
          <w:p>
            <w:pPr>
              <w:ind w:left="120"/>
              <w:spacing w:after="0" w:line="175" w:lineRule="exact"/>
              <w:rPr>
                <w:sz w:val="20"/>
                <w:szCs w:val="20"/>
                <w:color w:val="auto"/>
              </w:rPr>
            </w:pPr>
            <w:r>
              <w:rPr>
                <w:rFonts w:ascii="Arial" w:cs="Arial" w:eastAsia="Arial" w:hAnsi="Arial"/>
                <w:sz w:val="16"/>
                <w:szCs w:val="16"/>
                <w:color w:val="auto"/>
                <w:w w:val="96"/>
              </w:rPr>
              <w:t>This update affects entities holding financial assets and net</w:t>
            </w:r>
          </w:p>
        </w:tc>
        <w:tc>
          <w:tcPr>
            <w:tcW w:w="1300" w:type="dxa"/>
            <w:vAlign w:val="bottom"/>
          </w:tcPr>
          <w:p>
            <w:pPr>
              <w:ind w:left="260"/>
              <w:spacing w:after="0" w:line="175" w:lineRule="exact"/>
              <w:rPr>
                <w:sz w:val="20"/>
                <w:szCs w:val="20"/>
                <w:color w:val="auto"/>
              </w:rPr>
            </w:pPr>
            <w:r>
              <w:rPr>
                <w:rFonts w:ascii="Arial" w:cs="Arial" w:eastAsia="Arial" w:hAnsi="Arial"/>
                <w:sz w:val="16"/>
                <w:szCs w:val="16"/>
                <w:color w:val="auto"/>
              </w:rPr>
              <w:t>Q1 2020</w:t>
            </w:r>
          </w:p>
        </w:tc>
        <w:tc>
          <w:tcPr>
            <w:tcW w:w="3960" w:type="dxa"/>
            <w:vAlign w:val="bottom"/>
          </w:tcPr>
          <w:p>
            <w:pPr>
              <w:jc w:val="center"/>
              <w:ind w:left="50"/>
              <w:spacing w:after="0" w:line="175" w:lineRule="exact"/>
              <w:rPr>
                <w:sz w:val="20"/>
                <w:szCs w:val="20"/>
                <w:color w:val="auto"/>
              </w:rPr>
            </w:pPr>
            <w:r>
              <w:rPr>
                <w:rFonts w:ascii="Arial" w:cs="Arial" w:eastAsia="Arial" w:hAnsi="Arial"/>
                <w:sz w:val="16"/>
                <w:szCs w:val="16"/>
                <w:color w:val="auto"/>
                <w:w w:val="94"/>
              </w:rPr>
              <w:t>The Partnership adopted this update effective January 1,</w:t>
            </w: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Arial" w:cs="Arial" w:eastAsia="Arial" w:hAnsi="Arial"/>
                <w:sz w:val="16"/>
                <w:szCs w:val="16"/>
                <w:color w:val="auto"/>
              </w:rPr>
              <w:t>Instruments - Credit</w:t>
            </w:r>
          </w:p>
        </w:tc>
        <w:tc>
          <w:tcPr>
            <w:tcW w:w="4180" w:type="dxa"/>
            <w:vAlign w:val="bottom"/>
          </w:tcPr>
          <w:p>
            <w:pPr>
              <w:ind w:left="120"/>
              <w:spacing w:after="0"/>
              <w:rPr>
                <w:sz w:val="20"/>
                <w:szCs w:val="20"/>
                <w:color w:val="auto"/>
              </w:rPr>
            </w:pPr>
            <w:r>
              <w:rPr>
                <w:rFonts w:ascii="Arial" w:cs="Arial" w:eastAsia="Arial" w:hAnsi="Arial"/>
                <w:sz w:val="16"/>
                <w:szCs w:val="16"/>
                <w:color w:val="auto"/>
                <w:w w:val="96"/>
              </w:rPr>
              <w:t>investment in leases that are not accounted for at fair value</w:t>
            </w:r>
          </w:p>
        </w:tc>
        <w:tc>
          <w:tcPr>
            <w:tcW w:w="1300" w:type="dxa"/>
            <w:vAlign w:val="bottom"/>
          </w:tcPr>
          <w:p>
            <w:pPr>
              <w:spacing w:after="0"/>
              <w:rPr>
                <w:sz w:val="16"/>
                <w:szCs w:val="16"/>
                <w:color w:val="auto"/>
              </w:rPr>
            </w:pPr>
          </w:p>
        </w:tc>
        <w:tc>
          <w:tcPr>
            <w:tcW w:w="3960" w:type="dxa"/>
            <w:vAlign w:val="bottom"/>
          </w:tcPr>
          <w:p>
            <w:pPr>
              <w:jc w:val="center"/>
              <w:ind w:left="50"/>
              <w:spacing w:after="0"/>
              <w:rPr>
                <w:sz w:val="20"/>
                <w:szCs w:val="20"/>
                <w:color w:val="auto"/>
              </w:rPr>
            </w:pPr>
            <w:r>
              <w:rPr>
                <w:rFonts w:ascii="Arial" w:cs="Arial" w:eastAsia="Arial" w:hAnsi="Arial"/>
                <w:sz w:val="16"/>
                <w:szCs w:val="16"/>
                <w:color w:val="auto"/>
                <w:w w:val="93"/>
              </w:rPr>
              <w:t>2020. The adoption of this update did not have a material</w:t>
            </w:r>
          </w:p>
        </w:tc>
        <w:tc>
          <w:tcPr>
            <w:tcW w:w="0" w:type="dxa"/>
            <w:vAlign w:val="bottom"/>
          </w:tcPr>
          <w:p>
            <w:pPr>
              <w:spacing w:after="0"/>
              <w:rPr>
                <w:sz w:val="1"/>
                <w:szCs w:val="1"/>
                <w:color w:val="auto"/>
              </w:rPr>
            </w:pPr>
          </w:p>
        </w:tc>
      </w:tr>
      <w:tr>
        <w:trPr>
          <w:trHeight w:val="45"/>
        </w:trPr>
        <w:tc>
          <w:tcPr>
            <w:tcW w:w="1800" w:type="dxa"/>
            <w:vAlign w:val="bottom"/>
          </w:tcPr>
          <w:p>
            <w:pPr>
              <w:ind w:left="20"/>
              <w:spacing w:after="0" w:line="45" w:lineRule="exact"/>
              <w:rPr>
                <w:sz w:val="20"/>
                <w:szCs w:val="20"/>
                <w:color w:val="auto"/>
              </w:rPr>
            </w:pPr>
            <w:r>
              <w:rPr>
                <w:rFonts w:ascii="Arial" w:cs="Arial" w:eastAsia="Arial" w:hAnsi="Arial"/>
                <w:sz w:val="5"/>
                <w:szCs w:val="5"/>
                <w:color w:val="auto"/>
              </w:rPr>
              <w:t>Losses”</w:t>
            </w:r>
          </w:p>
        </w:tc>
        <w:tc>
          <w:tcPr>
            <w:tcW w:w="4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960" w:type="dxa"/>
            <w:vAlign w:val="bottom"/>
          </w:tcPr>
          <w:p>
            <w:pPr>
              <w:jc w:val="center"/>
              <w:ind w:left="50"/>
              <w:spacing w:after="0" w:line="45" w:lineRule="exact"/>
              <w:rPr>
                <w:sz w:val="20"/>
                <w:szCs w:val="20"/>
                <w:color w:val="auto"/>
              </w:rPr>
            </w:pPr>
            <w:r>
              <w:rPr>
                <w:rFonts w:ascii="Arial" w:cs="Arial" w:eastAsia="Arial" w:hAnsi="Arial"/>
                <w:sz w:val="5"/>
                <w:szCs w:val="5"/>
                <w:color w:val="auto"/>
              </w:rPr>
              <w:t>impact on its financial position, results of operations 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7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6740" w:type="dxa"/>
            <w:vAlign w:val="bottom"/>
          </w:tcPr>
          <w:p>
            <w:pPr>
              <w:ind w:left="1920"/>
              <w:spacing w:after="0" w:line="175" w:lineRule="exact"/>
              <w:rPr>
                <w:sz w:val="20"/>
                <w:szCs w:val="20"/>
                <w:color w:val="auto"/>
              </w:rPr>
            </w:pPr>
            <w:r>
              <w:rPr>
                <w:rFonts w:ascii="Arial" w:cs="Arial" w:eastAsia="Arial" w:hAnsi="Arial"/>
                <w:sz w:val="16"/>
                <w:szCs w:val="16"/>
                <w:color w:val="auto"/>
              </w:rPr>
              <w:t>through net income. The amendments affect loans, debt</w:t>
            </w:r>
          </w:p>
        </w:tc>
        <w:tc>
          <w:tcPr>
            <w:tcW w:w="4500" w:type="dxa"/>
            <w:vAlign w:val="bottom"/>
            <w:vMerge w:val="restart"/>
          </w:tcPr>
          <w:p>
            <w:pPr>
              <w:ind w:left="680"/>
              <w:spacing w:after="0"/>
              <w:rPr>
                <w:sz w:val="20"/>
                <w:szCs w:val="20"/>
                <w:color w:val="auto"/>
              </w:rPr>
            </w:pPr>
            <w:r>
              <w:rPr>
                <w:rFonts w:ascii="Arial" w:cs="Arial" w:eastAsia="Arial" w:hAnsi="Arial"/>
                <w:sz w:val="16"/>
                <w:szCs w:val="16"/>
                <w:color w:val="auto"/>
                <w:w w:val="96"/>
              </w:rPr>
              <w:t>liquidity since it does not have a history of credit losses.</w:t>
            </w:r>
          </w:p>
        </w:tc>
        <w:tc>
          <w:tcPr>
            <w:tcW w:w="0" w:type="dxa"/>
            <w:vAlign w:val="bottom"/>
          </w:tcPr>
          <w:p>
            <w:pPr>
              <w:spacing w:after="0"/>
              <w:rPr>
                <w:sz w:val="1"/>
                <w:szCs w:val="1"/>
                <w:color w:val="auto"/>
              </w:rPr>
            </w:pPr>
          </w:p>
        </w:tc>
      </w:tr>
      <w:tr>
        <w:trPr>
          <w:trHeight w:val="112"/>
        </w:trPr>
        <w:tc>
          <w:tcPr>
            <w:tcW w:w="6740" w:type="dxa"/>
            <w:vAlign w:val="bottom"/>
            <w:vMerge w:val="restart"/>
          </w:tcPr>
          <w:p>
            <w:pPr>
              <w:ind w:left="1920"/>
              <w:spacing w:after="0"/>
              <w:rPr>
                <w:sz w:val="20"/>
                <w:szCs w:val="20"/>
                <w:color w:val="auto"/>
              </w:rPr>
            </w:pPr>
            <w:r>
              <w:rPr>
                <w:rFonts w:ascii="Arial" w:cs="Arial" w:eastAsia="Arial" w:hAnsi="Arial"/>
                <w:sz w:val="16"/>
                <w:szCs w:val="16"/>
                <w:color w:val="auto"/>
              </w:rPr>
              <w:t>securities, trade receivables, net investments in leases, off-</w:t>
            </w: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740" w:type="dxa"/>
            <w:vAlign w:val="bottom"/>
            <w:vMerge w:val="continue"/>
          </w:tcPr>
          <w:p>
            <w:pPr>
              <w:spacing w:after="0"/>
              <w:rPr>
                <w:sz w:val="6"/>
                <w:szCs w:val="6"/>
                <w:color w:val="auto"/>
              </w:rPr>
            </w:pPr>
          </w:p>
        </w:tc>
        <w:tc>
          <w:tcPr>
            <w:tcW w:w="4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1920"/>
              <w:spacing w:after="0"/>
              <w:rPr>
                <w:sz w:val="20"/>
                <w:szCs w:val="20"/>
                <w:color w:val="auto"/>
              </w:rPr>
            </w:pPr>
            <w:r>
              <w:rPr>
                <w:rFonts w:ascii="Arial" w:cs="Arial" w:eastAsia="Arial" w:hAnsi="Arial"/>
                <w:sz w:val="16"/>
                <w:szCs w:val="16"/>
                <w:color w:val="auto"/>
              </w:rPr>
              <w:t>balance sheet credit exposures, reinsurance receivables, and any</w:t>
            </w: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1920"/>
              <w:spacing w:after="0"/>
              <w:rPr>
                <w:sz w:val="20"/>
                <w:szCs w:val="20"/>
                <w:color w:val="auto"/>
              </w:rPr>
            </w:pPr>
            <w:r>
              <w:rPr>
                <w:rFonts w:ascii="Arial" w:cs="Arial" w:eastAsia="Arial" w:hAnsi="Arial"/>
                <w:sz w:val="16"/>
                <w:szCs w:val="16"/>
                <w:color w:val="auto"/>
              </w:rPr>
              <w:t>other financial assets not excluded from the scope that have the</w:t>
            </w: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920"/>
              <w:spacing w:after="0"/>
              <w:rPr>
                <w:sz w:val="20"/>
                <w:szCs w:val="20"/>
                <w:color w:val="auto"/>
              </w:rPr>
            </w:pPr>
            <w:r>
              <w:rPr>
                <w:rFonts w:ascii="Arial" w:cs="Arial" w:eastAsia="Arial" w:hAnsi="Arial"/>
                <w:sz w:val="16"/>
                <w:szCs w:val="16"/>
                <w:color w:val="auto"/>
              </w:rPr>
              <w:t>contractual right to receive cash.</w:t>
            </w: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ACACAC"/>
          </w:tcPr>
          <w:p>
            <w:pPr>
              <w:ind w:left="20"/>
              <w:spacing w:after="0"/>
              <w:rPr>
                <w:sz w:val="20"/>
                <w:szCs w:val="20"/>
                <w:color w:val="auto"/>
              </w:rPr>
            </w:pPr>
            <w:r>
              <w:rPr>
                <w:rFonts w:ascii="Arial" w:cs="Arial" w:eastAsia="Arial" w:hAnsi="Arial"/>
                <w:sz w:val="16"/>
                <w:szCs w:val="16"/>
                <w:i w:val="1"/>
                <w:iCs w:val="1"/>
                <w:color w:val="auto"/>
              </w:rPr>
              <w:t>Pronouncements Not Yet Adopted</w:t>
            </w:r>
          </w:p>
        </w:tc>
        <w:tc>
          <w:tcPr>
            <w:tcW w:w="45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3" w:lineRule="exact"/>
        <w:rPr>
          <w:sz w:val="20"/>
          <w:szCs w:val="20"/>
          <w:color w:val="auto"/>
        </w:rPr>
      </w:pPr>
    </w:p>
    <w:p>
      <w:pPr>
        <w:ind w:left="20"/>
        <w:spacing w:after="0" w:line="241" w:lineRule="auto"/>
        <w:rPr>
          <w:sz w:val="20"/>
          <w:szCs w:val="20"/>
          <w:color w:val="auto"/>
        </w:rPr>
      </w:pPr>
      <w:r>
        <w:rPr>
          <w:rFonts w:ascii="Arial" w:cs="Arial" w:eastAsia="Arial" w:hAnsi="Arial"/>
          <w:sz w:val="15"/>
          <w:szCs w:val="15"/>
          <w:color w:val="auto"/>
        </w:rPr>
        <w:t>ASU 2019-12, “Income Taxes (Topic 740) - Simplifying the Accounting for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160" w:type="dxa"/>
            <w:vAlign w:val="bottom"/>
          </w:tcPr>
          <w:p>
            <w:pPr>
              <w:spacing w:after="0" w:line="166" w:lineRule="exact"/>
              <w:rPr>
                <w:sz w:val="20"/>
                <w:szCs w:val="20"/>
                <w:color w:val="auto"/>
              </w:rPr>
            </w:pPr>
            <w:r>
              <w:rPr>
                <w:rFonts w:ascii="Arial" w:cs="Arial" w:eastAsia="Arial" w:hAnsi="Arial"/>
                <w:sz w:val="16"/>
                <w:szCs w:val="16"/>
                <w:color w:val="auto"/>
                <w:w w:val="96"/>
              </w:rPr>
              <w:t>This update is intended to simplify the accounting for income</w:t>
            </w:r>
          </w:p>
        </w:tc>
        <w:tc>
          <w:tcPr>
            <w:tcW w:w="1040" w:type="dxa"/>
            <w:vAlign w:val="bottom"/>
          </w:tcPr>
          <w:p>
            <w:pPr>
              <w:ind w:left="160"/>
              <w:spacing w:after="0" w:line="166" w:lineRule="exact"/>
              <w:rPr>
                <w:sz w:val="20"/>
                <w:szCs w:val="20"/>
                <w:color w:val="auto"/>
              </w:rPr>
            </w:pPr>
            <w:r>
              <w:rPr>
                <w:rFonts w:ascii="Arial" w:cs="Arial" w:eastAsia="Arial" w:hAnsi="Arial"/>
                <w:sz w:val="16"/>
                <w:szCs w:val="16"/>
                <w:color w:val="auto"/>
              </w:rPr>
              <w:t>Q1 2021</w:t>
            </w:r>
          </w:p>
        </w:tc>
        <w:tc>
          <w:tcPr>
            <w:tcW w:w="3980" w:type="dxa"/>
            <w:vAlign w:val="bottom"/>
          </w:tcPr>
          <w:p>
            <w:pPr>
              <w:ind w:left="300"/>
              <w:spacing w:after="0" w:line="166" w:lineRule="exact"/>
              <w:rPr>
                <w:sz w:val="20"/>
                <w:szCs w:val="20"/>
                <w:color w:val="auto"/>
              </w:rPr>
            </w:pPr>
            <w:r>
              <w:rPr>
                <w:rFonts w:ascii="Arial" w:cs="Arial" w:eastAsia="Arial" w:hAnsi="Arial"/>
                <w:sz w:val="16"/>
                <w:szCs w:val="16"/>
                <w:color w:val="auto"/>
              </w:rPr>
              <w:t>This update is effective for public business entities</w:t>
            </w:r>
          </w:p>
        </w:tc>
      </w:tr>
      <w:tr>
        <w:trPr>
          <w:trHeight w:val="162"/>
        </w:trPr>
        <w:tc>
          <w:tcPr>
            <w:tcW w:w="4160" w:type="dxa"/>
            <w:vAlign w:val="bottom"/>
          </w:tcPr>
          <w:p>
            <w:pPr>
              <w:spacing w:after="0" w:line="162" w:lineRule="exact"/>
              <w:rPr>
                <w:sz w:val="20"/>
                <w:szCs w:val="20"/>
                <w:color w:val="auto"/>
              </w:rPr>
            </w:pPr>
            <w:r>
              <w:rPr>
                <w:rFonts w:ascii="Arial" w:cs="Arial" w:eastAsia="Arial" w:hAnsi="Arial"/>
                <w:sz w:val="16"/>
                <w:szCs w:val="16"/>
                <w:color w:val="auto"/>
                <w:w w:val="99"/>
              </w:rPr>
              <w:t>taxes by removing certain exceptions and by clarifying and</w:t>
            </w:r>
          </w:p>
        </w:tc>
        <w:tc>
          <w:tcPr>
            <w:tcW w:w="1040" w:type="dxa"/>
            <w:vAlign w:val="bottom"/>
          </w:tcPr>
          <w:p>
            <w:pPr>
              <w:spacing w:after="0"/>
              <w:rPr>
                <w:sz w:val="14"/>
                <w:szCs w:val="14"/>
                <w:color w:val="auto"/>
              </w:rPr>
            </w:pPr>
          </w:p>
        </w:tc>
        <w:tc>
          <w:tcPr>
            <w:tcW w:w="3980" w:type="dxa"/>
            <w:vAlign w:val="bottom"/>
          </w:tcPr>
          <w:p>
            <w:pPr>
              <w:ind w:left="300"/>
              <w:spacing w:after="0" w:line="162" w:lineRule="exact"/>
              <w:rPr>
                <w:sz w:val="20"/>
                <w:szCs w:val="20"/>
                <w:color w:val="auto"/>
              </w:rPr>
            </w:pPr>
            <w:r>
              <w:rPr>
                <w:rFonts w:ascii="Arial" w:cs="Arial" w:eastAsia="Arial" w:hAnsi="Arial"/>
                <w:sz w:val="16"/>
                <w:szCs w:val="16"/>
                <w:color w:val="auto"/>
                <w:w w:val="94"/>
              </w:rPr>
              <w:t>beginning after December 15, 2020 with early adoption</w:t>
            </w:r>
          </w:p>
        </w:tc>
      </w:tr>
      <w:tr>
        <w:trPr>
          <w:trHeight w:val="162"/>
        </w:trPr>
        <w:tc>
          <w:tcPr>
            <w:tcW w:w="4160" w:type="dxa"/>
            <w:vAlign w:val="bottom"/>
          </w:tcPr>
          <w:p>
            <w:pPr>
              <w:spacing w:after="0" w:line="162" w:lineRule="exact"/>
              <w:rPr>
                <w:sz w:val="20"/>
                <w:szCs w:val="20"/>
                <w:color w:val="auto"/>
              </w:rPr>
            </w:pPr>
            <w:r>
              <w:rPr>
                <w:rFonts w:ascii="Arial" w:cs="Arial" w:eastAsia="Arial" w:hAnsi="Arial"/>
                <w:sz w:val="16"/>
                <w:szCs w:val="16"/>
                <w:color w:val="auto"/>
              </w:rPr>
              <w:t>amending existing guidance.</w:t>
            </w:r>
          </w:p>
        </w:tc>
        <w:tc>
          <w:tcPr>
            <w:tcW w:w="1040" w:type="dxa"/>
            <w:vAlign w:val="bottom"/>
          </w:tcPr>
          <w:p>
            <w:pPr>
              <w:spacing w:after="0"/>
              <w:rPr>
                <w:sz w:val="14"/>
                <w:szCs w:val="14"/>
                <w:color w:val="auto"/>
              </w:rPr>
            </w:pPr>
          </w:p>
        </w:tc>
        <w:tc>
          <w:tcPr>
            <w:tcW w:w="3980" w:type="dxa"/>
            <w:vAlign w:val="bottom"/>
          </w:tcPr>
          <w:p>
            <w:pPr>
              <w:ind w:left="300"/>
              <w:spacing w:after="0" w:line="162" w:lineRule="exact"/>
              <w:rPr>
                <w:sz w:val="20"/>
                <w:szCs w:val="20"/>
                <w:color w:val="auto"/>
              </w:rPr>
            </w:pPr>
            <w:r>
              <w:rPr>
                <w:rFonts w:ascii="Arial" w:cs="Arial" w:eastAsia="Arial" w:hAnsi="Arial"/>
                <w:sz w:val="16"/>
                <w:szCs w:val="16"/>
                <w:color w:val="auto"/>
                <w:w w:val="90"/>
              </w:rPr>
              <w:t>permitted. The Partnership does not believe the adoption</w:t>
            </w:r>
          </w:p>
        </w:tc>
      </w:tr>
      <w:tr>
        <w:trPr>
          <w:trHeight w:val="162"/>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80" w:type="dxa"/>
            <w:vAlign w:val="bottom"/>
          </w:tcPr>
          <w:p>
            <w:pPr>
              <w:ind w:left="300"/>
              <w:spacing w:after="0" w:line="162" w:lineRule="exact"/>
              <w:rPr>
                <w:sz w:val="20"/>
                <w:szCs w:val="20"/>
                <w:color w:val="auto"/>
              </w:rPr>
            </w:pPr>
            <w:r>
              <w:rPr>
                <w:rFonts w:ascii="Arial" w:cs="Arial" w:eastAsia="Arial" w:hAnsi="Arial"/>
                <w:sz w:val="16"/>
                <w:szCs w:val="16"/>
                <w:color w:val="auto"/>
              </w:rPr>
              <w:t>of this standard will have an impact on its financial</w:t>
            </w:r>
          </w:p>
        </w:tc>
      </w:tr>
      <w:tr>
        <w:trPr>
          <w:trHeight w:val="206"/>
        </w:trPr>
        <w:tc>
          <w:tcPr>
            <w:tcW w:w="4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80" w:type="dxa"/>
            <w:vAlign w:val="bottom"/>
          </w:tcPr>
          <w:p>
            <w:pPr>
              <w:ind w:left="300"/>
              <w:spacing w:after="0"/>
              <w:rPr>
                <w:sz w:val="20"/>
                <w:szCs w:val="20"/>
                <w:color w:val="auto"/>
              </w:rPr>
            </w:pPr>
            <w:r>
              <w:rPr>
                <w:rFonts w:ascii="Arial" w:cs="Arial" w:eastAsia="Arial" w:hAnsi="Arial"/>
                <w:sz w:val="16"/>
                <w:szCs w:val="16"/>
                <w:color w:val="auto"/>
              </w:rPr>
              <w:t>position, results of operations or liquidity.</w:t>
            </w:r>
          </w:p>
        </w:tc>
      </w:tr>
    </w:tbl>
    <w:p>
      <w:pPr>
        <w:spacing w:after="0" w:line="200" w:lineRule="exact"/>
        <w:rPr>
          <w:sz w:val="20"/>
          <w:szCs w:val="20"/>
          <w:color w:val="auto"/>
        </w:rPr>
      </w:pPr>
    </w:p>
    <w:p>
      <w:pPr>
        <w:sectPr>
          <w:pgSz w:w="11900" w:h="16838" w:orient="portrait"/>
          <w:cols w:equalWidth="0" w:num="2">
            <w:col w:w="1840" w:space="80"/>
            <w:col w:w="9320"/>
          </w:cols>
          <w:pgMar w:left="320" w:top="122" w:right="339" w:bottom="1440" w:gutter="0" w:footer="0" w:header="0"/>
          <w:type w:val="continuous"/>
        </w:sectPr>
      </w:pP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3120" w:type="dxa"/>
            <w:vAlign w:val="bottom"/>
            <w:gridSpan w:val="5"/>
          </w:tcPr>
          <w:p>
            <w:pPr>
              <w:ind w:left="120"/>
              <w:spacing w:after="0"/>
              <w:rPr>
                <w:sz w:val="20"/>
                <w:szCs w:val="20"/>
                <w:color w:val="auto"/>
              </w:rPr>
            </w:pPr>
            <w:r>
              <w:rPr>
                <w:rFonts w:ascii="Arial" w:cs="Arial" w:eastAsia="Arial" w:hAnsi="Arial"/>
                <w:sz w:val="18"/>
                <w:szCs w:val="18"/>
                <w:b w:val="1"/>
                <w:bCs w:val="1"/>
                <w:color w:val="auto"/>
                <w:w w:val="97"/>
              </w:rPr>
              <w:t>Three Months Ended September 30,</w:t>
            </w:r>
          </w:p>
        </w:tc>
        <w:tc>
          <w:tcPr>
            <w:tcW w:w="140" w:type="dxa"/>
            <w:vAlign w:val="bottom"/>
          </w:tcPr>
          <w:p>
            <w:pPr>
              <w:spacing w:after="0"/>
              <w:rPr>
                <w:sz w:val="20"/>
                <w:szCs w:val="20"/>
                <w:color w:val="auto"/>
              </w:rPr>
            </w:pPr>
          </w:p>
        </w:tc>
        <w:tc>
          <w:tcPr>
            <w:tcW w:w="28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5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53,595</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182,679</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3,331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4,909</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4,946</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royalty income</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62,584</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171,857</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201,950</w:t>
            </w:r>
          </w:p>
        </w:tc>
      </w:tr>
      <w:tr>
        <w:trPr>
          <w:trHeight w:val="20"/>
        </w:trPr>
        <w:tc>
          <w:tcPr>
            <w:tcW w:w="5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Activity</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nine months ended September 30, 2020, the Partnership acquired, from unrelated third-party sellers, mineral and royalty interests representing 4,948 gross (410 net royalty) acres in the Permian Basin for an aggregate purchase price of approximately $63.4 million, subject to post-closing adjustments. The Partnership funded these acquisitions with cash on hand and borrowings under the Operating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Drop-Down Acquisition</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 2019, we completed the acquisition of certain mineral and royalty interests from subsidiaries of Diamondback for approximately 18.3 million of its newly-issued Class B units, approximately 18.3 million newly-issued units of the Operating Company with a fair value of $497.2 million and $190.2 million in cash, after giving effect to closing adjustments for net title benefits (the ‘‘Drop-Down Acquisition’’). The mineral and royalty interests acquired in the Drop-Down Acquisition represent approximately 5,490 net royalty acres across the Midland and Delaware Basins, of which over 95% are operated by Diamondback, and have an average net royalty interest of approximately 3.2% (the ‘‘Drop-Down Assets’’). The Partnership completed the acquisition on October 1, 2019 and funded the cash portion of the purchase price for the Drop-Down Assets through a combination of cash on hand and borrowings under the Operating Company’s revolving credit facility.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Santa Elena Acquisition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31, 2019, the Partnership completed the acquisition of certain mineral and royalty interests from Santa Elena (the ‘‘Santa Elena Acquisition’’), which assets were immediately contributed by the Partnership to the Operating Company. The assets acquired in the Santa Elena Acquisition represent approximately 1,366 net royalty acres across the Midland Basin with an average net royalty interest of approximately 5.6% and are primarily operated by Diamondback in Glasscock and Martin counties (the ‘‘Santa Elena Assets’’).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closing, the Partnership issued to Santa Elena approximately 5.2 million common units representing limited partner interests in the Partnership as consideration for the Santa Elena Assets, and the Operating Company issued to the Partnership approximately 5.2 million new units of the Operating Company with a fair value of $124.0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Recent Acquisitions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during the year ended December 31, 2019, the Partnership acquired, from unrelated third-party sellers, mineral and royalty interests representing 136,012 gross (2,607 net royalty) acres for an aggregate of approximately $343.7 million. The Partnership funded these acquisitions with cash on hand, a portion of the net proceeds from its first quarter 2019 offering of common units and borrowings under the Operating Company’s revolving credit facility.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5.  OIL AND NATURAL GAS INTERESTS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7860" w:type="dxa"/>
            <w:vAlign w:val="bottom"/>
          </w:tcPr>
          <w:p>
            <w:pPr>
              <w:ind w:left="660"/>
              <w:spacing w:after="0"/>
              <w:rPr>
                <w:sz w:val="20"/>
                <w:szCs w:val="20"/>
                <w:color w:val="auto"/>
              </w:rPr>
            </w:pPr>
            <w:r>
              <w:rPr>
                <w:rFonts w:ascii="Arial" w:cs="Arial" w:eastAsia="Arial" w:hAnsi="Arial"/>
                <w:sz w:val="18"/>
                <w:szCs w:val="18"/>
                <w:color w:val="auto"/>
              </w:rPr>
              <w:t>Oil and natural gas interests include the following:</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6"/>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64"/>
        </w:trPr>
        <w:tc>
          <w:tcPr>
            <w:tcW w:w="7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1,478,621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1,316,692</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1,452,248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1,551,767</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2,930,869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2,868,459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(326,474)</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2,532,191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2,541,985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2,537,879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2,547,673</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2020 and December 31, 2019, the Partnership had mineral and royalty interests representing 24,696 and 24,304 net royalty acres, respectively.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full cost method of accounting, the Partnership is required to perform a ceiling test each quarter. The test determines a limit, or ceiling, on the book value of the proved oil and gas interests. After performing the ceiling test for the quarter ended September 30, 2020, the Partnership was not required to record an impairment. If the trailing 12-month commodity prices continue to fall as compared to the commodity prices used in prior quarters, the Partnership will have write-downs in subsequent quarters, which may be material.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6.  DEBT</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9"/>
        </w:trPr>
        <w:tc>
          <w:tcPr>
            <w:tcW w:w="7180" w:type="dxa"/>
            <w:vAlign w:val="bottom"/>
          </w:tcPr>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6"/>
        </w:trPr>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4"/>
                <w:szCs w:val="24"/>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23"/>
        </w:trPr>
        <w:tc>
          <w:tcPr>
            <w:tcW w:w="7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gridSpan w:val="4"/>
          </w:tcPr>
          <w:p>
            <w:pPr>
              <w:jc w:val="right"/>
              <w:ind w:right="137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Notes due 2027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126,500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96,500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(7,268)</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586,774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2027 Senior Notes</w:t>
      </w:r>
    </w:p>
    <w:p>
      <w:pPr>
        <w:spacing w:after="0" w:line="22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October 16, 2019, the Partnership completed an offering (the “Notes Offering”) of $500.0 million in aggregate principal amount of its 5.375% Senior Notes due 2027 (the “Notes”). The Partnership received net proceeds of approximately $490.0 million from the Notes Offering. The Partnership loaned the gross proceeds to the Operating Company. The Operating Company used the proceeds from the Notes Offering to pay down borrowings under its revolving credit facility. During the three and nine months ended September 30, 2020, the Partnership repurchased $6.0 million and $20.1 million, respectively, of the outstanding principal of the Notes at a cash price ranging from 97.5% to 98.5% of the aggregate principal amount, which resulted in an immaterial gain on extinguishment of debt. As of September 30, 2020, the remaining outstanding principal amount of the Notes totaled $479.9 million and will mature on November 1, 2027.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On July 20, 2018, the Partnership, as guarantor, entered into an amended and restated credit agreement with the Operating Company, as borrower, Wells Fargo National Bank (“Wells Fargo”), as administrative agent, and the other lenders. The credit agreement, as amended to date, provides for a revolving credit facility in the maximum credit amount of $2.0 billion and a borrowing base based on the Operating Company’s oil and natural gas reserves and other factors. The borrowing base is scheduled to be redetermined semi-annually in May and November. In addition, the Operating Company and Wells Fargo each may request up to three interim redeterminations of the borrowing base during any 12-month period. The Operating Company’s borrowing base was reduced from $775.0 million to $580.0 million during the regularly scheduled (semi-annual) spring 2020 redetermination in the second quarter of 2020, and is expected to be reaffirmed at $580.0 million by the lenders during the regularly scheduled (semi-annual) fall 2020 redetermination in November 2020. As of September 30, 2020, there were $126.5 million of outstanding borrowings and $453.5 million available for future borrowings under the Operating Company’s revolving credit facility. During the three and nine months ended September 30, 2020, the weighted average interest rates on the Operating Company’s revolving credit facility were 2.14% and 2.66%, respectively. The revolving credit facility will mature on November 1, 2022.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2020, the Operating Company was in compliance with the financial maintenance covenants under its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has general partner and limited partner units. At September 30, 2020, the Partnership had a total of 67,850,632 common units issued and outstanding and 90,709,946 Class B units issued and outstanding, of which 731,500 common units and 90,709,946 Class B units were beneficially owned by Diamondback, representing approximately 58% of the Partnership’s total units outstanding. Diamondback also beneficially owns 90,709,946 Operating Company units, representing a 57%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19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March 2019, the Partnership completed an underwritten public offering of 10,925,000 common units, which included 1,425,000 common units issued pursuant to an option to purchase additional common units granted to the underwriters. Following this offering, Diamondback owned approximately 54% of the total Partnership units then outstanding. The Partnership received net proceeds from this offering of approximately $340.6 million, after deducting underwriting discounts and commissions and offering expenses. The Partnership used the net proceeds to purchase units of the Operating Company. The Operating Company in turn used the net proceeds to repay a portion of the outstanding borrowings under its revolving credit facility and</w:t>
      </w:r>
    </w:p>
    <w:p>
      <w:pPr>
        <w:sectPr>
          <w:pgSz w:w="11900" w:h="16838" w:orient="portrait"/>
          <w:cols w:equalWidth="0" w:num="1">
            <w:col w:w="11240"/>
          </w:cols>
          <w:pgMar w:left="320" w:top="122"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finance acquisitions during the period.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ownership interest in subsidiary changes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 in ownership of consolidated subsidiaries due to purchase of subsidiary shares in 2019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 from net income (loss) attributable to the Partnership's unitholders and transfers to non-controlling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60" w:right="260" w:hanging="17"/>
        <w:spacing w:after="0" w:line="272" w:lineRule="auto"/>
        <w:rPr>
          <w:sz w:val="20"/>
          <w:szCs w:val="20"/>
          <w:color w:val="auto"/>
        </w:rPr>
      </w:pPr>
      <w:r>
        <w:rPr>
          <w:rFonts w:ascii="Arial" w:cs="Arial" w:eastAsia="Arial" w:hAnsi="Arial"/>
          <w:sz w:val="16"/>
          <w:szCs w:val="16"/>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13030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43,990</w:t>
      </w:r>
    </w:p>
    <w:p>
      <w:pPr>
        <w:spacing w:after="0" w:line="3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(71,195)</w:t>
      </w:r>
    </w:p>
    <w:p>
      <w:pPr>
        <w:spacing w:after="0" w:line="58"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1303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480" w:space="720"/>
            <w:col w:w="2040"/>
          </w:cols>
          <w:pgMar w:left="320" w:top="122" w:right="339" w:bottom="1440" w:gutter="0" w:footer="0" w:header="0"/>
          <w:type w:val="continuous"/>
        </w:sectPr>
      </w:pPr>
    </w:p>
    <w:p>
      <w:pPr>
        <w:spacing w:after="0" w:line="1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ownership of consolidated subsidiaries during the three and nine months ended September 30, 2020 and the three months ended September 30, 2019.</w:t>
      </w:r>
    </w:p>
    <w:p>
      <w:pPr>
        <w:spacing w:after="0" w:line="1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Beginning with the first quarter of 2020, the board of directors of the General Partner revised the distribution policy pursuant to which the Operating Company distributed 25% of the available cash in the first and second quarters of 2020 to its unitholders. The distribution policy was further revised in October 2020 to provide for the distribution of 50% of the available cash beginning with the third quarter of 2020 to its unitholders (including Diamondback and the Partnership). The Partnership in turn distributes all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Operating Company’s available cash generally equals its Adjusted EBITDA for the quarter, less cash needed for debt service and other contractual obligations, fixed charges and reserves for future operating or capital needs that the board of directors of the General Partner deems necessary or appropriate, if any. The Partnership’s available cash for each quarter generally equals its Adjusted EBITDA (which is the Partnership’s proportional share of the available cash of the Operating Company for the quarter), less cash needed for the payment of income taxes by it, if any, and the preferred distribution. Immediately prior to the revisions to the distribution policy described above, the Operating Company’s policy was to distribute all of its available cash quarterly to its unitholders. The distribution policy was changed to enable the Operating Company to retain cash flow to help strengthen the Partnership’s balance sheet.</w:t>
      </w:r>
    </w:p>
    <w:p>
      <w:pPr>
        <w:spacing w:after="0" w:line="2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board of directors of the General Partner may change the distribution policies at any time. The Partnership is not required to pay distributions to its common unitholders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Amount per</w:t>
            </w:r>
          </w:p>
        </w:tc>
        <w:tc>
          <w:tcPr>
            <w:tcW w:w="1820" w:type="dxa"/>
            <w:vAlign w:val="bottom"/>
            <w:gridSpan w:val="3"/>
            <w:vMerge w:val="restart"/>
          </w:tcPr>
          <w:p>
            <w:pPr>
              <w:ind w:left="240"/>
              <w:spacing w:after="0"/>
              <w:rPr>
                <w:sz w:val="20"/>
                <w:szCs w:val="20"/>
                <w:color w:val="auto"/>
              </w:rPr>
            </w:pPr>
            <w:r>
              <w:rPr>
                <w:rFonts w:ascii="Arial" w:cs="Arial" w:eastAsia="Arial" w:hAnsi="Arial"/>
                <w:sz w:val="18"/>
                <w:szCs w:val="18"/>
                <w:color w:val="auto"/>
              </w:rPr>
              <w:t>Declaration Date</w:t>
            </w:r>
          </w:p>
        </w:tc>
        <w:tc>
          <w:tcPr>
            <w:tcW w:w="2380" w:type="dxa"/>
            <w:vAlign w:val="bottom"/>
            <w:gridSpan w:val="3"/>
            <w:vMerge w:val="restart"/>
          </w:tcPr>
          <w:p>
            <w:pPr>
              <w:ind w:left="280"/>
              <w:spacing w:after="0"/>
              <w:rPr>
                <w:sz w:val="20"/>
                <w:szCs w:val="20"/>
                <w:color w:val="auto"/>
              </w:rPr>
            </w:pPr>
            <w:r>
              <w:rPr>
                <w:rFonts w:ascii="Arial" w:cs="Arial" w:eastAsia="Arial" w:hAnsi="Arial"/>
                <w:sz w:val="18"/>
                <w:szCs w:val="18"/>
                <w:color w:val="auto"/>
              </w:rPr>
              <w:t>Unitholder Record Date</w:t>
            </w:r>
          </w:p>
        </w:tc>
        <w:tc>
          <w:tcPr>
            <w:tcW w:w="1900" w:type="dxa"/>
            <w:vAlign w:val="bottom"/>
            <w:vMerge w:val="restart"/>
          </w:tcPr>
          <w:p>
            <w:pPr>
              <w:jc w:val="right"/>
              <w:ind w:right="35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Common Unit</w:t>
            </w:r>
          </w:p>
        </w:tc>
        <w:tc>
          <w:tcPr>
            <w:tcW w:w="1820" w:type="dxa"/>
            <w:vAlign w:val="bottom"/>
            <w:gridSpan w:val="3"/>
            <w:vMerge w:val="continue"/>
          </w:tcPr>
          <w:p>
            <w:pPr>
              <w:spacing w:after="0"/>
              <w:rPr>
                <w:sz w:val="19"/>
                <w:szCs w:val="19"/>
                <w:color w:val="auto"/>
              </w:rPr>
            </w:pPr>
          </w:p>
        </w:tc>
        <w:tc>
          <w:tcPr>
            <w:tcW w:w="2380" w:type="dxa"/>
            <w:vAlign w:val="bottom"/>
            <w:gridSpan w:val="3"/>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Q4 2019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February 7, 2020</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February 21, 2020</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Q1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April 30,</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May 14,</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May 21, 2020</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Q2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to LLC Agreement - Tax Allocation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March 30, 2020, the Partnership, as managing member of the Operating Company, entered into the First Amendment to the Second Amended and Restated Limited Liability Company Agreement of the Operating Company to extend the remaining period of special allocations to Diamondback of the Operating Company’s income and gains over losses and deductions (but before depletion) from two to four years.</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net income (loss) per common unit on the condensed consolidated statements of operations is based on the net income (loss) of the Partnership for the three and nine months ended September 30, 2020 and 2019, since this is the amount of net income (loss) attributable to the Partnership’s common units.</w:t>
      </w:r>
    </w:p>
    <w:p>
      <w:pPr>
        <w:spacing w:after="0" w:line="2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Partnership’s net income (loss) is allocated wholly to the common units, as the General Partner does not have an economic interest. Payments made to the Partnership’s unitholders are determined in relation to the cash distribution policy described in Note 7—Unitholders' Equity and Partnership Distributions.</w:t>
      </w:r>
    </w:p>
    <w:p>
      <w:pPr>
        <w:spacing w:after="0" w:line="20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the period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gain (loss) allocated to participating securities</w:t>
      </w:r>
      <w:r>
        <w:rPr>
          <w:rFonts w:ascii="Arial" w:cs="Arial" w:eastAsia="Arial" w:hAnsi="Arial"/>
          <w:sz w:val="20"/>
          <w:szCs w:val="20"/>
          <w:color w:val="auto"/>
          <w:vertAlign w:val="superscript"/>
        </w:rPr>
        <w:t>(1)</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(loss) attributable to common unitholders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common units outstanding: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Basic weighted average common units outstanding</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46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9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6"/>
              </w:rPr>
              <w:t>Nine Months Ended</w:t>
            </w:r>
          </w:p>
        </w:tc>
      </w:tr>
      <w:tr>
        <w:trPr>
          <w:trHeight w:val="230"/>
        </w:trPr>
        <w:tc>
          <w:tcPr>
            <w:tcW w:w="280" w:type="dxa"/>
            <w:vAlign w:val="bottom"/>
          </w:tcPr>
          <w:p>
            <w:pPr>
              <w:spacing w:after="0"/>
              <w:rPr>
                <w:sz w:val="19"/>
                <w:szCs w:val="19"/>
                <w:color w:val="auto"/>
              </w:rPr>
            </w:pPr>
          </w:p>
        </w:tc>
        <w:tc>
          <w:tcPr>
            <w:tcW w:w="2460" w:type="dxa"/>
            <w:vAlign w:val="bottom"/>
            <w:gridSpan w:val="4"/>
          </w:tcPr>
          <w:p>
            <w:pPr>
              <w:ind w:left="4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19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22"/>
        </w:trPr>
        <w:tc>
          <w:tcPr>
            <w:tcW w:w="280" w:type="dxa"/>
            <w:vAlign w:val="bottom"/>
          </w:tcPr>
          <w:p>
            <w:pPr>
              <w:spacing w:after="0"/>
              <w:rPr>
                <w:sz w:val="19"/>
                <w:szCs w:val="19"/>
                <w:color w:val="auto"/>
              </w:rPr>
            </w:pPr>
          </w:p>
        </w:tc>
        <w:tc>
          <w:tcPr>
            <w:tcW w:w="3780" w:type="dxa"/>
            <w:vAlign w:val="bottom"/>
            <w:gridSpan w:val="7"/>
          </w:tcPr>
          <w:p>
            <w:pPr>
              <w:ind w:left="640"/>
              <w:spacing w:after="0"/>
              <w:rPr>
                <w:sz w:val="20"/>
                <w:szCs w:val="20"/>
                <w:color w:val="auto"/>
              </w:rPr>
            </w:pPr>
            <w:r>
              <w:rPr>
                <w:rFonts w:ascii="Arial" w:cs="Arial" w:eastAsia="Arial" w:hAnsi="Arial"/>
                <w:sz w:val="18"/>
                <w:szCs w:val="18"/>
                <w:b w:val="1"/>
                <w:bCs w:val="1"/>
                <w:color w:val="auto"/>
                <w:w w:val="91"/>
              </w:rPr>
              <w:t>(In thousands, except per unit amounts)</w:t>
            </w:r>
          </w:p>
        </w:tc>
        <w:tc>
          <w:tcPr>
            <w:tcW w:w="820" w:type="dxa"/>
            <w:vAlign w:val="bottom"/>
          </w:tcPr>
          <w:p>
            <w:pPr>
              <w:spacing w:after="0"/>
              <w:rPr>
                <w:sz w:val="19"/>
                <w:szCs w:val="19"/>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7,946</w:t>
            </w: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(164,685)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43,990</w:t>
            </w:r>
          </w:p>
        </w:tc>
      </w:tr>
      <w:tr>
        <w:trPr>
          <w:trHeight w:val="230"/>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196"/>
        </w:trPr>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(766)</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7,919</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(164,711)</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43,900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67,847</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62,645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67,832</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-736600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-445135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-145415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640" w:space="720"/>
            <w:col w:w="48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6360" w:type="dxa"/>
            <w:vAlign w:val="bottom"/>
            <w:shd w:val="clear" w:color="auto" w:fill="CCEEFF"/>
          </w:tcPr>
          <w:p>
            <w:pPr>
              <w:ind w:left="480"/>
              <w:spacing w:after="0" w:line="252"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4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360" w:type="dxa"/>
            <w:vAlign w:val="bottom"/>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67,847</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62,678</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67,832</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60,296</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unit, basic</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 per common unit, 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0.73</w:t>
            </w:r>
          </w:p>
        </w:tc>
      </w:tr>
    </w:tbl>
    <w:p>
      <w:pPr>
        <w:spacing w:after="0" w:line="79"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3" w:lineRule="exact"/>
        <w:rPr>
          <w:rFonts w:ascii="Arial" w:cs="Arial" w:eastAsia="Arial" w:hAnsi="Arial"/>
          <w:sz w:val="18"/>
          <w:szCs w:val="18"/>
          <w:color w:val="auto"/>
        </w:rPr>
      </w:pPr>
    </w:p>
    <w:p>
      <w:pPr>
        <w:ind w:left="340" w:hanging="332"/>
        <w:spacing w:after="0" w:line="255" w:lineRule="auto"/>
        <w:tabs>
          <w:tab w:leader="none" w:pos="271"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2020, no potential common units were included in the computation of diluted earnings per common unit because their inclusion would have been anti-dilutive under the treasury stock method for the periods presented but could potentially dilute basic earnings per common unit in future periods.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Partnership’s effective income tax rates were 0% and (17.1)% for the three months ended September 30, 2020 and 2019, respectively. The Partnership’s effective income tax rate exceeded 100% for the nine months ended September 30, 2020 due to the impact of recording a valuation allowance as discussed further below, and was (32.0)% for the nine months ended September 30, 2019. Total income tax expense for the three and nine months ended September 30, 2020 differed from amounts computed by applying the United States federal statutory tax rate to pre-tax income for the period, primarily due to net income attributable to the non-controlling interest and the impact of recording a valuation allowance on the Partnership’s deferred tax assets.</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Total income tax benefit for the three and nine months ended September 30, 2019 differed from amounts computed by applying the United States federal statutory rate to pre-tax income for the period primarily due to net income attributable to the non-controlling interest and the revision of estimated deferred taxes recognized as a result of the Partnership’s election to be treated as a corporation for U.S. federal income tax purposes effective May 10, 2018.</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For the nine months ended September 30, 2020, the Partnership’s total income tax provision includes a discrete income tax expense of approximately $142.5 million recorded for the three months ended March 31, 2020, related to application of a full valuation allowance on the Partnership’s beginning-of-the-year deferred tax assets, which consist primarily of its investment in the Operating Company and federal net operating loss carryforwards. A valuation allowance was also applied against the year-to-date tax benefit resulting from the pre-tax loss attributable to the Partnership. The determination to record a valuation allowance as of March 31, 2020 was based on its assessment of all available evidence, both positive and negative, supporting realizability of the Partnership’s deferred tax assets, as required by applicable financial accounting standards. In light of those criteria for recognizing the tax benefit of deferred tax assets, the Partnership’s assessment resulted in application of a full valuation allowance against its deferred tax assets as of March 31, 2020, June 30, 2020 and September 30, 2020.</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nine months ended September 30, 2019, the Partnership recorded a discrete income tax benefit of approximately $42.4 million related to the revision of estimated deferred taxes on the Partnership’s investment in the Operating Company arising from the change in the Partnership’s federal tax status. Under federal income tax provisions applicable to the Partnership’s change in tax status, the Partnership’s basis for federal income tax purposes in its interest in the Operating Company consisted primarily of the sum of the Partnership’s unitholders’ tax basis in their interests in the Partnership on the date of the tax status change. The Partnership prepared its best estimate of the resultant tax basis in the Operating Company for purposes of the Partnership’s income tax provision for the period of the change, but information necessary for the partnership to finalize its determination was not available until unitholders’ tax basis information was fully reported and the Partnership finalized its federal income tax computations for 2018. Based on information available, the Partnership revised its estimate of the difference between its tax basis and its basis for financial accounting purposes in the Operating Company on the date of the tax status change, resulting in deferred income tax benefit of $42.4 million included in the Partnership’s income tax provision for the nine months ended September 30, 2019.</w:t>
      </w:r>
    </w:p>
    <w:p>
      <w:pPr>
        <w:spacing w:after="0" w:line="21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Coronavirus Aid, Relief, and Economic Security Act (“CARES Act”) was enacted on March 27, 2020. This legislation included a number of provisions applicable to U.S. income taxes for corporations, including providing for carryback of certain net operating losses, accelerated refund of minimum tax credits, and modifications to the rules limiting the deductibility of business interest expense. The Partnership has considered the impact of this legislation in the period of enactment and concluded there was not a material impact to the Partnership’s current or deferred income tax balances.</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 uses fixed price swap contracts, fixed price basis swap contracts and costless collars with corresponding put and call options to reduce price volatility associated with certain of its royalty income. With respect to the Partnership’s fixed price swap contracts and fixed price basis swap contracts, the counterparty is required to make a payment to the Partnership if the settlement price for any settlement period is less than the swap or basis price, and the Partnership is required to make a payment to the counterparty if the settlement price for any settlement period is greater than the swap or basis price. The Partnership has fixed price basis swaps for the spread between the Cushing crude oil price and the Midland crude oil price as well as the spread between the Henry Hub natural gas price and the Waha Hub natural gas price.</w:t>
      </w:r>
    </w:p>
    <w:p>
      <w:pPr>
        <w:spacing w:after="0" w:line="20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17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crude oil derivative settlements based on New York Mercantile Exchange West Texas Intermediate pricing (Cushing and Midland-Cushing) and with natural gas derivative settlements based on the New York Mercantile Exchange Henry Hub and Waha Hub pricing.</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guarantor subsidiaries; therefore, the Partnership is not required to post any collateral. The Partnership’s counterparties have been determined to have an acceptable credit risk; therefore, the Partnership does not require collateral from its counterparties.</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of September 30, 2020, the Partnership had the following outstanding derivative contracts. When aggregating multiple contracts, the weighted average contract price is disclosed.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360" w:type="dxa"/>
            <w:vAlign w:val="bottom"/>
            <w:gridSpan w:val="3"/>
          </w:tcPr>
          <w:p>
            <w:pPr>
              <w:ind w:left="880"/>
              <w:spacing w:after="0"/>
              <w:rPr>
                <w:sz w:val="20"/>
                <w:szCs w:val="20"/>
                <w:color w:val="auto"/>
              </w:rPr>
            </w:pPr>
            <w:r>
              <w:rPr>
                <w:rFonts w:ascii="Arial" w:cs="Arial" w:eastAsia="Arial" w:hAnsi="Arial"/>
                <w:sz w:val="18"/>
                <w:szCs w:val="18"/>
                <w:b w:val="1"/>
                <w:bCs w:val="1"/>
                <w:color w:val="auto"/>
              </w:rPr>
              <w:t>Swaps</w:t>
            </w:r>
          </w:p>
        </w:tc>
        <w:tc>
          <w:tcPr>
            <w:tcW w:w="2200" w:type="dxa"/>
            <w:vAlign w:val="bottom"/>
            <w:gridSpan w:val="3"/>
          </w:tcPr>
          <w:p>
            <w:pPr>
              <w:ind w:left="780"/>
              <w:spacing w:after="0"/>
              <w:rPr>
                <w:sz w:val="20"/>
                <w:szCs w:val="20"/>
                <w:color w:val="auto"/>
              </w:rPr>
            </w:pPr>
            <w:r>
              <w:rPr>
                <w:rFonts w:ascii="Arial" w:cs="Arial" w:eastAsia="Arial" w:hAnsi="Arial"/>
                <w:sz w:val="18"/>
                <w:szCs w:val="18"/>
                <w:b w:val="1"/>
                <w:bCs w:val="1"/>
                <w:color w:val="auto"/>
              </w:rPr>
              <w:t>Collars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Calls</w:t>
            </w:r>
          </w:p>
        </w:tc>
        <w:tc>
          <w:tcPr>
            <w:tcW w:w="0" w:type="dxa"/>
            <w:vAlign w:val="bottom"/>
          </w:tcPr>
          <w:p>
            <w:pPr>
              <w:spacing w:after="0"/>
              <w:rPr>
                <w:sz w:val="1"/>
                <w:szCs w:val="1"/>
                <w:color w:val="auto"/>
              </w:rPr>
            </w:pPr>
          </w:p>
        </w:tc>
      </w:tr>
      <w:tr>
        <w:trPr>
          <w:trHeight w:val="169"/>
        </w:trPr>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Settlement</w:t>
            </w: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Settlement</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Type of</w:t>
            </w:r>
          </w:p>
        </w:tc>
        <w:tc>
          <w:tcPr>
            <w:tcW w:w="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Bbls/Mcf</w:t>
            </w:r>
          </w:p>
        </w:tc>
        <w:tc>
          <w:tcPr>
            <w:tcW w:w="1300" w:type="dxa"/>
            <w:vAlign w:val="bottom"/>
          </w:tcPr>
          <w:p>
            <w:pPr>
              <w:spacing w:after="0"/>
              <w:rPr>
                <w:sz w:val="14"/>
                <w:szCs w:val="14"/>
                <w:color w:val="auto"/>
              </w:rPr>
            </w:pPr>
          </w:p>
        </w:tc>
        <w:tc>
          <w:tcPr>
            <w:tcW w:w="11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11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Weighted</w:t>
            </w:r>
          </w:p>
        </w:tc>
        <w:tc>
          <w:tcPr>
            <w:tcW w:w="11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4"/>
                <w:szCs w:val="14"/>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Strike</w:t>
            </w:r>
          </w:p>
        </w:tc>
        <w:tc>
          <w:tcPr>
            <w:tcW w:w="0" w:type="dxa"/>
            <w:vAlign w:val="bottom"/>
          </w:tcPr>
          <w:p>
            <w:pPr>
              <w:spacing w:after="0"/>
              <w:rPr>
                <w:sz w:val="1"/>
                <w:szCs w:val="1"/>
                <w:color w:val="auto"/>
              </w:rPr>
            </w:pPr>
          </w:p>
        </w:tc>
      </w:tr>
      <w:tr>
        <w:trPr>
          <w:trHeight w:val="175"/>
        </w:trPr>
        <w:tc>
          <w:tcPr>
            <w:tcW w:w="13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Index</w:t>
            </w:r>
          </w:p>
        </w:tc>
        <w:tc>
          <w:tcPr>
            <w:tcW w:w="1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118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118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87"/>
              </w:rPr>
              <w:t>Average</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Month</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Contract</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Per Day</w:t>
            </w:r>
          </w:p>
        </w:tc>
        <w:tc>
          <w:tcPr>
            <w:tcW w:w="1300" w:type="dxa"/>
            <w:vAlign w:val="bottom"/>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Differential</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Fixed Price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Floor Price</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Ceiling Price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23"/>
        </w:trPr>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OIL</w:t>
            </w:r>
          </w:p>
        </w:tc>
        <w:tc>
          <w:tcPr>
            <w:tcW w:w="1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WTI Cushing</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$27.45</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Basis Swaps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13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91"/>
              </w:rPr>
              <w:t>WTI Cushing</w:t>
            </w:r>
            <w:r>
              <w:rPr>
                <w:rFonts w:ascii="Arial" w:cs="Arial" w:eastAsia="Arial" w:hAnsi="Arial"/>
                <w:sz w:val="23"/>
                <w:szCs w:val="23"/>
                <w:color w:val="auto"/>
                <w:w w:val="91"/>
                <w:vertAlign w:val="superscript"/>
              </w:rPr>
              <w:t>(2)</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$(2.60)</w:t>
            </w:r>
          </w:p>
        </w:tc>
        <w:tc>
          <w:tcPr>
            <w:tcW w:w="11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2"/>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Collars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14,000</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WTI Cushing</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$28.86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$32.33</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WTI Cushing</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140" w:type="dxa"/>
            <w:vAlign w:val="bottom"/>
          </w:tcPr>
          <w:p>
            <w:pPr>
              <w:jc w:val="center"/>
              <w:spacing w:after="0" w:line="230" w:lineRule="exact"/>
              <w:rPr>
                <w:sz w:val="20"/>
                <w:szCs w:val="20"/>
                <w:color w:val="auto"/>
              </w:rPr>
            </w:pPr>
            <w:r>
              <w:rPr>
                <w:rFonts w:ascii="Arial" w:cs="Arial" w:eastAsia="Arial" w:hAnsi="Arial"/>
                <w:sz w:val="18"/>
                <w:szCs w:val="18"/>
                <w:color w:val="auto"/>
                <w:w w:val="85"/>
              </w:rPr>
              <w:t>Calls</w:t>
            </w:r>
            <w:r>
              <w:rPr>
                <w:rFonts w:ascii="Arial" w:cs="Arial" w:eastAsia="Arial" w:hAnsi="Arial"/>
                <w:sz w:val="23"/>
                <w:szCs w:val="23"/>
                <w:color w:val="auto"/>
                <w:w w:val="85"/>
                <w:vertAlign w:val="superscript"/>
              </w:rPr>
              <w:t>(1)</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WTI Cushing</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$45.00</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8"/>
              </w:rPr>
              <w:t>NATURAL</w:t>
            </w:r>
          </w:p>
        </w:tc>
        <w:tc>
          <w:tcPr>
            <w:tcW w:w="1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GAS</w:t>
            </w:r>
          </w:p>
        </w:tc>
        <w:tc>
          <w:tcPr>
            <w:tcW w:w="1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30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Basis Swaps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25,000</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Waha Hub</w:t>
            </w:r>
            <w:r>
              <w:rPr>
                <w:rFonts w:ascii="Arial" w:cs="Arial" w:eastAsia="Arial" w:hAnsi="Arial"/>
                <w:sz w:val="23"/>
                <w:szCs w:val="23"/>
                <w:color w:val="auto"/>
                <w:w w:val="86"/>
                <w:vertAlign w:val="superscript"/>
              </w:rPr>
              <w:t>(2)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$(2.07)</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 deferred premium at a weighted-average price of $1.89/Bbl and a strike price of $45.00/Bbl.</w:t>
      </w:r>
    </w:p>
    <w:p>
      <w:pPr>
        <w:spacing w:after="0" w:line="23" w:lineRule="exact"/>
        <w:rPr>
          <w:rFonts w:ascii="Arial" w:cs="Arial" w:eastAsia="Arial" w:hAnsi="Arial"/>
          <w:sz w:val="18"/>
          <w:szCs w:val="18"/>
          <w:color w:val="auto"/>
        </w:rPr>
      </w:pPr>
    </w:p>
    <w:p>
      <w:pPr>
        <w:jc w:val="both"/>
        <w:ind w:firstLine="8"/>
        <w:spacing w:after="0" w:line="277" w:lineRule="auto"/>
        <w:tabs>
          <w:tab w:leader="none" w:pos="26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Partnership has fixed price basis swaps for the spread between the Cushing crude oil price and the Midland crude oil price as well as the spread between the Henry Hub natural gas price and the Waha Hub natural gas price. The weighted average differential represents the amount of reduction to Cushing, Oklahoma, oil price and the Waha Hub natural gas price for the notional volumes covered by the basis swap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fair value of swaps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11—Fair Value Measurements for further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gains and losses on derivative instruments included in the condensed consolidated statements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840" w:type="dxa"/>
            <w:vAlign w:val="bottom"/>
            <w:gridSpan w:val="5"/>
          </w:tcPr>
          <w:p>
            <w:pPr>
              <w:ind w:left="80"/>
              <w:spacing w:after="0"/>
              <w:rPr>
                <w:sz w:val="20"/>
                <w:szCs w:val="20"/>
                <w:color w:val="auto"/>
              </w:rPr>
            </w:pPr>
            <w:r>
              <w:rPr>
                <w:rFonts w:ascii="Arial" w:cs="Arial" w:eastAsia="Arial" w:hAnsi="Arial"/>
                <w:sz w:val="18"/>
                <w:szCs w:val="18"/>
                <w:b w:val="1"/>
                <w:bCs w:val="1"/>
                <w:color w:val="auto"/>
                <w:w w:val="99"/>
              </w:rPr>
              <w:t>Three Months Ended September</w:t>
            </w:r>
          </w:p>
        </w:tc>
        <w:tc>
          <w:tcPr>
            <w:tcW w:w="28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30, 2020</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w w:val="91"/>
              </w:rPr>
              <w:t>(In thousands)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Net cash payments on derivatives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(16,164)</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4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assets and liabilities are reported at fair value on a recurring basis, including the Partnership’s derivative instruments and investment. The Partnership measures its investment utilizing the fair value option, and as such the investment is classified as Level 1 in the fair value hierarchy, and is included in other assets on the condensed consolidated balance sheets.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firstLine="8"/>
        <w:spacing w:after="0" w:line="255"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in the Partnership’s condensed consolidated balance sheets as of September 30, 2020 and December 31, 2019. The net amounts are classified as current or noncurrent based on their anticipated settlement dates.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center"/>
              <w:ind w:right="570"/>
              <w:spacing w:after="0"/>
              <w:rPr>
                <w:sz w:val="20"/>
                <w:szCs w:val="20"/>
                <w:color w:val="auto"/>
              </w:rPr>
            </w:pPr>
            <w:r>
              <w:rPr>
                <w:rFonts w:ascii="Arial" w:cs="Arial" w:eastAsia="Arial" w:hAnsi="Arial"/>
                <w:sz w:val="18"/>
                <w:szCs w:val="18"/>
                <w:b w:val="1"/>
                <w:bCs w:val="1"/>
                <w:color w:val="auto"/>
                <w:w w:val="88"/>
              </w:rPr>
              <w:t>As of September 30, 2020</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Total Gross</w:t>
            </w:r>
          </w:p>
        </w:tc>
        <w:tc>
          <w:tcPr>
            <w:tcW w:w="160" w:type="dxa"/>
            <w:vAlign w:val="bottom"/>
          </w:tcPr>
          <w:p>
            <w:pPr>
              <w:spacing w:after="0"/>
              <w:rPr>
                <w:sz w:val="14"/>
                <w:szCs w:val="14"/>
                <w:color w:val="auto"/>
              </w:rPr>
            </w:pPr>
          </w:p>
        </w:tc>
        <w:tc>
          <w:tcPr>
            <w:tcW w:w="134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87"/>
              </w:rPr>
              <w:t>Gross Amounts</w:t>
            </w:r>
          </w:p>
        </w:tc>
        <w:tc>
          <w:tcPr>
            <w:tcW w:w="200" w:type="dxa"/>
            <w:vAlign w:val="bottom"/>
          </w:tcPr>
          <w:p>
            <w:pPr>
              <w:spacing w:after="0"/>
              <w:rPr>
                <w:sz w:val="14"/>
                <w:szCs w:val="14"/>
                <w:color w:val="auto"/>
              </w:rPr>
            </w:pPr>
          </w:p>
        </w:tc>
        <w:tc>
          <w:tcPr>
            <w:tcW w:w="13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3"/>
              </w:rPr>
              <w:t>Net Fair Value</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8"/>
              </w:rPr>
              <w:t>Level 1</w:t>
            </w: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4"/>
              </w:rPr>
              <w:t>Level 2</w:t>
            </w:r>
          </w:p>
        </w:tc>
        <w:tc>
          <w:tcPr>
            <w:tcW w:w="220" w:type="dxa"/>
            <w:vAlign w:val="bottom"/>
          </w:tcPr>
          <w:p>
            <w:pPr>
              <w:spacing w:after="0"/>
              <w:rPr>
                <w:sz w:val="15"/>
                <w:szCs w:val="15"/>
                <w:color w:val="auto"/>
              </w:rPr>
            </w:pPr>
          </w:p>
        </w:tc>
        <w:tc>
          <w:tcPr>
            <w:tcW w:w="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Level 3</w:t>
            </w:r>
          </w:p>
        </w:tc>
        <w:tc>
          <w:tcPr>
            <w:tcW w:w="1060" w:type="dxa"/>
            <w:vAlign w:val="bottom"/>
            <w:vMerge w:val="continue"/>
          </w:tcPr>
          <w:p>
            <w:pPr>
              <w:spacing w:after="0"/>
              <w:rPr>
                <w:sz w:val="15"/>
                <w:szCs w:val="15"/>
                <w:color w:val="auto"/>
              </w:rPr>
            </w:pPr>
          </w:p>
        </w:tc>
        <w:tc>
          <w:tcPr>
            <w:tcW w:w="15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Offset in Balance</w:t>
            </w:r>
          </w:p>
        </w:tc>
        <w:tc>
          <w:tcPr>
            <w:tcW w:w="20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Presented in</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Sheet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Balance Sheet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30"/>
        </w:trPr>
        <w:tc>
          <w:tcPr>
            <w:tcW w:w="3940" w:type="dxa"/>
            <w:vAlign w:val="bottom"/>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2,347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2,347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23,263</w:t>
            </w: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580"/>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center"/>
              <w:ind w:right="550"/>
              <w:spacing w:after="0"/>
              <w:rPr>
                <w:sz w:val="20"/>
                <w:szCs w:val="20"/>
                <w:color w:val="auto"/>
              </w:rPr>
            </w:pPr>
            <w:r>
              <w:rPr>
                <w:rFonts w:ascii="Arial" w:cs="Arial" w:eastAsia="Arial" w:hAnsi="Arial"/>
                <w:sz w:val="18"/>
                <w:szCs w:val="18"/>
                <w:b w:val="1"/>
                <w:bCs w:val="1"/>
                <w:color w:val="auto"/>
                <w:w w:val="88"/>
              </w:rPr>
              <w:t>As of December 31, 2019</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Total Gross</w:t>
            </w:r>
          </w:p>
        </w:tc>
        <w:tc>
          <w:tcPr>
            <w:tcW w:w="160" w:type="dxa"/>
            <w:vAlign w:val="bottom"/>
          </w:tcPr>
          <w:p>
            <w:pPr>
              <w:spacing w:after="0"/>
              <w:rPr>
                <w:sz w:val="14"/>
                <w:szCs w:val="14"/>
                <w:color w:val="auto"/>
              </w:rPr>
            </w:pPr>
          </w:p>
        </w:tc>
        <w:tc>
          <w:tcPr>
            <w:tcW w:w="134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200" w:type="dxa"/>
            <w:vAlign w:val="bottom"/>
          </w:tcPr>
          <w:p>
            <w:pPr>
              <w:spacing w:after="0"/>
              <w:rPr>
                <w:sz w:val="14"/>
                <w:szCs w:val="14"/>
                <w:color w:val="auto"/>
              </w:rPr>
            </w:pPr>
          </w:p>
        </w:tc>
        <w:tc>
          <w:tcPr>
            <w:tcW w:w="13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3"/>
              </w:rPr>
              <w:t>Net Fair Value</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8"/>
              </w:rPr>
              <w:t>Level 1</w:t>
            </w: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8"/>
              </w:rPr>
              <w:t>Level 2</w:t>
            </w:r>
          </w:p>
        </w:tc>
        <w:tc>
          <w:tcPr>
            <w:tcW w:w="220" w:type="dxa"/>
            <w:vAlign w:val="bottom"/>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Level 3</w:t>
            </w:r>
          </w:p>
        </w:tc>
        <w:tc>
          <w:tcPr>
            <w:tcW w:w="1060" w:type="dxa"/>
            <w:vAlign w:val="bottom"/>
            <w:vMerge w:val="continue"/>
          </w:tcPr>
          <w:p>
            <w:pPr>
              <w:spacing w:after="0"/>
              <w:rPr>
                <w:sz w:val="15"/>
                <w:szCs w:val="15"/>
                <w:color w:val="auto"/>
              </w:rPr>
            </w:pPr>
          </w:p>
        </w:tc>
        <w:tc>
          <w:tcPr>
            <w:tcW w:w="15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Offset in Balance</w:t>
            </w:r>
          </w:p>
        </w:tc>
        <w:tc>
          <w:tcPr>
            <w:tcW w:w="20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Presented in</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Sheet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Balance Sheet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did not have any derivatives prior to February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Arial" w:cs="Arial" w:eastAsia="Arial" w:hAnsi="Arial"/>
                <w:sz w:val="18"/>
                <w:szCs w:val="18"/>
                <w:b w:val="1"/>
                <w:bCs w:val="1"/>
                <w:color w:val="auto"/>
              </w:rPr>
              <w:t>September 30, 2020</w:t>
            </w:r>
          </w:p>
        </w:tc>
        <w:tc>
          <w:tcPr>
            <w:tcW w:w="160" w:type="dxa"/>
            <w:vAlign w:val="bottom"/>
          </w:tcPr>
          <w:p>
            <w:pPr>
              <w:spacing w:after="0"/>
              <w:rPr>
                <w:sz w:val="20"/>
                <w:szCs w:val="20"/>
                <w:color w:val="auto"/>
              </w:rPr>
            </w:pPr>
          </w:p>
        </w:tc>
        <w:tc>
          <w:tcPr>
            <w:tcW w:w="32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4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126,500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126,500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96,500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96,500</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471,380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490,274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521,100</w:t>
            </w:r>
          </w:p>
        </w:tc>
      </w:tr>
    </w:tbl>
    <w:p>
      <w:pPr>
        <w:spacing w:after="0" w:line="8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carrying value includes associated deferred loan costs and any discount.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September 30, 2020 quoted market price, a Level 1 classification 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has other financial instruments consisting of cash and cash equivalents, royalty income receivable, other current assets, accounts payable and accrued liabilities. The carrying value of these instruments approximate their fair value because of the short-term nature of the instruments.</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6"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including those that arise from interpretation of federal and state laws and regulations affecting the crude oil and natural gas industry. These proceedings, disputes and claims may include differing interpretations as to the prices at which crude oil and natural gas sales may be made, the prices at which royalty owners may be paid for production from their leases, title claims, environmental issues and other matters.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October 28, 2020, the board of directors of the General Partner approved a cash distribution for the third quarter of 2020 of $0.10 per common unit, payable on November 19, 2020, to eligible unitholders of record at the close of business on November 12,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43">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2019.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37">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4">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publicly traded Delaware limited partnership formed by Diamondback on February 27, 2014. We are currently focused on owning and acquiring mineral interests and royalty interests in oil and natural gas properties in the Permian Basin and the Eagle Ford Shale. We operate in one reportable segment. Since May 10, 2018, we have been treated as a corporation for U.S. federal income tax purposes.</w:t>
      </w:r>
    </w:p>
    <w:p>
      <w:pPr>
        <w:spacing w:after="0" w:line="211"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2020, our general partner held a 100% general partner interest in us, and Diamondback owned 731,500 of our common units and beneficially owned all of our 90,709,946 outstanding Class B units, representing approximately 58% of our total units outstanding. Diamondback also owns and controls our general partner.</w:t>
      </w:r>
    </w:p>
    <w:p>
      <w:pPr>
        <w:spacing w:after="0" w:line="207"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COVID-19 and Collapse in Commodity Prices</w:t>
      </w:r>
    </w:p>
    <w:p>
      <w:pPr>
        <w:spacing w:after="0" w:line="252" w:lineRule="exact"/>
        <w:rPr>
          <w:rFonts w:ascii="Arial" w:cs="Arial" w:eastAsia="Arial" w:hAnsi="Arial"/>
          <w:sz w:val="17"/>
          <w:szCs w:val="17"/>
          <w:i w:val="1"/>
          <w:iCs w:val="1"/>
          <w:color w:val="auto"/>
        </w:rPr>
      </w:pPr>
    </w:p>
    <w:p>
      <w:pPr>
        <w:jc w:val="both"/>
        <w:ind w:firstLine="648"/>
        <w:spacing w:after="0" w:line="257" w:lineRule="auto"/>
        <w:rPr>
          <w:sz w:val="20"/>
          <w:szCs w:val="20"/>
          <w:color w:val="auto"/>
        </w:rPr>
      </w:pPr>
      <w:r>
        <w:rPr>
          <w:rFonts w:ascii="Arial" w:cs="Arial" w:eastAsia="Arial" w:hAnsi="Arial"/>
          <w:sz w:val="17"/>
          <w:szCs w:val="17"/>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Although many stay-at-home orders have expired and certain restrictions on conducting business have been lifted, the COVID-19 pandemic resulted in a widespread health crisis and a swift and unprecedented reduction in international and U.S. economic activity which, in turn, has adversely affected the demand for oil and natural gas and caused significant volatility and disruption of the financial markets.</w:t>
      </w:r>
    </w:p>
    <w:p>
      <w:pPr>
        <w:spacing w:after="0" w:line="202" w:lineRule="exact"/>
        <w:rPr>
          <w:rFonts w:ascii="Arial" w:cs="Arial" w:eastAsia="Arial" w:hAnsi="Arial"/>
          <w:sz w:val="17"/>
          <w:szCs w:val="17"/>
          <w:i w:val="1"/>
          <w:iCs w:val="1"/>
          <w:color w:val="auto"/>
        </w:rPr>
      </w:pPr>
    </w:p>
    <w:p>
      <w:pPr>
        <w:jc w:val="both"/>
        <w:ind w:firstLine="648"/>
        <w:spacing w:after="0" w:line="257" w:lineRule="auto"/>
        <w:rPr>
          <w:sz w:val="20"/>
          <w:szCs w:val="20"/>
          <w:color w:val="auto"/>
        </w:rPr>
      </w:pPr>
      <w:r>
        <w:rPr>
          <w:rFonts w:ascii="Arial" w:cs="Arial" w:eastAsia="Arial" w:hAnsi="Arial"/>
          <w:sz w:val="17"/>
          <w:szCs w:val="17"/>
          <w:color w:val="auto"/>
        </w:rPr>
        <w:t>In early March 2020, oil prices dropped sharply and continued to decline reaching negative levels. This was a result of multiple factors affecting the supply and demand in global oil and natural gas markets, including actions taken by OPEC members and other exporting nations impacting commodity price and production levels and a significant decrease in demand due to the ongoing COVID-19 pandemic. While OPEC members and certain other nations agreed in April 2020 to cut production, which helped to reduce a portion of the excess supply in the market and improve oil prices, there is no assurance that this agreement will continue or be observed by its parties, and downward pressure on commodity prices has continued and could continue for the foreseeable future. We cannot predict if or when commodity prices will stabilize and at what levels.</w:t>
      </w:r>
    </w:p>
    <w:p>
      <w:pPr>
        <w:spacing w:after="0" w:line="202" w:lineRule="exact"/>
        <w:rPr>
          <w:rFonts w:ascii="Arial" w:cs="Arial" w:eastAsia="Arial" w:hAnsi="Arial"/>
          <w:sz w:val="17"/>
          <w:szCs w:val="17"/>
          <w:i w:val="1"/>
          <w:iCs w:val="1"/>
          <w:color w:val="auto"/>
        </w:rPr>
      </w:pPr>
    </w:p>
    <w:p>
      <w:pPr>
        <w:jc w:val="both"/>
        <w:ind w:firstLine="648"/>
        <w:spacing w:after="0"/>
        <w:rPr>
          <w:sz w:val="20"/>
          <w:szCs w:val="20"/>
          <w:color w:val="auto"/>
        </w:rPr>
      </w:pPr>
      <w:r>
        <w:rPr>
          <w:rFonts w:ascii="Arial" w:cs="Arial" w:eastAsia="Arial" w:hAnsi="Arial"/>
          <w:sz w:val="18"/>
          <w:szCs w:val="18"/>
          <w:color w:val="auto"/>
        </w:rPr>
        <w:t>As a result of the reduction in crude oil demand caused by factors discussed above, Diamondback and other operators on properties in which we have mineral and royalty interests lowered their 2020 capital budgets and production guidance, curtailed near term production and reduced their rig count, all of which may be subject to further reductions or curtailments if the commodity markets and macroeconomic conditions do not improve or worsen. Although Diamondback and certain of our other operators have recently moved to restore curtailed production, actions taken by our operators in response to the COVID-19 pandemic and depressed commodity pricing environment have had and are expected to continue to have an adverse effect on our business, financial results and cash flows.</w:t>
      </w:r>
    </w:p>
    <w:p>
      <w:pPr>
        <w:spacing w:after="0" w:line="216" w:lineRule="exact"/>
        <w:rPr>
          <w:rFonts w:ascii="Arial" w:cs="Arial" w:eastAsia="Arial" w:hAnsi="Arial"/>
          <w:sz w:val="17"/>
          <w:szCs w:val="17"/>
          <w:i w:val="1"/>
          <w:iCs w:val="1"/>
          <w:color w:val="auto"/>
        </w:rPr>
      </w:pPr>
    </w:p>
    <w:p>
      <w:pPr>
        <w:jc w:val="both"/>
        <w:ind w:firstLine="648"/>
        <w:spacing w:after="0" w:line="262" w:lineRule="auto"/>
        <w:rPr>
          <w:sz w:val="20"/>
          <w:szCs w:val="20"/>
          <w:color w:val="auto"/>
        </w:rPr>
      </w:pPr>
      <w:r>
        <w:rPr>
          <w:rFonts w:ascii="Arial" w:cs="Arial" w:eastAsia="Arial" w:hAnsi="Arial"/>
          <w:sz w:val="17"/>
          <w:szCs w:val="17"/>
          <w:color w:val="auto"/>
        </w:rPr>
        <w:t>Based on the results of the quarterly ceiling test, we were not required to record an impairment on our proved oil and natural gas interests for the quarter ended September 30, 2020. If commodity prices fall below current levels, we may be required to record impairments in future periods and such impairments could be material. Further, if commodity prices fail to stabilize or decrease further, our production, proved reserves and cash flows will be adversely impacted. Our business may be also further adversely impacted by any pipeline capacity and storage constraints.</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396"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Given the dynamic nature of the events described above, we cannot reasonably estimate the period of time that the ongoing COVID-19 pandemic, the depressed commodity prices, the reduced demand for oil and the adverse macroeconomic will persist, the full extent of the impact they will have on our industry and our business, financial condition or cash flows, or the pace or extent of any subsequent recovery.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 Update</w:t>
      </w:r>
    </w:p>
    <w:p>
      <w:pPr>
        <w:spacing w:after="0" w:line="22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did not complete any acquisitions during the third quarter of 2020 and divested an insignificant amount of acreage, leaving our footprint of mineral and royalty interests at a total of 24,696 royalty acres at September 30,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 Update</w:t>
      </w:r>
    </w:p>
    <w:p>
      <w:pPr>
        <w:spacing w:after="0" w:line="252" w:lineRule="exact"/>
        <w:rPr>
          <w:sz w:val="20"/>
          <w:szCs w:val="20"/>
          <w:color w:val="auto"/>
        </w:rPr>
      </w:pPr>
    </w:p>
    <w:p>
      <w:pPr>
        <w:jc w:val="both"/>
        <w:ind w:left="40" w:firstLine="608"/>
        <w:spacing w:after="0" w:line="276" w:lineRule="auto"/>
        <w:rPr>
          <w:sz w:val="20"/>
          <w:szCs w:val="20"/>
          <w:color w:val="auto"/>
        </w:rPr>
      </w:pPr>
      <w:r>
        <w:rPr>
          <w:rFonts w:ascii="Arial" w:cs="Arial" w:eastAsia="Arial" w:hAnsi="Arial"/>
          <w:sz w:val="16"/>
          <w:szCs w:val="16"/>
          <w:color w:val="auto"/>
        </w:rPr>
        <w:t>On October 28, 2020, the board of directors of our general partner declared a cash distribution for the three months ended September 30, 2020 of $0.10 per common unit, increasing our distribution for the third quarter of 2020 to 50% of cash available for distribution, up from 25% in the second quarter of 2020. The distribution is payable on November 19, 2020 to eligible common unitholders of record at the close of business on November 12, 2020. With net debt decreasing in the third quarter of 2020 from peak levels due to strong free cash flow generation, as well as an improved forward outlook for production, realized pricing and free cash flow yield, driven primarily by Diamondback’s anticipated development plan and benefiting from our hedging arrangements rolling off in 2021, we expect to continue to increase our return on capital to unitholders in future quarters.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We produced a strong third quarter of 2020, reflecting a 10% increase in oil production quarter over quarter as commodity prices improved from historic lows witnessed in the first half of 2020 and many of our operators returned previously curtailed production to market and resumed completion activity on our mineral and royalty acreage. As a result, during the third quarter of 2020, we estimate that 108 gross (4.7 net 100% royalty interest) horizontal wells, in which we have an average royalty interest of 4.3% were turned to production on our existing acreage position with an average lateral length of 10,022 feet. Of these 108 gross wells, Diamondback is the operator of 38, in which we have an average royalty interest of 9.9%, and the remaining 70 gross wells, in which we have an average royalty interest of 1.3%, are operated by third parties. With production already within the high end of our previously guided range, we expect that we will exit 2020 with a strong production rate, positioning us well to deliver robust free cash flow in 2021.</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Despite the ongoing challenging commodity pricing environment, there continues to be active development across our asset base, as there are currently 21 gross rigs operating on our mineral and royalty acreage, four of which are operated by Diamondback. Although visibility into third-party operators’ anticipated activity levels has increased in recent months, it remains limited and near-term activity is expected to be driven primarily by Diamondback operations. Diamondback brought back three completion crews during the third quarter of 2020 and resumed completion activity in areas where we have a significant mineral and royalty interest. Diamondback has announce that its’ forward plan will continue to focus on areas where we have a high royalty interest, showcasing the differentiated relationship between the two companies as we navigate this severe industry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660"/>
              <w:spacing w:after="0"/>
              <w:rPr>
                <w:sz w:val="20"/>
                <w:szCs w:val="20"/>
                <w:color w:val="auto"/>
              </w:rPr>
            </w:pPr>
            <w:r>
              <w:rPr>
                <w:rFonts w:ascii="Arial" w:cs="Arial" w:eastAsia="Arial" w:hAnsi="Arial"/>
                <w:sz w:val="18"/>
                <w:szCs w:val="18"/>
                <w:color w:val="auto"/>
                <w:w w:val="95"/>
              </w:rPr>
              <w:t>The following table summarizes our gross well information as of October 14, 2020:</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4"/>
                <w:szCs w:val="24"/>
                <w:color w:val="auto"/>
              </w:rPr>
            </w:pPr>
          </w:p>
        </w:tc>
        <w:tc>
          <w:tcPr>
            <w:tcW w:w="3200" w:type="dxa"/>
            <w:vAlign w:val="bottom"/>
            <w:tcBorders>
              <w:bottom w:val="single" w:sz="8" w:color="auto"/>
            </w:tcBorders>
            <w:gridSpan w:val="4"/>
          </w:tcPr>
          <w:p>
            <w:pPr>
              <w:ind w:left="1280"/>
              <w:spacing w:after="0"/>
              <w:rPr>
                <w:sz w:val="20"/>
                <w:szCs w:val="20"/>
                <w:color w:val="auto"/>
              </w:rPr>
            </w:pPr>
            <w:r>
              <w:rPr>
                <w:rFonts w:ascii="Arial" w:cs="Arial" w:eastAsia="Arial" w:hAnsi="Arial"/>
                <w:sz w:val="18"/>
                <w:szCs w:val="18"/>
                <w:b w:val="1"/>
                <w:bCs w:val="1"/>
                <w:color w:val="auto"/>
                <w:w w:val="97"/>
              </w:rPr>
              <w:t>As of October 14, 2020</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166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9"/>
              </w:rPr>
              <w:t>Diamondback</w:t>
            </w:r>
          </w:p>
        </w:tc>
        <w:tc>
          <w:tcPr>
            <w:tcW w:w="154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8"/>
              </w:rPr>
              <w:t>Third Party</w:t>
            </w: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Operated</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Operated</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Horizontal wells turned to production:</w:t>
            </w: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9.9 %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Horizontal producing well count:</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Horizontal active development well count</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Line of sight wells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
        <w:spacing w:after="0" w:line="24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486 gross wells currently in the process of active development are those wells that have been spud and are expected to be turned to production within approximately the next six to eight months.</w:t>
      </w:r>
    </w:p>
    <w:p>
      <w:pPr>
        <w:jc w:val="both"/>
        <w:ind w:firstLine="8"/>
        <w:spacing w:after="0" w:line="238"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431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current depressed oil prices.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revenue and expenses and production data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w:t>
            </w:r>
          </w:p>
        </w:tc>
        <w:tc>
          <w:tcPr>
            <w:tcW w:w="27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ind w:left="58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Results: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71,080</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171,857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201,950</w:t>
            </w: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Arial" w:cs="Arial" w:eastAsia="Arial" w:hAnsi="Arial"/>
                <w:sz w:val="18"/>
                <w:szCs w:val="18"/>
                <w:color w:val="auto"/>
              </w:rPr>
              <w:t>Lease bonus income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1,685</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income</w:t>
            </w:r>
          </w:p>
        </w:tc>
        <w:tc>
          <w:tcPr>
            <w:tcW w:w="5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060" w:type="dxa"/>
            <w:vAlign w:val="bottom"/>
          </w:tcPr>
          <w:p>
            <w:pPr>
              <w:ind w:left="660"/>
              <w:spacing w:after="0"/>
              <w:rPr>
                <w:sz w:val="20"/>
                <w:szCs w:val="20"/>
                <w:color w:val="auto"/>
              </w:rPr>
            </w:pPr>
            <w:r>
              <w:rPr>
                <w:rFonts w:ascii="Arial" w:cs="Arial" w:eastAsia="Arial" w:hAnsi="Arial"/>
                <w:sz w:val="18"/>
                <w:szCs w:val="18"/>
                <w:color w:val="auto"/>
              </w:rPr>
              <w:t>Total operating income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62,942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71,788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174,303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205,572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Arial" w:cs="Arial" w:eastAsia="Arial" w:hAnsi="Arial"/>
                <w:sz w:val="18"/>
                <w:szCs w:val="18"/>
                <w:color w:val="auto"/>
              </w:rPr>
              <w:t>Production and ad valorem taxes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5,049</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14,306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Depletion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24,780</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51,408</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5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92,670</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31,302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46,555</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81,633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136,129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(8,238)</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(3,827)</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(24,870)</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derivative instruments, net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(47,469)</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expense, net</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(15,118)</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(79,889)</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130,774</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142,466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(41,908)</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(140,722)</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16,948</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43,151</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128,692</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Viper Energy Partners LP</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(164,685)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0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04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286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09"/>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1,456</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3,607</w:t>
            </w: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29"/>
        </w:trPr>
        <w:tc>
          <w:tcPr>
            <w:tcW w:w="53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70"/>
        </w:trPr>
        <w:tc>
          <w:tcPr>
            <w:tcW w:w="5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3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Average daily oil volumes (BO/d)</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w:t>
            </w:r>
          </w:p>
        </w:tc>
      </w:tr>
      <w:tr>
        <w:trPr>
          <w:trHeight w:val="229"/>
        </w:trPr>
        <w:tc>
          <w:tcPr>
            <w:tcW w:w="5340" w:type="dxa"/>
            <w:vAlign w:val="bottom"/>
          </w:tcPr>
          <w:p>
            <w:pPr>
              <w:ind w:left="180"/>
              <w:spacing w:after="0" w:line="230" w:lineRule="exact"/>
              <w:rPr>
                <w:sz w:val="20"/>
                <w:szCs w:val="20"/>
                <w:color w:val="auto"/>
              </w:rPr>
            </w:pPr>
            <w:r>
              <w:rPr>
                <w:rFonts w:ascii="Arial" w:cs="Arial" w:eastAsia="Arial" w:hAnsi="Arial"/>
                <w:sz w:val="18"/>
                <w:szCs w:val="18"/>
                <w:color w:val="auto"/>
              </w:rPr>
              <w:t>Average daily combined volumes (BOE/d)</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26,409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26,165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19,977</w:t>
            </w:r>
          </w:p>
        </w:tc>
      </w:tr>
      <w:tr>
        <w:trPr>
          <w:trHeight w:val="270"/>
        </w:trPr>
        <w:tc>
          <w:tcPr>
            <w:tcW w:w="5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53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Average sales prices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r>
      <w:tr>
        <w:trPr>
          <w:trHeight w:val="229"/>
        </w:trPr>
        <w:tc>
          <w:tcPr>
            <w:tcW w:w="5340" w:type="dxa"/>
            <w:vAlign w:val="bottom"/>
          </w:tcPr>
          <w:p>
            <w:pPr>
              <w:ind w:left="180"/>
              <w:spacing w:after="0" w:line="230" w:lineRule="exact"/>
              <w:rPr>
                <w:sz w:val="20"/>
                <w:szCs w:val="20"/>
                <w:color w:val="auto"/>
              </w:rPr>
            </w:pPr>
            <w:r>
              <w:rPr>
                <w:rFonts w:ascii="Arial" w:cs="Arial" w:eastAsia="Arial" w:hAnsi="Arial"/>
                <w:sz w:val="18"/>
                <w:szCs w:val="18"/>
                <w:color w:val="auto"/>
              </w:rPr>
              <w:t>Natural gas ($/Mcf)</w:t>
            </w:r>
            <w:r>
              <w:rPr>
                <w:rFonts w:ascii="Arial" w:cs="Arial" w:eastAsia="Arial" w:hAnsi="Arial"/>
                <w:sz w:val="23"/>
                <w:szCs w:val="23"/>
                <w:color w:val="auto"/>
                <w:vertAlign w:val="superscript"/>
              </w:rPr>
              <w:t>(3)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Combined ($/BOE)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25.76</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36.33</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23.97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37.03</w:t>
            </w:r>
          </w:p>
        </w:tc>
      </w:tr>
      <w:tr>
        <w:trPr>
          <w:trHeight w:val="270"/>
        </w:trPr>
        <w:tc>
          <w:tcPr>
            <w:tcW w:w="5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534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27.65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51.53</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50.65</w:t>
            </w:r>
          </w:p>
        </w:tc>
      </w:tr>
      <w:tr>
        <w:trPr>
          <w:trHeight w:val="230"/>
        </w:trPr>
        <w:tc>
          <w:tcPr>
            <w:tcW w:w="53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29"/>
        </w:trPr>
        <w:tc>
          <w:tcPr>
            <w:tcW w:w="534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14.67</w:t>
            </w:r>
          </w:p>
        </w:tc>
      </w:tr>
      <w:tr>
        <w:trPr>
          <w:trHeight w:val="229"/>
        </w:trPr>
        <w:tc>
          <w:tcPr>
            <w:tcW w:w="53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r>
      <w:tr>
        <w:trPr>
          <w:trHeight w:val="270"/>
        </w:trPr>
        <w:tc>
          <w:tcPr>
            <w:tcW w:w="5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costs ($/BOE):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Production and ad valorem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53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(5)</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w w:val="95"/>
              </w:rPr>
              <w:t>General and administrative - non-cash stock compensation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29"/>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Depletion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9.43</w:t>
            </w:r>
          </w:p>
        </w:tc>
      </w:tr>
    </w:tbl>
    <w:p>
      <w:pPr>
        <w:spacing w:after="0" w:line="66"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volumes and average sales prices presented are based on actual production volumes and not calculated utilizing the rounded production volumes presented in the table above.</w:t>
      </w:r>
    </w:p>
    <w:p>
      <w:pPr>
        <w:jc w:val="both"/>
        <w:ind w:left="340" w:hanging="332"/>
        <w:spacing w:after="0" w:line="250"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realized price of natural gas was calculated in accordance with the pricing terms under our operators’ natural gas delivery contracts, which are generally tied to the NYMEX price quoted at Henry Hub. Actual volumetric prices realized from the sale of natural gas, however, differ from the quoted NYMEX price as a result of quality and location differentials. During the third quarter of 2020, natural gas sold at the WAHA Hub in Pecos County, Texas averaged a differential of $(0.68) relative to the NYMEX price quoted at Henry Hub. Our operators may have varying terms under which they sell their natural gas, but we are primarily impacted by location differences resulting from supply and demand imbalances and limited takeaway capacity within the Permian Basin.</w:t>
      </w:r>
    </w:p>
    <w:p>
      <w:pPr>
        <w:spacing w:after="0" w:line="2"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on our matured commodity derivative transactions on our average sales prices. We did not have any derivative contracts prior to February of 2020.</w:t>
      </w: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non-cash stock compensation for the respective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 and Nine Months Ended September 30, 2020 and 2019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liquids and natural gas production volumes sold and average prices received for those volumes.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impact of pricing and production changes on our royalty income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3720" w:type="dxa"/>
            <w:vAlign w:val="bottom"/>
            <w:gridSpan w:val="6"/>
          </w:tcPr>
          <w:p>
            <w:pPr>
              <w:ind w:left="40"/>
              <w:spacing w:after="0"/>
              <w:rPr>
                <w:sz w:val="20"/>
                <w:szCs w:val="20"/>
                <w:color w:val="auto"/>
              </w:rPr>
            </w:pPr>
            <w:r>
              <w:rPr>
                <w:rFonts w:ascii="Arial" w:cs="Arial" w:eastAsia="Arial" w:hAnsi="Arial"/>
                <w:sz w:val="16"/>
                <w:szCs w:val="16"/>
                <w:b w:val="1"/>
                <w:bCs w:val="1"/>
                <w:color w:val="auto"/>
                <w:w w:val="92"/>
              </w:rPr>
              <w:t>Three Months Ended September 30, 2020 Compared</w:t>
            </w:r>
          </w:p>
        </w:tc>
        <w:tc>
          <w:tcPr>
            <w:tcW w:w="100" w:type="dxa"/>
            <w:vAlign w:val="bottom"/>
          </w:tcPr>
          <w:p>
            <w:pPr>
              <w:spacing w:after="0"/>
              <w:rPr>
                <w:sz w:val="16"/>
                <w:szCs w:val="16"/>
                <w:color w:val="auto"/>
              </w:rPr>
            </w:pPr>
          </w:p>
        </w:tc>
        <w:tc>
          <w:tcPr>
            <w:tcW w:w="368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Nine Months Ended September 30, 2020 Compared</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to 2019</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to 2019</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4"/>
              <w:spacing w:after="0" w:line="158" w:lineRule="exact"/>
              <w:rPr>
                <w:sz w:val="20"/>
                <w:szCs w:val="20"/>
                <w:color w:val="auto"/>
              </w:rPr>
            </w:pPr>
            <w:r>
              <w:rPr>
                <w:rFonts w:ascii="Arial" w:cs="Arial" w:eastAsia="Arial" w:hAnsi="Arial"/>
                <w:sz w:val="16"/>
                <w:szCs w:val="16"/>
                <w:b w:val="1"/>
                <w:bCs w:val="1"/>
                <w:color w:val="auto"/>
                <w:w w:val="90"/>
              </w:rPr>
              <w:t>Change in</w:t>
            </w:r>
          </w:p>
        </w:tc>
        <w:tc>
          <w:tcPr>
            <w:tcW w:w="120" w:type="dxa"/>
            <w:vAlign w:val="bottom"/>
          </w:tcPr>
          <w:p>
            <w:pPr>
              <w:spacing w:after="0"/>
              <w:rPr>
                <w:sz w:val="13"/>
                <w:szCs w:val="13"/>
                <w:color w:val="auto"/>
              </w:rPr>
            </w:pPr>
          </w:p>
        </w:tc>
        <w:tc>
          <w:tcPr>
            <w:tcW w:w="1120" w:type="dxa"/>
            <w:vAlign w:val="bottom"/>
          </w:tcPr>
          <w:p>
            <w:pPr>
              <w:jc w:val="center"/>
              <w:ind w:right="34"/>
              <w:spacing w:after="0" w:line="158" w:lineRule="exact"/>
              <w:rPr>
                <w:sz w:val="20"/>
                <w:szCs w:val="20"/>
                <w:color w:val="auto"/>
              </w:rPr>
            </w:pPr>
            <w:r>
              <w:rPr>
                <w:rFonts w:ascii="Arial" w:cs="Arial" w:eastAsia="Arial" w:hAnsi="Arial"/>
                <w:sz w:val="16"/>
                <w:szCs w:val="16"/>
                <w:b w:val="1"/>
                <w:bCs w:val="1"/>
                <w:color w:val="auto"/>
                <w:w w:val="89"/>
              </w:rPr>
              <w:t>Production</w:t>
            </w:r>
          </w:p>
        </w:tc>
        <w:tc>
          <w:tcPr>
            <w:tcW w:w="120" w:type="dxa"/>
            <w:vAlign w:val="bottom"/>
          </w:tcPr>
          <w:p>
            <w:pPr>
              <w:spacing w:after="0"/>
              <w:rPr>
                <w:sz w:val="13"/>
                <w:szCs w:val="13"/>
                <w:color w:val="auto"/>
              </w:rPr>
            </w:pPr>
          </w:p>
        </w:tc>
        <w:tc>
          <w:tcPr>
            <w:tcW w:w="1180" w:type="dxa"/>
            <w:vAlign w:val="bottom"/>
          </w:tcPr>
          <w:p>
            <w:pPr>
              <w:spacing w:after="0" w:line="158" w:lineRule="exact"/>
              <w:rPr>
                <w:sz w:val="20"/>
                <w:szCs w:val="20"/>
                <w:color w:val="auto"/>
              </w:rPr>
            </w:pPr>
            <w:r>
              <w:rPr>
                <w:rFonts w:ascii="Arial" w:cs="Arial" w:eastAsia="Arial" w:hAnsi="Arial"/>
                <w:sz w:val="16"/>
                <w:szCs w:val="16"/>
                <w:b w:val="1"/>
                <w:bCs w:val="1"/>
                <w:color w:val="auto"/>
              </w:rPr>
              <w:t>Total net dollar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90"/>
              </w:rPr>
              <w:t>Change in</w:t>
            </w:r>
          </w:p>
        </w:tc>
        <w:tc>
          <w:tcPr>
            <w:tcW w:w="120" w:type="dxa"/>
            <w:vAlign w:val="bottom"/>
          </w:tcPr>
          <w:p>
            <w:pPr>
              <w:spacing w:after="0"/>
              <w:rPr>
                <w:sz w:val="13"/>
                <w:szCs w:val="13"/>
                <w:color w:val="auto"/>
              </w:rPr>
            </w:pPr>
          </w:p>
        </w:tc>
        <w:tc>
          <w:tcPr>
            <w:tcW w:w="1120" w:type="dxa"/>
            <w:vAlign w:val="bottom"/>
          </w:tcPr>
          <w:p>
            <w:pPr>
              <w:jc w:val="center"/>
              <w:ind w:right="34"/>
              <w:spacing w:after="0" w:line="158" w:lineRule="exact"/>
              <w:rPr>
                <w:sz w:val="20"/>
                <w:szCs w:val="20"/>
                <w:color w:val="auto"/>
              </w:rPr>
            </w:pPr>
            <w:r>
              <w:rPr>
                <w:rFonts w:ascii="Arial" w:cs="Arial" w:eastAsia="Arial" w:hAnsi="Arial"/>
                <w:sz w:val="16"/>
                <w:szCs w:val="16"/>
                <w:b w:val="1"/>
                <w:bCs w:val="1"/>
                <w:color w:val="auto"/>
                <w:w w:val="89"/>
              </w:rPr>
              <w:t>Production</w:t>
            </w:r>
          </w:p>
        </w:tc>
        <w:tc>
          <w:tcPr>
            <w:tcW w:w="120" w:type="dxa"/>
            <w:vAlign w:val="bottom"/>
          </w:tcPr>
          <w:p>
            <w:pPr>
              <w:spacing w:after="0"/>
              <w:rPr>
                <w:sz w:val="13"/>
                <w:szCs w:val="13"/>
                <w:color w:val="auto"/>
              </w:rPr>
            </w:pPr>
          </w:p>
        </w:tc>
        <w:tc>
          <w:tcPr>
            <w:tcW w:w="1180" w:type="dxa"/>
            <w:vAlign w:val="bottom"/>
          </w:tcPr>
          <w:p>
            <w:pPr>
              <w:spacing w:after="0" w:line="158" w:lineRule="exact"/>
              <w:rPr>
                <w:sz w:val="20"/>
                <w:szCs w:val="20"/>
                <w:color w:val="auto"/>
              </w:rPr>
            </w:pPr>
            <w:r>
              <w:rPr>
                <w:rFonts w:ascii="Arial" w:cs="Arial" w:eastAsia="Arial" w:hAnsi="Arial"/>
                <w:sz w:val="16"/>
                <w:szCs w:val="16"/>
                <w:b w:val="1"/>
                <w:bCs w:val="1"/>
                <w:color w:val="auto"/>
              </w:rPr>
              <w:t>Total net dollar</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8"/>
              </w:rPr>
              <w:t>prices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4"/>
              <w:spacing w:after="0" w:line="216" w:lineRule="exact"/>
              <w:rPr>
                <w:sz w:val="20"/>
                <w:szCs w:val="20"/>
                <w:color w:val="auto"/>
              </w:rPr>
            </w:pPr>
            <w:r>
              <w:rPr>
                <w:rFonts w:ascii="Arial" w:cs="Arial" w:eastAsia="Arial" w:hAnsi="Arial"/>
                <w:sz w:val="16"/>
                <w:szCs w:val="16"/>
                <w:b w:val="1"/>
                <w:bCs w:val="1"/>
                <w:color w:val="auto"/>
                <w:w w:val="82"/>
              </w:rPr>
              <w:t>volumes</w:t>
            </w:r>
            <w:r>
              <w:rPr>
                <w:rFonts w:ascii="Arial" w:cs="Arial" w:eastAsia="Arial" w:hAnsi="Arial"/>
                <w:sz w:val="21"/>
                <w:szCs w:val="21"/>
                <w:b w:val="1"/>
                <w:bCs w:val="1"/>
                <w:color w:val="auto"/>
                <w:w w:val="82"/>
                <w:vertAlign w:val="superscript"/>
              </w:rPr>
              <w:t>(1)</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4"/>
              </w:rPr>
              <w:t>effect of change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8"/>
              </w:rPr>
              <w:t>prices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4"/>
              <w:spacing w:after="0" w:line="216" w:lineRule="exact"/>
              <w:rPr>
                <w:sz w:val="20"/>
                <w:szCs w:val="20"/>
                <w:color w:val="auto"/>
              </w:rPr>
            </w:pPr>
            <w:r>
              <w:rPr>
                <w:rFonts w:ascii="Arial" w:cs="Arial" w:eastAsia="Arial" w:hAnsi="Arial"/>
                <w:sz w:val="16"/>
                <w:szCs w:val="16"/>
                <w:b w:val="1"/>
                <w:bCs w:val="1"/>
                <w:color w:val="auto"/>
                <w:w w:val="82"/>
              </w:rPr>
              <w:t>volumes</w:t>
            </w:r>
            <w:r>
              <w:rPr>
                <w:rFonts w:ascii="Arial" w:cs="Arial" w:eastAsia="Arial" w:hAnsi="Arial"/>
                <w:sz w:val="21"/>
                <w:szCs w:val="21"/>
                <w:b w:val="1"/>
                <w:bCs w:val="1"/>
                <w:color w:val="auto"/>
                <w:w w:val="82"/>
                <w:vertAlign w:val="superscript"/>
              </w:rPr>
              <w:t>(1)</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4"/>
              </w:rPr>
              <w:t>effect of change</w:t>
            </w: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right"/>
              <w:ind w:right="614"/>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price:</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540"/>
              <w:spacing w:after="0"/>
              <w:rPr>
                <w:sz w:val="20"/>
                <w:szCs w:val="20"/>
                <w:color w:val="auto"/>
              </w:rPr>
            </w:pPr>
            <w:r>
              <w:rPr>
                <w:rFonts w:ascii="Arial" w:cs="Arial" w:eastAsia="Arial" w:hAnsi="Arial"/>
                <w:sz w:val="18"/>
                <w:szCs w:val="18"/>
                <w:color w:val="auto"/>
              </w:rPr>
              <w:t>Oil</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(67,327)</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Natural gas liquids</w:t>
            </w:r>
          </w:p>
        </w:tc>
        <w:tc>
          <w:tcPr>
            <w:tcW w:w="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due to change in price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(77,456)</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Change in</w:t>
            </w:r>
          </w:p>
        </w:tc>
        <w:tc>
          <w:tcPr>
            <w:tcW w:w="120" w:type="dxa"/>
            <w:vAlign w:val="bottom"/>
          </w:tcPr>
          <w:p>
            <w:pPr>
              <w:spacing w:after="0"/>
              <w:rPr>
                <w:sz w:val="24"/>
                <w:szCs w:val="24"/>
                <w:color w:val="auto"/>
              </w:rPr>
            </w:pPr>
          </w:p>
        </w:tc>
        <w:tc>
          <w:tcPr>
            <w:tcW w:w="1120" w:type="dxa"/>
            <w:vAlign w:val="bottom"/>
            <w:vMerge w:val="restart"/>
          </w:tcPr>
          <w:p>
            <w:pPr>
              <w:jc w:val="center"/>
              <w:ind w:right="14"/>
              <w:spacing w:after="0"/>
              <w:rPr>
                <w:sz w:val="20"/>
                <w:szCs w:val="20"/>
                <w:color w:val="auto"/>
              </w:rPr>
            </w:pPr>
            <w:r>
              <w:rPr>
                <w:rFonts w:ascii="Arial" w:cs="Arial" w:eastAsia="Arial" w:hAnsi="Arial"/>
                <w:sz w:val="16"/>
                <w:szCs w:val="16"/>
                <w:b w:val="1"/>
                <w:bCs w:val="1"/>
                <w:color w:val="auto"/>
                <w:w w:val="94"/>
              </w:rPr>
              <w:t>Prior period</w:t>
            </w:r>
          </w:p>
        </w:tc>
        <w:tc>
          <w:tcPr>
            <w:tcW w:w="120" w:type="dxa"/>
            <w:vAlign w:val="bottom"/>
          </w:tcPr>
          <w:p>
            <w:pPr>
              <w:spacing w:after="0"/>
              <w:rPr>
                <w:sz w:val="24"/>
                <w:szCs w:val="24"/>
                <w:color w:val="auto"/>
              </w:rPr>
            </w:pPr>
          </w:p>
        </w:tc>
        <w:tc>
          <w:tcPr>
            <w:tcW w:w="1180" w:type="dxa"/>
            <w:vAlign w:val="bottom"/>
            <w:vMerge w:val="restart"/>
          </w:tcPr>
          <w:p>
            <w:pPr>
              <w:spacing w:after="0"/>
              <w:rPr>
                <w:sz w:val="20"/>
                <w:szCs w:val="20"/>
                <w:color w:val="auto"/>
              </w:rPr>
            </w:pPr>
            <w:r>
              <w:rPr>
                <w:rFonts w:ascii="Arial" w:cs="Arial" w:eastAsia="Arial" w:hAnsi="Arial"/>
                <w:sz w:val="16"/>
                <w:szCs w:val="16"/>
                <w:b w:val="1"/>
                <w:bCs w:val="1"/>
                <w:color w:val="auto"/>
              </w:rPr>
              <w:t>Total net dollar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Change in</w:t>
            </w:r>
          </w:p>
        </w:tc>
        <w:tc>
          <w:tcPr>
            <w:tcW w:w="120" w:type="dxa"/>
            <w:vAlign w:val="bottom"/>
          </w:tcPr>
          <w:p>
            <w:pPr>
              <w:spacing w:after="0"/>
              <w:rPr>
                <w:sz w:val="24"/>
                <w:szCs w:val="24"/>
                <w:color w:val="auto"/>
              </w:rPr>
            </w:pPr>
          </w:p>
        </w:tc>
        <w:tc>
          <w:tcPr>
            <w:tcW w:w="1120" w:type="dxa"/>
            <w:vAlign w:val="bottom"/>
            <w:vMerge w:val="restart"/>
          </w:tcPr>
          <w:p>
            <w:pPr>
              <w:jc w:val="center"/>
              <w:ind w:right="14"/>
              <w:spacing w:after="0"/>
              <w:rPr>
                <w:sz w:val="20"/>
                <w:szCs w:val="20"/>
                <w:color w:val="auto"/>
              </w:rPr>
            </w:pPr>
            <w:r>
              <w:rPr>
                <w:rFonts w:ascii="Arial" w:cs="Arial" w:eastAsia="Arial" w:hAnsi="Arial"/>
                <w:sz w:val="16"/>
                <w:szCs w:val="16"/>
                <w:b w:val="1"/>
                <w:bCs w:val="1"/>
                <w:color w:val="auto"/>
                <w:w w:val="94"/>
              </w:rPr>
              <w:t>Prior period</w:t>
            </w:r>
          </w:p>
        </w:tc>
        <w:tc>
          <w:tcPr>
            <w:tcW w:w="120" w:type="dxa"/>
            <w:vAlign w:val="bottom"/>
          </w:tcPr>
          <w:p>
            <w:pPr>
              <w:spacing w:after="0"/>
              <w:rPr>
                <w:sz w:val="24"/>
                <w:szCs w:val="24"/>
                <w:color w:val="auto"/>
              </w:rPr>
            </w:pPr>
          </w:p>
        </w:tc>
        <w:tc>
          <w:tcPr>
            <w:tcW w:w="1180" w:type="dxa"/>
            <w:vAlign w:val="bottom"/>
            <w:vMerge w:val="restart"/>
          </w:tcPr>
          <w:p>
            <w:pPr>
              <w:spacing w:after="0"/>
              <w:rPr>
                <w:sz w:val="20"/>
                <w:szCs w:val="20"/>
                <w:color w:val="auto"/>
              </w:rPr>
            </w:pPr>
            <w:r>
              <w:rPr>
                <w:rFonts w:ascii="Arial" w:cs="Arial" w:eastAsia="Arial" w:hAnsi="Arial"/>
                <w:sz w:val="16"/>
                <w:szCs w:val="16"/>
                <w:b w:val="1"/>
                <w:bCs w:val="1"/>
                <w:color w:val="auto"/>
              </w:rPr>
              <w:t>Total net dollar</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0"/>
              </w:rPr>
              <w:t>production</w:t>
            </w: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0"/>
              </w:rPr>
              <w:t>production</w:t>
            </w: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4"/>
              <w:spacing w:after="0" w:line="216" w:lineRule="exact"/>
              <w:rPr>
                <w:sz w:val="20"/>
                <w:szCs w:val="20"/>
                <w:color w:val="auto"/>
              </w:rPr>
            </w:pPr>
            <w:r>
              <w:rPr>
                <w:rFonts w:ascii="Arial" w:cs="Arial" w:eastAsia="Arial" w:hAnsi="Arial"/>
                <w:sz w:val="16"/>
                <w:szCs w:val="16"/>
                <w:b w:val="1"/>
                <w:bCs w:val="1"/>
                <w:color w:val="auto"/>
                <w:w w:val="85"/>
              </w:rPr>
              <w:t>volumes</w:t>
            </w:r>
            <w:r>
              <w:rPr>
                <w:rFonts w:ascii="Arial" w:cs="Arial" w:eastAsia="Arial" w:hAnsi="Arial"/>
                <w:sz w:val="21"/>
                <w:szCs w:val="21"/>
                <w:b w:val="1"/>
                <w:bCs w:val="1"/>
                <w:color w:val="auto"/>
                <w:w w:val="85"/>
                <w:vertAlign w:val="superscript"/>
              </w:rPr>
              <w:t>(1)</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average prices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4"/>
              </w:rPr>
              <w:t>effect of change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4"/>
              <w:spacing w:after="0" w:line="216" w:lineRule="exact"/>
              <w:rPr>
                <w:sz w:val="20"/>
                <w:szCs w:val="20"/>
                <w:color w:val="auto"/>
              </w:rPr>
            </w:pPr>
            <w:r>
              <w:rPr>
                <w:rFonts w:ascii="Arial" w:cs="Arial" w:eastAsia="Arial" w:hAnsi="Arial"/>
                <w:sz w:val="16"/>
                <w:szCs w:val="16"/>
                <w:b w:val="1"/>
                <w:bCs w:val="1"/>
                <w:color w:val="auto"/>
                <w:w w:val="85"/>
              </w:rPr>
              <w:t>volumes</w:t>
            </w:r>
            <w:r>
              <w:rPr>
                <w:rFonts w:ascii="Arial" w:cs="Arial" w:eastAsia="Arial" w:hAnsi="Arial"/>
                <w:sz w:val="21"/>
                <w:szCs w:val="21"/>
                <w:b w:val="1"/>
                <w:bCs w:val="1"/>
                <w:color w:val="auto"/>
                <w:w w:val="85"/>
                <w:vertAlign w:val="superscript"/>
              </w:rPr>
              <w:t>(1)</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average prices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4"/>
              </w:rPr>
              <w:t>effect of change</w:t>
            </w: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right"/>
              <w:ind w:right="614"/>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production volumes:</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540"/>
              <w:spacing w:after="0"/>
              <w:rPr>
                <w:sz w:val="20"/>
                <w:szCs w:val="20"/>
                <w:color w:val="auto"/>
              </w:rPr>
            </w:pPr>
            <w:r>
              <w:rPr>
                <w:rFonts w:ascii="Arial" w:cs="Arial" w:eastAsia="Arial" w:hAnsi="Arial"/>
                <w:sz w:val="18"/>
                <w:szCs w:val="18"/>
                <w:color w:val="auto"/>
              </w:rPr>
              <w:t>Oil</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38,060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Natural gas liquids</w:t>
            </w: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income due to change in production volumes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47,363</w:t>
            </w:r>
          </w:p>
        </w:tc>
        <w:tc>
          <w:tcPr>
            <w:tcW w:w="0" w:type="dxa"/>
            <w:vAlign w:val="bottom"/>
          </w:tcPr>
          <w:p>
            <w:pPr>
              <w:spacing w:after="0"/>
              <w:rPr>
                <w:sz w:val="1"/>
                <w:szCs w:val="1"/>
                <w:color w:val="auto"/>
              </w:rPr>
            </w:pPr>
          </w:p>
        </w:tc>
      </w:tr>
      <w:tr>
        <w:trPr>
          <w:trHeight w:val="223"/>
        </w:trPr>
        <w:tc>
          <w:tcPr>
            <w:tcW w:w="3740" w:type="dxa"/>
            <w:vAlign w:val="bottom"/>
          </w:tcPr>
          <w:p>
            <w:pPr>
              <w:ind w:left="540"/>
              <w:spacing w:after="0"/>
              <w:rPr>
                <w:sz w:val="20"/>
                <w:szCs w:val="20"/>
                <w:color w:val="auto"/>
              </w:rPr>
            </w:pPr>
            <w:r>
              <w:rPr>
                <w:rFonts w:ascii="Arial" w:cs="Arial" w:eastAsia="Arial" w:hAnsi="Arial"/>
                <w:sz w:val="18"/>
                <w:szCs w:val="18"/>
                <w:color w:val="auto"/>
              </w:rPr>
              <w:t>Total change in income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impact of the decrease in average prices received during the three and nine months ended September 30, 2020 as compared to the same periods in 2019 was partially offset by a 24% and 31% increase in combined volumes sold by our operators as compared to the three and nine months ended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production and ad valorem taxes for the three and nine months ended September 30, 2020 and 2019:</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Royalty Income</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6"/>
              </w:rPr>
              <w:t>5.0 %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4.9 %</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6"/>
              </w:rPr>
              <w:t>8.1 %</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6.7 %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3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ind w:left="220"/>
              <w:spacing w:after="0"/>
              <w:rPr>
                <w:sz w:val="20"/>
                <w:szCs w:val="20"/>
                <w:color w:val="auto"/>
              </w:rPr>
            </w:pPr>
            <w:r>
              <w:rPr>
                <w:rFonts w:ascii="Arial" w:cs="Arial" w:eastAsia="Arial" w:hAnsi="Arial"/>
                <w:sz w:val="16"/>
                <w:szCs w:val="16"/>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Royalty Income</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1"/>
              </w:rPr>
              <w:t>4.9 %</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4.8 %</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1"/>
              </w:rPr>
              <w:t>8.3 %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6.3 %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Production taxes as a percentage of royalty income for the three months ended September 30, 2020 compared to the three months ended September 30, 2019 and the nine months ended September 30, 2020 compared to the nine months ended September 30, 2019 remained relatively flat. Ad valorem taxes as a percentage of royalty income for these same periods in 2020 compared to 2019 increased due to an increase in the valuation of oil and natural gas interests period over period primarily due to acquisitions and drilling activity, while royalty income declined due to lower prices.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$6.1 million, or 33%, increase in depletion expense for the three months ended September 30, 2020 compared to the same period in 2019 was due primarily to an increase in the depletion rate to $10.20 for the three months ended September 30, 2020 compared to $9.56 for the three months ended September 30, 2019, which largely resulted from higher production levels and an increase in net book value on new reserves added to the depletion base.</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$20.8 million, or 40%, increase in depletion expense for the nine months ended September 30, 2020 compared to the same period in 2019 was due primarily to an increase in the depletion rate to $10.07 for the nine months ended September 30, 2020 compared to $9.43 for the nine months ended September 30, 2019, which largely resulted from higher production levels and an increase in net book value on new reserves added to the depletion base.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General and administrative expenses primarily reflect costs associated with being a publicly traded limited partnership, unit-based compensation and amounts reimbursed to our general partner under our partnership agreement. General and administrative expenses were flat for the three months ended September 30, 2020 and 2019. For the nine months ended September 30, 2020 and 2019, we incurred general and administrative expenses of $6.2 million and $5.2 million, respectively. The increase of $1.0 million during the nine months ended September 30, 2020 was primarily due to increases in amounts allocated from our general partner under our partnership agreement, higher software license fees, bad debt expense and higher legal expenses in 2020. These increases were partially offset by decreases in partnership tax compliance and K-1 preparation fees and unit-based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interest  expense  for  the  three  months  ended  September  30,  2020  and  2019  was  $8.2  million  and  $3.8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$4.4 million was due primarily to the interest incurred on the Notes which were issued in October 2019.</w:t>
      </w:r>
    </w:p>
    <w:p>
      <w:pPr>
        <w:spacing w:after="0" w:line="23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interest expense for the nine months ended September 30, 2020 and 2019 was $24.9 million and $11.1 million, respectively. The increase of $13.8 million was due to increased borrowings and a higher interest rate during 2020 compared to 2019, as a result of issuing the Notes during the fourth quarter of 2019. This increase was partially offset by repayments of the borrowings under the Operating Company’s revolving credit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recorded a loss on derivative instruments for the three and nine months ended September 30, 2020 of $5.1 million and $47.5 million, respectively, which includes cash payments of $16.2 million and $18.7 million on settlements of commodity derivative contracts during the respective periods. We had no derivative instruments during the three and nine months ended September 30, 2019.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did not record an income tax benefit or expense for the three months ended September 30, 2020 due to maintaining a full valuation allowance against our deferred tax assets and recorded an income tax benefit of $7.5 million for the three months ended September 30, 2019.</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recorded income tax expense of $142.5 million and income tax benefit of $41.9 million for the nine months ended September 30, 2020 and 2019, respectively. The change in our income tax provision was primarily due to the application of a valuation allowance on our deferred tax assets during the nine months ended September 30, 2020, and the revision during the nine months ended September 30, 2019 of estimated deferred taxes recognized as a result of our change in federal income tax status. The total income tax provision for the nine months ended September 30, 2020 differed from amounts computed by applying the federal statutory tax rate to pre-tax income for the period primarily due to the impact of recording a valuation allowance on our deferred tax assets and net income attributable to the non-controlling interest. See Note 9—Income Taxes for further details.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Adjusted EBITDA is a supplemental non-GAAP financial measure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period to period without regard to our financing methods or capital structure. In addition, management uses Adjusted EBITDA to evaluate cash flow available to pay distributions to our common unitholders.</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define Adjusted EBITDA as net income (loss) plus interest expense, net, non-cash unit-based compensation expense, depletion expense, (gain) loss on revaluation of investment, non-cash (gain) loss on derivative instruments, (gain) loss on extinguishment of debt and provision for (benefit from) income taxes. Adjusted EBITDA is not a measure of net income (loss) as determined by GAAP.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Certain items excluded from Adjusted EBITDA are significant components in understanding and assessing a company’s financial performance, such as a company’s cost of capital and tax structure, as well as historic costs of depreciable assets, none of which are components of Adjusted EBITDA.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Adjusted EBITDA should not be considered an alternative to, or more meaningful than, net income, royalty income, cash flow from operating activities or any other measure of financial performance or liquidity presented in accordance with GAAP. Our computations of Adjusted EBITDA may not be comparable to other similarly titled measures of other companies.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Adjusted EBITDA and cash available for distribution to net income (loss), our most directly comparable GAAP financial measure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c>
          <w:tcPr>
            <w:tcW w:w="2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172,682</w:t>
            </w:r>
          </w:p>
        </w:tc>
        <w:tc>
          <w:tcPr>
            <w:tcW w:w="0" w:type="dxa"/>
            <w:vAlign w:val="bottom"/>
          </w:tcPr>
          <w:p>
            <w:pPr>
              <w:spacing w:after="0"/>
              <w:rPr>
                <w:sz w:val="1"/>
                <w:szCs w:val="1"/>
                <w:color w:val="auto"/>
              </w:rPr>
            </w:pPr>
          </w:p>
        </w:tc>
      </w:tr>
      <w:tr>
        <w:trPr>
          <w:trHeight w:val="229"/>
        </w:trPr>
        <w:tc>
          <w:tcPr>
            <w:tcW w:w="536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24,870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unit-based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0"/>
        </w:trPr>
        <w:tc>
          <w:tcPr>
            <w:tcW w:w="5360" w:type="dxa"/>
            <w:vAlign w:val="bottom"/>
          </w:tcPr>
          <w:p>
            <w:pPr>
              <w:ind w:left="340"/>
              <w:spacing w:after="0"/>
              <w:rPr>
                <w:sz w:val="20"/>
                <w:szCs w:val="20"/>
                <w:color w:val="auto"/>
              </w:rPr>
            </w:pPr>
            <w:r>
              <w:rPr>
                <w:rFonts w:ascii="Arial" w:cs="Arial" w:eastAsia="Arial" w:hAnsi="Arial"/>
                <w:sz w:val="18"/>
                <w:szCs w:val="18"/>
                <w:color w:val="auto"/>
              </w:rPr>
              <w:t>Depletion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24,780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72,204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51,408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29"/>
        </w:trPr>
        <w:tc>
          <w:tcPr>
            <w:tcW w:w="5360" w:type="dxa"/>
            <w:vAlign w:val="bottom"/>
          </w:tcPr>
          <w:p>
            <w:pPr>
              <w:ind w:left="340"/>
              <w:spacing w:after="0"/>
              <w:rPr>
                <w:sz w:val="20"/>
                <w:szCs w:val="20"/>
                <w:color w:val="auto"/>
              </w:rPr>
            </w:pPr>
            <w:r>
              <w:rPr>
                <w:rFonts w:ascii="Arial" w:cs="Arial" w:eastAsia="Arial" w:hAnsi="Arial"/>
                <w:sz w:val="18"/>
                <w:szCs w:val="18"/>
                <w:color w:val="auto"/>
              </w:rPr>
              <w:t>Non-cash (gain) loss on derivative instruments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(11,080)</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28,751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142,466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(41,908)</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Adjusted EBITDA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137,181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190,619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Adjusted EBITDA attributable to non-controlling interest</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102,216</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attributable to Viper Energy Partners LP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17,288</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58,689</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7"/>
              </w:rPr>
              <w:t>Adjustments to reconcile Adjusted EBITDA to cash available for</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service, contractual obligations, fixed charges and reserves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Units repurchased for tax withholding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 dividend equivalent rights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Preferred distributions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55"/>
        </w:trPr>
        <w:tc>
          <w:tcPr>
            <w:tcW w:w="5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Cash available for distribution to Viper Energy Partners LP</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28,958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48,203</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82,567</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unitholders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limited partner units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available for distribution per limited partner unit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Cash per unit approved for 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(1) Does not take into account special income allocation consideration.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Beginning with the first quarter of 2020, the board of directors of our general partner revised the distribution policy pursuant to which the Operating Company distributed 25% of the available cash in the first and second quarters of 2020 to its unitholders. The distribution policy was further revised in October 2020 to provide for the distribution of 50% of the available cash it generates beginning with the third quarter of 2020 to its unitholders (including us). We in turn distribute all of the available cash we receive from the Operating Company to our common unitholders. Our available cash, and the available cash of the Operating Company, for each quarter is determined by the board of directors of our general partner following the end of such quarter. The Operating Company’s available cash generally equals its Adjusted EBITDA for the quarter, less cash needed for debt service and other contractual obligations and fixed charges and reserves for future operating or capital needs that the board of directors of our general partner deems necessary or appropriate, if any. Our available cash for each quarter generally equals our Adjusted EBITDA (which is our proportional share of the available cash of the Operating Company for the quarter),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less cash needed for the payment of income taxes by us, if any, and the preferred distribution. Immediately prior to the revisions to the distribution policy described above, the Operating Company’s policy was to distribute all of its available cash quarterly to its unitholders. The distribution policy was changed to enable the Operating Company to retain cash flow to help strengthen our balance sheet.</w:t>
      </w:r>
    </w:p>
    <w:p>
      <w:pPr>
        <w:spacing w:after="0" w:line="2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28, 2020, the board of directors of our general partner approved a cash distribution for the third quarter of 2020 of $0.10 per common unit, payable on November 19, 2020, to eligible unitholders of record at the close of business on November 12, 2020.</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of our general partner may change our distribution policy at any time. Our partnership agreement does not require us to pay distributions to our common unitholders on a quarterly or other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primary sources of liquidity have been cash flows from operations, proceeds from equity offerings and borrowings under our credit agreement. Our primary uses of cash have been distributions to our unitholders, repayment of debt and capital expenditures for the acquisition of our mineral interests and royalty interests in oil and natural gas properties. We intend to finance potential future acquisitions through a combination of cash on hand, borrowings under our credit agreement, issuance of common units to the sellers and, subject to market conditions and other factors, proceeds from one or more capital market transactions, which may include debt or equity offerings. Our ability to generate cash is subject to several factors, some of which are beyond our control, including commodity prices and general economic, financial, competitive, legislative, regulatory and other factors, including weather.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Equity Offering</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2019, we completed an underwritten public offering of 10,925,000 common units, which included 1,425,000 common units issued pursuant to an option to purchase additional common units granted to the underwriters. Following this offering, Diamondback owned approximately 54% of our total units then outstanding. We received net proceeds from this offering of approximately $340.6 million, after deducting underwriting discounts and commissions and estimated offering expenses. We used the net proceeds to purchase units of the Operating Company. The Operating Company in turn used the net proceeds to repay a portion of the outstanding borrowings under the Operating Company’s revolving credit facility and finance acquisitions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Cash Flows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8420" w:type="dxa"/>
            <w:vAlign w:val="bottom"/>
          </w:tcPr>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1"/>
        </w:trPr>
        <w:tc>
          <w:tcPr>
            <w:tcW w:w="8420" w:type="dxa"/>
            <w:vAlign w:val="bottom"/>
          </w:tcPr>
          <w:p>
            <w:pPr>
              <w:spacing w:after="0"/>
              <w:rPr>
                <w:sz w:val="24"/>
                <w:szCs w:val="2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8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63"/>
        </w:trPr>
        <w:tc>
          <w:tcPr>
            <w:tcW w:w="8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143,206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164,228</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(327,196)</w:t>
            </w:r>
          </w:p>
        </w:tc>
      </w:tr>
      <w:tr>
        <w:trPr>
          <w:trHeight w:val="229"/>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160,244</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operating cash flow is sensitive to many variables, the most significant of which are the volatility of prices for oil and natural gas and the volume of oil and natural gas sold by our producers.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The decrease in net cash provided by operating activities during the nine months ended September 30, 2020, was primarily due to the decrease in revenues as discussed in “—Results of Operations” above, an increase in cash paid for interest on our debt due to the issuance of the Notes in the fourth quarter of 2019 and cash paid for derivative settlements. This decrease was partially offset by changes in our working capital accounts, and most notably, in our accounts receivable for the nine months ended September 30, 2020 compared to the nine months ended September 30, 2019, respectively.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cash used in investing activities during the nine months ended September 30, 2020 and 2019, was primarily related to acquisitions of oil and natural gas interests and land, slightly offset by the proceeds from the divestiture of an insignificant amount of acreage.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financing activities during the nine months ended September 30, 2020, was primarily related to distributions of $92.1 million to our unitholders and by repurchases of the Notes totaling $19.7 million, net of discounts during the second quarter of 2020. These reductions were partially offset by net proceeds from borrowing activity under the Operating Company’s revolving credit facility of $30.0 million.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during the nine months ended September 30, 2019, was primarily related to net proceeds from our public offering of common units of $340.6 million, partially offset by net repayments of $1.5 million on borrowings under the Operating Company’s revolving credit facility and distributions of $178.2 million to our unitholders during that period.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Operating Company’s Revolving Credit Facility</w:t>
      </w:r>
    </w:p>
    <w:p>
      <w:pPr>
        <w:spacing w:after="0" w:line="252" w:lineRule="exact"/>
        <w:rPr>
          <w:sz w:val="20"/>
          <w:szCs w:val="20"/>
          <w:color w:val="auto"/>
        </w:rPr>
      </w:pPr>
    </w:p>
    <w:p>
      <w:pPr>
        <w:jc w:val="both"/>
        <w:ind w:left="40" w:firstLine="648"/>
        <w:spacing w:after="0" w:line="238" w:lineRule="auto"/>
        <w:rPr>
          <w:sz w:val="20"/>
          <w:szCs w:val="20"/>
          <w:color w:val="auto"/>
        </w:rPr>
      </w:pPr>
      <w:r>
        <w:rPr>
          <w:rFonts w:ascii="Arial" w:cs="Arial" w:eastAsia="Arial" w:hAnsi="Arial"/>
          <w:sz w:val="18"/>
          <w:szCs w:val="18"/>
          <w:color w:val="auto"/>
        </w:rPr>
        <w:t>On July 20, 2018, we, as guarantor, entered into an amended and restated credit agreement with the Operating Company, as borrower, Wells Fargo, as administrative agent, and the other lenders. The credit agreement, as amended to date, provides for a revolving credit facility in the maximum credit amount of $2.0 billion, with a borrowing base of $580.0 million as of September 30, 2020, and a maturity date of November 1, 2022. The Operating Company had $126.5 million of outstanding borrowings and $453.5 million available for future borrowings under the Operating Company’s revolving credit facility as of September 30, 2020. The borrowing base of $580.0 million is expected to be reaffirmed by the lenders during the regularly scheduled (semi-annual) fall 2020 redetermination in November 2020. The next semi-annual redetermination is scheduled to occur in May 2021. During the three and nine months ended September 30, 2020, the weighted average interest rates on the Operating Company’s revolving credit facility were 2.14% and 2.66%, respectively.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2020, the Operating Company was in compliance with the financial maintenance covenants under its credit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On October 16, 2019, we issued our 5.375% Senior Notes due 2027 in the aggregate principal amount of $500.0 million in a notes offering (which we refer to as the Notes Offering) under an indenture, dated as of October 16, 2019. We received net proceeds of approximately $490.0 million from the Notes Offering, and loaned the gross proceeds of the Notes Offering to the Operating Company. The Operating Company used the proceeds to repay then outstanding borrowings under its revolving credit facility. Interest on the Notes accrues at a rate of 5.375% per annum, payable semi-annually on May 1 and November 1 of each year, commencing on May 1, 2020. The Notes will mature on November 1, 2027.</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During the three and nine months ended September 30, 2020, we repurchased $6.0 million and $20.1 million, respectively, of the outstanding principal of the Notes at a cash price ranging from 97.5% to 98.5% of the aggregate principal amount, which resulted in an immaterial gain on extinguishment of debt, and $479.9 million in aggregate principal amount remained outstanding.</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additional discussion in Note 6—Debt included in Notes to the Condensed Consolidated Financial Statements included elsewhere in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the changes in our outstanding debt discussed in Note 6—Debt, included in “Part I, Item 1—Condensed Consolidated Financial Statements” in this report, there were no material changes in our contractual obligations and other commitments as disclosed in our Annual Report on Form 10-K 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from those disclosed in our Annual Report on Form 10-K for the year ended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Oil, natural gas liquids and natural gas prices have historically been volatile. Further, oil prices dropped sharply in early March 2020 and then continued to decline reaching negative levels. This was as a result of multiple factors affecting supply and demand in the global oil and gas markets, including actions taken by OPEC members and other exporting nations and impacting commodity price and production levels and a significant decrease in demand due to the ongoing COVID-19 pandemic, which resulted in a widespread health crisis and significant volatility, uncertainty and turmoil in the global economy, financial markets and oil and natural gas industry. While OPEC members and certain other nations agreed in April of 2020 to cut production, which helped to reduce a portion of the excess supply in the market and improve oil prices, demand for crude oil has remained below historic levels and downward pressure on commodity prices has continued and could continue for the foreseeable future. We cannot predict if or when commodity prices will stabilize and at what levels.</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fixed price swap contracts, fixed price basis swap contracts and costless collars with corresponding put and call options to reduce price volatility associated with certain of our royalty income. With respect to our fixed price swap contracts and fixed price basis swap contracts, the counterparty is required to make a payment to us if the settlement price for any settlement period is less than the swap or basis price, and we are required to make a payment to the counterparty if the settlement price for any settlement period is greater than the swap or basis price. We have fixed price basis swaps for the spread between the Cushing crude oil price and the Midland crude oil price as well as the spread between the Henry Hub natural gas price and the Waha Hub natural gas price.</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September 30, 2020, we had a net liability derivative position related to our commodity price derivatives of $28.8 million, related to our price swap, price basis swap derivatives and costless collars. We did not have any derivative contracts prior to February 2020. Utilizing actual derivative contractual volumes under our fixed price swaps as of September 30, 2020, a 10% increase in forward curves associated with the underlying commodity would have increased the net liability position to $32.7 million, an increase of $3.9 million, while a 10% decrease in forward curves associated with the underlying commodity would have decreased the net liability derivative position to $24.9 million, a decrease of $3.9 million. However, any cash derivative gain or loss would be substantially offset by a decrease or increase, respectively, in the actual sales value of production covered by the derivative instrument.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The ongoing COVID-19 pandemic, depressed commodity pricing environment and adverse macroeconomic conditions may enhance our purchaser credit risk.</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0.75% to 1.75% in the case of the alternative base rate and from 1.75% to 2.75% in the case of LIBOR, in each case depending on the amount of the loan outstanding in relation to the borrowing base. We entered into this credit agreement on July 8, 2014, as subsequently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amended, and as of September 30, 2020, we had $126.5 million in outstanding borrowings. During the three and nine months ended September 30, 2020, the weighted average interest rates on the Operating Company’s revolving credit facility were 2.14% and 2.66%, respectively.</w:t>
      </w:r>
    </w:p>
    <w:p>
      <w:pPr>
        <w:spacing w:after="0" w:line="200" w:lineRule="exact"/>
        <w:rPr>
          <w:sz w:val="20"/>
          <w:szCs w:val="20"/>
          <w:color w:val="auto"/>
        </w:rPr>
      </w:pP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2020,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September 30, 2020, our disclosure controls and procedures are effective.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September 30, 2020 that have materially affected, or are reasonably likely to materially affect, internal controls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12—Commitments and Contingencies.</w:t>
      </w:r>
    </w:p>
    <w:p>
      <w:pPr>
        <w:spacing w:after="0" w:line="1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of the date of this filing, we continue to be subject to the risk factors previously disclosed in Part I, Item 1A. Risk Factors in our Annual Report on Form 10-K for the year ended December 31, 2019, filed with the SEC on February 18, 2020, and in Part II, Item 1A. Risk Factors in our Quarterly Report on Form 10-Q for the quarterly period ended March 31, 2020, filed with the SEC on May 8, 2020. Depending on the duration of the COVID-19 pandemic and its severity and related economic repercussions, however, the negative impact of many of the risks discussed in such reports may be heightened or exacerbated. For a discussion of the recent trends and uncertainties impacting our business, see also “Management’s Discussion and Analysis of Financial Condition and Results of Operations—Recent Developments—COVID-19 and Collapse in Commodity Prices” and “—Production and Operational Update.”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September 30, 2020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 Units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 Units</w:t>
            </w:r>
          </w:p>
        </w:tc>
        <w:tc>
          <w:tcPr>
            <w:tcW w:w="120" w:type="dxa"/>
            <w:vAlign w:val="bottom"/>
          </w:tcPr>
          <w:p>
            <w:pPr>
              <w:spacing w:after="0"/>
              <w:rPr>
                <w:sz w:val="15"/>
                <w:szCs w:val="15"/>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Average Price Paid</w:t>
            </w: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10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Value of Units that</w:t>
            </w:r>
          </w:p>
        </w:tc>
        <w:tc>
          <w:tcPr>
            <w:tcW w:w="0" w:type="dxa"/>
            <w:vAlign w:val="bottom"/>
          </w:tcPr>
          <w:p>
            <w:pPr>
              <w:spacing w:after="0"/>
              <w:rPr>
                <w:sz w:val="1"/>
                <w:szCs w:val="1"/>
                <w:color w:val="auto"/>
              </w:rPr>
            </w:pPr>
          </w:p>
        </w:tc>
      </w:tr>
      <w:tr>
        <w:trPr>
          <w:trHeight w:val="175"/>
        </w:trPr>
        <w:tc>
          <w:tcPr>
            <w:tcW w:w="3880" w:type="dxa"/>
            <w:vAlign w:val="bottom"/>
            <w:gridSpan w:val="2"/>
            <w:vMerge w:val="restart"/>
          </w:tcPr>
          <w:p>
            <w:pPr>
              <w:ind w:left="1640"/>
              <w:spacing w:after="0"/>
              <w:rPr>
                <w:sz w:val="20"/>
                <w:szCs w:val="20"/>
                <w:color w:val="auto"/>
              </w:rPr>
            </w:pPr>
            <w:r>
              <w:rPr>
                <w:rFonts w:ascii="Arial" w:cs="Arial" w:eastAsia="Arial" w:hAnsi="Arial"/>
                <w:sz w:val="18"/>
                <w:szCs w:val="18"/>
                <w:b w:val="1"/>
                <w:bCs w:val="1"/>
                <w:color w:val="auto"/>
              </w:rPr>
              <w:t>Period</w:t>
            </w:r>
          </w:p>
        </w:tc>
        <w:tc>
          <w:tcPr>
            <w:tcW w:w="1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Publicly Announced</w:t>
            </w:r>
          </w:p>
        </w:tc>
        <w:tc>
          <w:tcPr>
            <w:tcW w:w="10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30"/>
        </w:trPr>
        <w:tc>
          <w:tcPr>
            <w:tcW w:w="3880" w:type="dxa"/>
            <w:vAlign w:val="bottom"/>
            <w:gridSpan w:val="2"/>
            <w:vMerge w:val="continue"/>
          </w:tcPr>
          <w:p>
            <w:pPr>
              <w:spacing w:after="0"/>
              <w:rPr>
                <w:sz w:val="19"/>
                <w:szCs w:val="19"/>
                <w:color w:val="auto"/>
              </w:rPr>
            </w:pPr>
          </w:p>
        </w:tc>
        <w:tc>
          <w:tcPr>
            <w:tcW w:w="186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 Unit</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Under the Plan</w:t>
            </w:r>
          </w:p>
        </w:tc>
        <w:tc>
          <w:tcPr>
            <w:tcW w:w="0" w:type="dxa"/>
            <w:vAlign w:val="bottom"/>
          </w:tcPr>
          <w:p>
            <w:pPr>
              <w:spacing w:after="0"/>
              <w:rPr>
                <w:sz w:val="1"/>
                <w:szCs w:val="1"/>
                <w:color w:val="auto"/>
              </w:rPr>
            </w:pPr>
          </w:p>
        </w:tc>
      </w:tr>
      <w:tr>
        <w:trPr>
          <w:trHeight w:val="207"/>
        </w:trPr>
        <w:tc>
          <w:tcPr>
            <w:tcW w:w="3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(Units in ones)</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2020 - July 31, 2020</w:t>
            </w:r>
          </w:p>
        </w:tc>
        <w:tc>
          <w:tcPr>
            <w:tcW w:w="186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August 1, 2020 - August 31, 2020</w:t>
            </w:r>
          </w:p>
        </w:tc>
        <w:tc>
          <w:tcPr>
            <w:tcW w:w="1860" w:type="dxa"/>
            <w:vAlign w:val="bottom"/>
          </w:tcPr>
          <w:p>
            <w:pPr>
              <w:ind w:left="166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2020 - September 30, 2020</w:t>
            </w:r>
          </w:p>
        </w:tc>
        <w:tc>
          <w:tcPr>
            <w:tcW w:w="186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w w:val="89"/>
              </w:rPr>
              <w:t>85</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Pr>
          <w:p>
            <w:pPr>
              <w:ind w:left="1660"/>
              <w:spacing w:after="0"/>
              <w:rPr>
                <w:sz w:val="20"/>
                <w:szCs w:val="20"/>
                <w:color w:val="auto"/>
              </w:rPr>
            </w:pPr>
            <w:r>
              <w:rPr>
                <w:rFonts w:ascii="Arial" w:cs="Arial" w:eastAsia="Arial" w:hAnsi="Arial"/>
                <w:sz w:val="18"/>
                <w:szCs w:val="18"/>
                <w:color w:val="auto"/>
                <w:w w:val="89"/>
              </w:rPr>
              <w:t>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540" w:right="3600" w:hanging="5532"/>
        <w:spacing w:after="0" w:line="919" w:lineRule="auto"/>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common units repurchased from employees in order to satisfy tax withholding requirements.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60"/>
              <w:spacing w:after="0"/>
              <w:rPr>
                <w:sz w:val="20"/>
                <w:szCs w:val="20"/>
                <w:color w:val="auto"/>
              </w:rPr>
            </w:pPr>
            <w:r>
              <w:rPr>
                <w:rFonts w:ascii="Arial" w:cs="Arial" w:eastAsia="Arial" w:hAnsi="Arial"/>
                <w:sz w:val="18"/>
                <w:szCs w:val="18"/>
                <w:b w:val="1"/>
                <w:bCs w:val="1"/>
                <w:color w:val="auto"/>
                <w:w w:val="99"/>
              </w:rPr>
              <w:t>Exhibit Number</w:t>
            </w:r>
          </w:p>
        </w:tc>
        <w:tc>
          <w:tcPr>
            <w:tcW w:w="9960" w:type="dxa"/>
            <w:vAlign w:val="bottom"/>
            <w:gridSpan w:val="18"/>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3"/>
        </w:trPr>
        <w:tc>
          <w:tcPr>
            <w:tcW w:w="1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3.1</w:t>
            </w:r>
          </w:p>
        </w:tc>
        <w:tc>
          <w:tcPr>
            <w:tcW w:w="9960" w:type="dxa"/>
            <w:vAlign w:val="bottom"/>
            <w:gridSpan w:val="18"/>
            <w:shd w:val="clear" w:color="auto" w:fill="CCEEFF"/>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Certificate of Limited Partnership of Viper Energy Partners LP (incorporated by reference to Exhibit 3.1 of the Partnership’s</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Registration Statement on Form S-1 (File 333-195769) filed on May 7, 2014).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3900" w:type="dxa"/>
            <w:vAlign w:val="bottom"/>
            <w:tcBorders>
              <w:top w:val="single" w:sz="8" w:color="0000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9960" w:type="dxa"/>
            <w:vAlign w:val="bottom"/>
            <w:gridSpan w:val="18"/>
          </w:tcPr>
          <w:p>
            <w:pPr>
              <w:spacing w:after="0" w:line="189"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Second Amended and Restated Agreement of Limited Partnership of Viper Energy Partners LP, dated as of May 9, 2018 (incorporated</w:t>
              </w:r>
            </w:hyperlink>
          </w:p>
        </w:tc>
      </w:tr>
      <w:tr>
        <w:trPr>
          <w:trHeight w:val="196"/>
        </w:trPr>
        <w:tc>
          <w:tcPr>
            <w:tcW w:w="1400" w:type="dxa"/>
            <w:vAlign w:val="bottom"/>
          </w:tcPr>
          <w:p>
            <w:pPr>
              <w:spacing w:after="0"/>
              <w:rPr>
                <w:sz w:val="17"/>
                <w:szCs w:val="17"/>
                <w:color w:val="auto"/>
              </w:rPr>
            </w:pPr>
          </w:p>
        </w:tc>
        <w:tc>
          <w:tcPr>
            <w:tcW w:w="9840" w:type="dxa"/>
            <w:vAlign w:val="bottom"/>
            <w:tcBorders>
              <w:top w:val="single" w:sz="8" w:color="0000FF"/>
            </w:tcBorders>
            <w:gridSpan w:val="12"/>
          </w:tcPr>
          <w:p>
            <w:pPr>
              <w:spacing w:after="0" w:line="196" w:lineRule="exact"/>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by reference to Exhibit 3.1 of the Partnership’s Current Report on Form 8-K (File 001-36505) filed on May 15, 2018).</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3.3</w:t>
            </w:r>
          </w:p>
        </w:tc>
        <w:tc>
          <w:tcPr>
            <w:tcW w:w="9960" w:type="dxa"/>
            <w:vAlign w:val="bottom"/>
            <w:gridSpan w:val="18"/>
            <w:shd w:val="clear" w:color="auto" w:fill="CCEEFF"/>
          </w:tcPr>
          <w:p>
            <w:pPr>
              <w:spacing w:after="0" w:line="189"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First Amendment to Second Amended and Restated Agreement of Limited Partnership of Viper Energy Partners LP, dated as of May</w:t>
              </w:r>
            </w:hyperlink>
          </w:p>
        </w:tc>
      </w:tr>
      <w:tr>
        <w:trPr>
          <w:trHeight w:val="155"/>
        </w:trPr>
        <w:tc>
          <w:tcPr>
            <w:tcW w:w="140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10, 2018. (incorporated by reference to Exhibit 3.2 of the Partnership’s Current Report on Form 8-K (File 001-36505) filed on May 15,</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1"/>
        </w:trPr>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6"/>
              </w:rPr>
            </w:pPr>
            <w:hyperlink r:id="rId62">
              <w:r>
                <w:rPr>
                  <w:rFonts w:ascii="Arial" w:cs="Arial" w:eastAsia="Arial" w:hAnsi="Arial"/>
                  <w:sz w:val="18"/>
                  <w:szCs w:val="18"/>
                  <w:color w:val="0000FF"/>
                  <w:w w:val="86"/>
                </w:rPr>
                <w:t>2018).</w:t>
              </w:r>
            </w:hyperlink>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56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3900" w:type="dxa"/>
            <w:vAlign w:val="bottom"/>
            <w:tcBorders>
              <w:top w:val="single" w:sz="8" w:color="0000FF"/>
              <w:bottom w:val="single" w:sz="8" w:color="CCEEFF"/>
            </w:tcBorders>
            <w:shd w:val="clear" w:color="auto" w:fill="CCEEFF"/>
          </w:tcPr>
          <w:p>
            <w:pPr>
              <w:spacing w:after="0"/>
              <w:rPr>
                <w:sz w:val="15"/>
                <w:szCs w:val="15"/>
                <w:color w:val="auto"/>
              </w:rPr>
            </w:pPr>
          </w:p>
        </w:tc>
        <w:tc>
          <w:tcPr>
            <w:tcW w:w="2040" w:type="dxa"/>
            <w:vAlign w:val="bottom"/>
            <w:tcBorders>
              <w:top w:val="single" w:sz="8" w:color="0000FF"/>
              <w:bottom w:val="single" w:sz="8" w:color="CCEEFF"/>
            </w:tcBorders>
            <w:shd w:val="clear" w:color="auto" w:fill="CCEEFF"/>
          </w:tcPr>
          <w:p>
            <w:pPr>
              <w:spacing w:after="0"/>
              <w:rPr>
                <w:sz w:val="15"/>
                <w:szCs w:val="15"/>
                <w:color w:val="auto"/>
              </w:rPr>
            </w:pPr>
          </w:p>
        </w:tc>
        <w:tc>
          <w:tcPr>
            <w:tcW w:w="20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4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3.4</w:t>
            </w:r>
          </w:p>
        </w:tc>
        <w:tc>
          <w:tcPr>
            <w:tcW w:w="9960" w:type="dxa"/>
            <w:vAlign w:val="bottom"/>
            <w:tcBorders>
              <w:top w:val="single" w:sz="8" w:color="CCEEFF"/>
            </w:tcBorders>
            <w:gridSpan w:val="18"/>
          </w:tcPr>
          <w:p>
            <w:pPr>
              <w:spacing w:after="0" w:line="189" w:lineRule="exact"/>
              <w:rPr>
                <w:rFonts w:ascii="Arial" w:cs="Arial" w:eastAsia="Arial" w:hAnsi="Arial"/>
                <w:sz w:val="18"/>
                <w:szCs w:val="18"/>
                <w:color w:val="0000FF"/>
                <w:w w:val="98"/>
              </w:rPr>
            </w:pPr>
            <w:hyperlink r:id="rId63">
              <w:r>
                <w:rPr>
                  <w:rFonts w:ascii="Arial" w:cs="Arial" w:eastAsia="Arial" w:hAnsi="Arial"/>
                  <w:sz w:val="18"/>
                  <w:szCs w:val="18"/>
                  <w:color w:val="0000FF"/>
                  <w:w w:val="98"/>
                </w:rPr>
                <w:t>Second Amended and Restated Limited Liability Company Agreement of Viper Energy Partners LLC, dated as of May 9, 2018.</w:t>
              </w:r>
            </w:hyperlink>
          </w:p>
        </w:tc>
      </w:tr>
      <w:tr>
        <w:trPr>
          <w:trHeight w:val="196"/>
        </w:trPr>
        <w:tc>
          <w:tcPr>
            <w:tcW w:w="1400" w:type="dxa"/>
            <w:vAlign w:val="bottom"/>
          </w:tcPr>
          <w:p>
            <w:pPr>
              <w:spacing w:after="0"/>
              <w:rPr>
                <w:sz w:val="17"/>
                <w:szCs w:val="17"/>
                <w:color w:val="auto"/>
              </w:rPr>
            </w:pPr>
          </w:p>
        </w:tc>
        <w:tc>
          <w:tcPr>
            <w:tcW w:w="9880" w:type="dxa"/>
            <w:vAlign w:val="bottom"/>
            <w:tcBorders>
              <w:top w:val="single" w:sz="8" w:color="0000FF"/>
            </w:tcBorders>
            <w:gridSpan w:val="14"/>
          </w:tcPr>
          <w:p>
            <w:pPr>
              <w:spacing w:after="0" w:line="196" w:lineRule="exact"/>
              <w:rPr>
                <w:rFonts w:ascii="Arial" w:cs="Arial" w:eastAsia="Arial" w:hAnsi="Arial"/>
                <w:sz w:val="18"/>
                <w:szCs w:val="18"/>
                <w:u w:val="single" w:color="auto"/>
                <w:color w:val="0000FF"/>
                <w:w w:val="95"/>
              </w:rPr>
            </w:pPr>
            <w:hyperlink r:id="rId63">
              <w:r>
                <w:rPr>
                  <w:rFonts w:ascii="Arial" w:cs="Arial" w:eastAsia="Arial" w:hAnsi="Arial"/>
                  <w:sz w:val="18"/>
                  <w:szCs w:val="18"/>
                  <w:u w:val="single" w:color="auto"/>
                  <w:color w:val="0000FF"/>
                  <w:w w:val="95"/>
                </w:rPr>
                <w:t>(incorporated by reference to Exhibit 3.3 of the Partnership’s Current Report on Form 8-K (File 001-36505) filed on May 15, 2018).</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3.5</w:t>
            </w:r>
          </w:p>
        </w:tc>
        <w:tc>
          <w:tcPr>
            <w:tcW w:w="9960" w:type="dxa"/>
            <w:vAlign w:val="bottom"/>
            <w:gridSpan w:val="18"/>
            <w:shd w:val="clear" w:color="auto" w:fill="CCEEFF"/>
          </w:tcPr>
          <w:p>
            <w:pPr>
              <w:spacing w:after="0" w:line="189" w:lineRule="exact"/>
              <w:rPr>
                <w:rFonts w:ascii="Arial" w:cs="Arial" w:eastAsia="Arial" w:hAnsi="Arial"/>
                <w:sz w:val="18"/>
                <w:szCs w:val="18"/>
                <w:color w:val="0000FF"/>
                <w:w w:val="93"/>
              </w:rPr>
            </w:pPr>
            <w:hyperlink r:id="rId64">
              <w:r>
                <w:rPr>
                  <w:rFonts w:ascii="Arial" w:cs="Arial" w:eastAsia="Arial" w:hAnsi="Arial"/>
                  <w:sz w:val="18"/>
                  <w:szCs w:val="18"/>
                  <w:color w:val="0000FF"/>
                  <w:w w:val="93"/>
                </w:rPr>
                <w:t>First Amendment to Second Amended and Restated Limited Liability Company Agreement of Viper Energy Partners LLC, dated as of</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March 30, 2020 (incorporated by reference to Exhibit 3.1 of the Partnership’s Current Report on Form 8-K (File 001-36505) filed on</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76"/>
        </w:trPr>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March 31, 2020).</w:t>
              </w:r>
            </w:hyperlink>
          </w:p>
        </w:tc>
        <w:tc>
          <w:tcPr>
            <w:tcW w:w="860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9960" w:type="dxa"/>
            <w:vAlign w:val="bottom"/>
            <w:gridSpan w:val="18"/>
          </w:tcPr>
          <w:p>
            <w:pPr>
              <w:spacing w:after="0" w:line="189" w:lineRule="exact"/>
              <w:rPr>
                <w:rFonts w:ascii="Arial" w:cs="Arial" w:eastAsia="Arial" w:hAnsi="Arial"/>
                <w:sz w:val="18"/>
                <w:szCs w:val="18"/>
                <w:color w:val="0000FF"/>
                <w:w w:val="97"/>
              </w:rPr>
            </w:pPr>
            <w:hyperlink r:id="rId65">
              <w:r>
                <w:rPr>
                  <w:rFonts w:ascii="Arial" w:cs="Arial" w:eastAsia="Arial" w:hAnsi="Arial"/>
                  <w:sz w:val="18"/>
                  <w:szCs w:val="18"/>
                  <w:color w:val="0000FF"/>
                  <w:w w:val="97"/>
                </w:rPr>
                <w:t>Amended and Restated Registration Rights Agreement, dated as of May 9, 2018, by and between Viper Energy Partners LP and</w:t>
              </w:r>
            </w:hyperlink>
          </w:p>
        </w:tc>
      </w:tr>
      <w:tr>
        <w:trPr>
          <w:trHeight w:val="156"/>
        </w:trPr>
        <w:tc>
          <w:tcPr>
            <w:tcW w:w="14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Diamondback Energy, Inc. (incorporated by reference to Exhibit 4.1 of the Partnership’s Current Report on Form 8-K (File 001-36505)</w:t>
              </w:r>
            </w:hyperlink>
          </w:p>
        </w:tc>
        <w:tc>
          <w:tcPr>
            <w:tcW w:w="100" w:type="dxa"/>
            <w:vAlign w:val="bottom"/>
            <w:tcBorders>
              <w:bottom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9920" w:type="dxa"/>
            <w:vAlign w:val="bottom"/>
            <w:gridSpan w:val="16"/>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filed on May 15, 2018).</w:t>
              </w:r>
            </w:hyperlink>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9960" w:type="dxa"/>
            <w:vAlign w:val="bottom"/>
            <w:gridSpan w:val="18"/>
            <w:shd w:val="clear" w:color="auto" w:fill="CCEEFF"/>
          </w:tcPr>
          <w:p>
            <w:pPr>
              <w:spacing w:after="0" w:line="189" w:lineRule="exact"/>
              <w:rPr>
                <w:rFonts w:ascii="Arial" w:cs="Arial" w:eastAsia="Arial" w:hAnsi="Arial"/>
                <w:sz w:val="18"/>
                <w:szCs w:val="18"/>
                <w:color w:val="0000FF"/>
                <w:w w:val="99"/>
              </w:rPr>
            </w:pPr>
            <w:hyperlink w:anchor="page41">
              <w:r>
                <w:rPr>
                  <w:rFonts w:ascii="Arial" w:cs="Arial" w:eastAsia="Arial" w:hAnsi="Arial"/>
                  <w:sz w:val="18"/>
                  <w:szCs w:val="18"/>
                  <w:color w:val="0000FF"/>
                  <w:w w:val="99"/>
                </w:rPr>
                <w:t>Certification of Chief Executive Officer pursuant to Rule 13a-14(a) promulgated under the Securities Exchange Act of 1934, as</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amended.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8"/>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90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9960" w:type="dxa"/>
            <w:vAlign w:val="bottom"/>
            <w:gridSpan w:val="18"/>
          </w:tcPr>
          <w:p>
            <w:pPr>
              <w:spacing w:after="0" w:line="189"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Certification of Chief Financial Officer pursuant to Rule 13a-14(a) promulgated under the Securities Exchange Act of 1934, as</w:t>
              </w:r>
            </w:hyperlink>
          </w:p>
        </w:tc>
      </w:tr>
      <w:tr>
        <w:trPr>
          <w:trHeight w:val="155"/>
        </w:trPr>
        <w:tc>
          <w:tcPr>
            <w:tcW w:w="1400" w:type="dxa"/>
            <w:vAlign w:val="bottom"/>
          </w:tcPr>
          <w:p>
            <w:pPr>
              <w:spacing w:after="0"/>
              <w:rPr>
                <w:sz w:val="13"/>
                <w:szCs w:val="13"/>
                <w:color w:val="auto"/>
              </w:rPr>
            </w:pPr>
          </w:p>
        </w:tc>
        <w:tc>
          <w:tcPr>
            <w:tcW w:w="98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amended.</w:t>
              </w:r>
            </w:hyperlink>
          </w:p>
        </w:tc>
        <w:tc>
          <w:tcPr>
            <w:tcW w:w="160" w:type="dxa"/>
            <w:vAlign w:val="bottom"/>
            <w:gridSpan w:val="8"/>
          </w:tcPr>
          <w:p>
            <w:pPr>
              <w:spacing w:after="0"/>
              <w:rPr>
                <w:sz w:val="13"/>
                <w:szCs w:val="13"/>
                <w:color w:val="auto"/>
              </w:rPr>
            </w:pPr>
          </w:p>
        </w:tc>
      </w:tr>
      <w:tr>
        <w:trPr>
          <w:trHeight w:val="61"/>
        </w:trPr>
        <w:tc>
          <w:tcPr>
            <w:tcW w:w="1400" w:type="dxa"/>
            <w:vAlign w:val="bottom"/>
          </w:tcPr>
          <w:p>
            <w:pPr>
              <w:spacing w:after="0"/>
              <w:rPr>
                <w:sz w:val="5"/>
                <w:szCs w:val="5"/>
                <w:color w:val="auto"/>
              </w:rPr>
            </w:pPr>
          </w:p>
        </w:tc>
        <w:tc>
          <w:tcPr>
            <w:tcW w:w="4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9960" w:type="dxa"/>
            <w:vAlign w:val="bottom"/>
            <w:gridSpan w:val="18"/>
            <w:shd w:val="clear" w:color="auto" w:fill="CCEEFF"/>
          </w:tcPr>
          <w:p>
            <w:pPr>
              <w:spacing w:after="0" w:line="189" w:lineRule="exact"/>
              <w:rPr>
                <w:rFonts w:ascii="Arial" w:cs="Arial" w:eastAsia="Arial" w:hAnsi="Arial"/>
                <w:sz w:val="18"/>
                <w:szCs w:val="18"/>
                <w:color w:val="0000FF"/>
                <w:w w:val="98"/>
              </w:rPr>
            </w:pPr>
            <w:hyperlink w:anchor="page43">
              <w:r>
                <w:rPr>
                  <w:rFonts w:ascii="Arial" w:cs="Arial" w:eastAsia="Arial" w:hAnsi="Arial"/>
                  <w:sz w:val="18"/>
                  <w:szCs w:val="18"/>
                  <w:color w:val="0000FF"/>
                  <w:w w:val="98"/>
                </w:rPr>
                <w:t>Certification of Chief Executive Officer and Chief Financial Officer pursuant to Rule 13a-14(b) promulgated under the Securities</w:t>
              </w:r>
            </w:hyperlink>
          </w:p>
        </w:tc>
      </w:tr>
      <w:tr>
        <w:trPr>
          <w:trHeight w:val="155"/>
        </w:trPr>
        <w:tc>
          <w:tcPr>
            <w:tcW w:w="140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Exchange Act of 1934, as amended, and Section 1350 of Chapter 63 of Title 18 of the United States Code.</w:t>
              </w:r>
            </w:hyperlink>
          </w:p>
        </w:tc>
        <w:tc>
          <w:tcPr>
            <w:tcW w:w="180" w:type="dxa"/>
            <w:vAlign w:val="bottom"/>
            <w:tcBorders>
              <w:top w:val="single" w:sz="8" w:color="CCEEFF"/>
            </w:tcBorders>
            <w:gridSpan w:val="9"/>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3900" w:type="dxa"/>
            <w:vAlign w:val="bottom"/>
            <w:tcBorders>
              <w:top w:val="single" w:sz="8" w:color="0000FF"/>
            </w:tcBorders>
            <w:shd w:val="clear" w:color="auto" w:fill="CCEEFF"/>
          </w:tcPr>
          <w:p>
            <w:pPr>
              <w:spacing w:after="0"/>
              <w:rPr>
                <w:sz w:val="5"/>
                <w:szCs w:val="5"/>
                <w:color w:val="auto"/>
              </w:rPr>
            </w:pPr>
          </w:p>
        </w:tc>
        <w:tc>
          <w:tcPr>
            <w:tcW w:w="2040" w:type="dxa"/>
            <w:vAlign w:val="bottom"/>
            <w:tcBorders>
              <w:top w:val="single" w:sz="8" w:color="0000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jc w:val="both"/>
        <w:ind w:left="1400" w:right="60" w:hanging="1374"/>
        <w:spacing w:after="0" w:line="219"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2020, formatted in Inline XBRL: (i) Condensed Consolidated Balance Sheets, (ii) Condensed Consolidated Statements of Operations, (iii) Condensed Consolidated Statement of Changes in Unitholders’ Equity, (iv) Condensed Consolidated Statements of Cash Flows and (v) Condensed Notes to Consolidated Financial Statements.</w:t>
      </w:r>
    </w:p>
    <w:p>
      <w:pPr>
        <w:spacing w:after="0" w:line="108"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00" w:hanging="474"/>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500" w:right="40" w:hanging="474"/>
        <w:spacing w:after="0" w:line="22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60" w:type="dxa"/>
            <w:vAlign w:val="bottom"/>
            <w:gridSpan w:val="2"/>
          </w:tcPr>
          <w:p>
            <w:pPr>
              <w:ind w:left="1640"/>
              <w:spacing w:after="0"/>
              <w:rPr>
                <w:sz w:val="20"/>
                <w:szCs w:val="20"/>
                <w:color w:val="auto"/>
              </w:rPr>
            </w:pPr>
            <w:r>
              <w:rPr>
                <w:rFonts w:ascii="Arial" w:cs="Arial" w:eastAsia="Arial" w:hAnsi="Arial"/>
                <w:sz w:val="18"/>
                <w:szCs w:val="18"/>
                <w:b w:val="1"/>
                <w:bCs w:val="1"/>
                <w:color w:val="auto"/>
              </w:rPr>
              <w:t>VIPER ENERGY PARTNERS LP</w:t>
            </w:r>
          </w:p>
        </w:tc>
      </w:tr>
      <w:tr>
        <w:trPr>
          <w:trHeight w:val="499"/>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560" w:type="dxa"/>
            <w:vAlign w:val="bottom"/>
            <w:gridSpan w:val="2"/>
          </w:tcPr>
          <w:p>
            <w:pPr>
              <w:ind w:left="1640"/>
              <w:spacing w:after="0"/>
              <w:rPr>
                <w:sz w:val="20"/>
                <w:szCs w:val="20"/>
                <w:color w:val="auto"/>
              </w:rPr>
            </w:pPr>
            <w:r>
              <w:rPr>
                <w:rFonts w:ascii="Arial" w:cs="Arial" w:eastAsia="Arial" w:hAnsi="Arial"/>
                <w:sz w:val="18"/>
                <w:szCs w:val="18"/>
                <w:color w:val="auto"/>
              </w:rPr>
              <w:t>By:   VIPER ENERGY PARTNERS GP LLC</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40"/>
              <w:spacing w:after="0"/>
              <w:rPr>
                <w:sz w:val="20"/>
                <w:szCs w:val="20"/>
                <w:color w:val="auto"/>
              </w:rPr>
            </w:pPr>
            <w:r>
              <w:rPr>
                <w:rFonts w:ascii="Arial" w:cs="Arial" w:eastAsia="Arial" w:hAnsi="Arial"/>
                <w:sz w:val="18"/>
                <w:szCs w:val="18"/>
                <w:color w:val="auto"/>
              </w:rPr>
              <w:t>November 5, 2020</w:t>
            </w:r>
          </w:p>
        </w:tc>
        <w:tc>
          <w:tcPr>
            <w:tcW w:w="2100" w:type="dxa"/>
            <w:vAlign w:val="bottom"/>
          </w:tcPr>
          <w:p>
            <w:pPr>
              <w:ind w:left="16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40"/>
              <w:spacing w:after="0"/>
              <w:rPr>
                <w:sz w:val="20"/>
                <w:szCs w:val="20"/>
                <w:color w:val="auto"/>
              </w:rPr>
            </w:pPr>
            <w:r>
              <w:rPr>
                <w:rFonts w:ascii="Arial" w:cs="Arial" w:eastAsia="Arial" w:hAnsi="Arial"/>
                <w:sz w:val="18"/>
                <w:szCs w:val="18"/>
                <w:color w:val="auto"/>
              </w:rPr>
              <w:t>November 5, 2020</w:t>
            </w:r>
          </w:p>
        </w:tc>
        <w:tc>
          <w:tcPr>
            <w:tcW w:w="2100" w:type="dxa"/>
            <w:vAlign w:val="bottom"/>
          </w:tcPr>
          <w:p>
            <w:pPr>
              <w:ind w:left="16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20"/>
              <w:spacing w:after="0"/>
              <w:rPr>
                <w:sz w:val="20"/>
                <w:szCs w:val="20"/>
                <w:color w:val="auto"/>
              </w:rPr>
            </w:pPr>
            <w:r>
              <w:rPr>
                <w:rFonts w:ascii="Arial" w:cs="Arial" w:eastAsia="Arial" w:hAnsi="Arial"/>
                <w:sz w:val="18"/>
                <w:szCs w:val="18"/>
                <w:color w:val="auto"/>
              </w:rPr>
              <w:t>November 5, 2020</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180"/>
              <w:spacing w:after="0"/>
              <w:rPr>
                <w:sz w:val="20"/>
                <w:szCs w:val="20"/>
                <w:color w:val="auto"/>
              </w:rPr>
            </w:pPr>
            <w:r>
              <w:rPr>
                <w:rFonts w:ascii="Arial" w:cs="Arial" w:eastAsia="Arial" w:hAnsi="Arial"/>
                <w:sz w:val="18"/>
                <w:szCs w:val="18"/>
                <w:color w:val="auto"/>
              </w:rPr>
              <w:t>November 5, 2020</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80"/>
              <w:spacing w:after="0"/>
              <w:rPr>
                <w:sz w:val="20"/>
                <w:szCs w:val="20"/>
                <w:color w:val="auto"/>
              </w:rPr>
            </w:pPr>
            <w:r>
              <w:rPr>
                <w:rFonts w:ascii="Arial" w:cs="Arial" w:eastAsia="Arial" w:hAnsi="Arial"/>
                <w:sz w:val="18"/>
                <w:szCs w:val="18"/>
                <w:color w:val="auto"/>
              </w:rPr>
              <w:t>November 5, 2020</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80"/>
              <w:spacing w:after="0"/>
              <w:rPr>
                <w:sz w:val="20"/>
                <w:szCs w:val="20"/>
                <w:color w:val="auto"/>
              </w:rPr>
            </w:pPr>
            <w:r>
              <w:rPr>
                <w:rFonts w:ascii="Arial" w:cs="Arial" w:eastAsia="Arial" w:hAnsi="Arial"/>
                <w:sz w:val="18"/>
                <w:szCs w:val="18"/>
                <w:color w:val="auto"/>
              </w:rPr>
              <w:t>November 5, 2020</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1"/>
    </w:lvl>
  </w:abstractNum>
  <w:abstractNum w:abstractNumId="7">
    <w:nsid w:val="3352255A"/>
    <w:multiLevelType w:val="hybridMultilevel"/>
    <w:lvl w:ilvl="0">
      <w:lvlJc w:val="left"/>
      <w:lvlText w:val="(%1)"/>
      <w:numFmt w:val="lowerRoman"/>
      <w:start w:val="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0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43" Type="http://schemas.openxmlformats.org/officeDocument/2006/relationships/hyperlink" Target="http://www.sec.gov/ix?doc=/Archives/edgar/data/1602065/000160206520000009/viper201910-k.htm" TargetMode="External"/><Relationship Id="rId60" Type="http://schemas.openxmlformats.org/officeDocument/2006/relationships/hyperlink" Target="http://www.sec.gov/Archives/edgar/data/1602065/000119312514187469/d673207dex31.htm" TargetMode="External"/><Relationship Id="rId61" Type="http://schemas.openxmlformats.org/officeDocument/2006/relationships/hyperlink" Target="http://www.sec.gov/Archives/edgar/data/1602065/000160206518000017/viperex31-5x15x18.htm" TargetMode="External"/><Relationship Id="rId62" Type="http://schemas.openxmlformats.org/officeDocument/2006/relationships/hyperlink" Target="http://www.sec.gov/Archives/edgar/data/1602065/000160206518000017/viperex32-5x15x18.htm" TargetMode="External"/><Relationship Id="rId63" Type="http://schemas.openxmlformats.org/officeDocument/2006/relationships/hyperlink" Target="http://www.sec.gov/Archives/edgar/data/1602065/000160206518000017/viperex33-5x15x18.htm" TargetMode="External"/><Relationship Id="rId64" Type="http://schemas.openxmlformats.org/officeDocument/2006/relationships/hyperlink" Target="http://www.sec.gov/Archives/edgar/data/1602065/000160206520000014/viperex31-33120.htm" TargetMode="External"/><Relationship Id="rId65" Type="http://schemas.openxmlformats.org/officeDocument/2006/relationships/hyperlink" Target="http://www.sec.gov/Archives/edgar/data/1602065/000160206518000017/viperex41-5x15x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2020-11-05T16:40:36Z</dcterms:created>
  <dcterms:modified xsi:type="dcterms:W3CDTF">2020-11-05T16:40:36Z</dcterms:modified>
</cp:coreProperties>
</file>