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52070</wp:posOffset>
            </wp:positionV>
            <wp:extent cx="2623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100330</wp:posOffset>
            </wp:positionV>
            <wp:extent cx="26231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8"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SECURITIES EXCHANGE ACT OF 1934</w:t>
      </w:r>
    </w:p>
    <w:p>
      <w:pPr>
        <w:spacing w:after="0" w:line="10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123190</wp:posOffset>
            </wp:positionV>
            <wp:extent cx="262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73025</wp:posOffset>
            </wp:positionV>
            <wp:extent cx="2623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56" w:lineRule="exact"/>
        <w:rPr>
          <w:sz w:val="24"/>
          <w:szCs w:val="24"/>
          <w:color w:val="auto"/>
        </w:rPr>
      </w:pPr>
    </w:p>
    <w:tbl>
      <w:tblPr>
        <w:tblLayout w:type="fixed"/>
        <w:tblInd w:w="1980" w:type="dxa"/>
        <w:tblCellMar>
          <w:top w:w="0" w:type="dxa"/>
          <w:left w:w="0" w:type="dxa"/>
          <w:bottom w:w="0" w:type="dxa"/>
          <w:right w:w="0" w:type="dxa"/>
        </w:tblCellMar>
      </w:tblPr>
      <w:tr>
        <w:trPr>
          <w:trHeight w:val="186"/>
        </w:trPr>
        <w:tc>
          <w:tcPr>
            <w:tcW w:w="3780" w:type="dxa"/>
            <w:vAlign w:val="bottom"/>
          </w:tcPr>
          <w:p>
            <w:pPr>
              <w:jc w:val="center"/>
              <w:ind w:right="788"/>
              <w:spacing w:after="0"/>
              <w:rPr>
                <w:sz w:val="20"/>
                <w:szCs w:val="20"/>
                <w:color w:val="auto"/>
              </w:rPr>
            </w:pPr>
            <w:r>
              <w:rPr>
                <w:rFonts w:ascii="Arial" w:cs="Arial" w:eastAsia="Arial" w:hAnsi="Arial"/>
                <w:sz w:val="14"/>
                <w:szCs w:val="14"/>
                <w:b w:val="1"/>
                <w:bCs w:val="1"/>
                <w:color w:val="auto"/>
              </w:rPr>
              <w:t>DE</w:t>
            </w:r>
          </w:p>
        </w:tc>
        <w:tc>
          <w:tcPr>
            <w:tcW w:w="3340" w:type="dxa"/>
            <w:vAlign w:val="bottom"/>
          </w:tcPr>
          <w:p>
            <w:pPr>
              <w:jc w:val="right"/>
              <w:ind w:right="828"/>
              <w:spacing w:after="0"/>
              <w:rPr>
                <w:sz w:val="20"/>
                <w:szCs w:val="20"/>
                <w:color w:val="auto"/>
              </w:rPr>
            </w:pPr>
            <w:r>
              <w:rPr>
                <w:rFonts w:ascii="Arial" w:cs="Arial" w:eastAsia="Arial" w:hAnsi="Arial"/>
                <w:sz w:val="14"/>
                <w:szCs w:val="14"/>
                <w:b w:val="1"/>
                <w:bCs w:val="1"/>
                <w:color w:val="auto"/>
              </w:rPr>
              <w:t>46-5001985</w:t>
            </w:r>
          </w:p>
        </w:tc>
      </w:tr>
      <w:tr>
        <w:trPr>
          <w:trHeight w:val="377"/>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88"/>
              <w:spacing w:after="0"/>
              <w:rPr>
                <w:sz w:val="20"/>
                <w:szCs w:val="20"/>
                <w:color w:val="auto"/>
              </w:rPr>
            </w:pPr>
            <w:r>
              <w:rPr>
                <w:rFonts w:ascii="Arial" w:cs="Arial" w:eastAsia="Arial" w:hAnsi="Arial"/>
                <w:sz w:val="14"/>
                <w:szCs w:val="14"/>
                <w:b w:val="1"/>
                <w:bCs w:val="1"/>
                <w:color w:val="auto"/>
                <w:w w:val="95"/>
              </w:rPr>
              <w:t>(I.R.S. Employer Identification Number)</w:t>
            </w:r>
          </w:p>
        </w:tc>
      </w:tr>
      <w:tr>
        <w:trPr>
          <w:trHeight w:val="186"/>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r>
      <w:tr>
        <w:trPr>
          <w:trHeight w:val="409"/>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88"/>
              </w:rPr>
              <w:t>500 West Texas Ave.</w:t>
            </w:r>
          </w:p>
        </w:tc>
        <w:tc>
          <w:tcPr>
            <w:tcW w:w="3340" w:type="dxa"/>
            <w:vAlign w:val="bottom"/>
          </w:tcPr>
          <w:p>
            <w:pPr>
              <w:spacing w:after="0"/>
              <w:rPr>
                <w:sz w:val="24"/>
                <w:szCs w:val="24"/>
                <w:color w:val="auto"/>
              </w:rPr>
            </w:pPr>
          </w:p>
        </w:tc>
      </w:tr>
      <w:tr>
        <w:trPr>
          <w:trHeight w:val="203"/>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4"/>
              </w:rPr>
              <w:t>Suite 100</w:t>
            </w:r>
          </w:p>
        </w:tc>
        <w:tc>
          <w:tcPr>
            <w:tcW w:w="3340" w:type="dxa"/>
            <w:vAlign w:val="bottom"/>
          </w:tcPr>
          <w:p>
            <w:pPr>
              <w:spacing w:after="0"/>
              <w:rPr>
                <w:sz w:val="17"/>
                <w:szCs w:val="17"/>
                <w:color w:val="auto"/>
              </w:rPr>
            </w:pPr>
          </w:p>
        </w:tc>
      </w:tr>
      <w:tr>
        <w:trPr>
          <w:trHeight w:val="189"/>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9"/>
              </w:rPr>
              <w:t>Midland, TX</w:t>
            </w:r>
          </w:p>
        </w:tc>
        <w:tc>
          <w:tcPr>
            <w:tcW w:w="3340" w:type="dxa"/>
            <w:vAlign w:val="bottom"/>
          </w:tcPr>
          <w:p>
            <w:pPr>
              <w:jc w:val="right"/>
              <w:ind w:right="988"/>
              <w:spacing w:after="0"/>
              <w:rPr>
                <w:sz w:val="20"/>
                <w:szCs w:val="20"/>
                <w:color w:val="auto"/>
              </w:rPr>
            </w:pPr>
            <w:r>
              <w:rPr>
                <w:rFonts w:ascii="Arial" w:cs="Arial" w:eastAsia="Arial" w:hAnsi="Arial"/>
                <w:sz w:val="14"/>
                <w:szCs w:val="14"/>
                <w:b w:val="1"/>
                <w:bCs w:val="1"/>
                <w:color w:val="auto"/>
              </w:rPr>
              <w:t>79701</w:t>
            </w:r>
          </w:p>
        </w:tc>
      </w:tr>
      <w:tr>
        <w:trPr>
          <w:trHeight w:val="203"/>
        </w:trPr>
        <w:tc>
          <w:tcPr>
            <w:tcW w:w="3780" w:type="dxa"/>
            <w:vAlign w:val="bottom"/>
          </w:tcPr>
          <w:p>
            <w:pPr>
              <w:jc w:val="center"/>
              <w:ind w:right="7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88"/>
              <w:spacing w:after="0"/>
              <w:rPr>
                <w:sz w:val="20"/>
                <w:szCs w:val="20"/>
                <w:color w:val="auto"/>
              </w:rPr>
            </w:pPr>
            <w:r>
              <w:rPr>
                <w:rFonts w:ascii="Arial" w:cs="Arial" w:eastAsia="Arial" w:hAnsi="Arial"/>
                <w:sz w:val="14"/>
                <w:szCs w:val="14"/>
                <w:b w:val="1"/>
                <w:bCs w:val="1"/>
                <w:color w:val="auto"/>
                <w:w w:val="95"/>
              </w:rPr>
              <w:t>(Zip code)</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42" w:lineRule="exact"/>
        <w:rPr>
          <w:sz w:val="24"/>
          <w:szCs w:val="24"/>
          <w:color w:val="auto"/>
        </w:rPr>
      </w:pPr>
    </w:p>
    <w:tbl>
      <w:tblPr>
        <w:tblLayout w:type="fixed"/>
        <w:tblInd w:w="2900" w:type="dxa"/>
        <w:tblCellMar>
          <w:top w:w="0" w:type="dxa"/>
          <w:left w:w="0" w:type="dxa"/>
          <w:bottom w:w="0" w:type="dxa"/>
          <w:right w:w="0" w:type="dxa"/>
        </w:tblCellMar>
      </w:tblPr>
      <w:tr>
        <w:trPr>
          <w:trHeight w:val="16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9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7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8"/>
        </w:trPr>
        <w:tc>
          <w:tcPr>
            <w:tcW w:w="108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9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VNOM</w:t>
            </w:r>
          </w:p>
        </w:tc>
        <w:tc>
          <w:tcPr>
            <w:tcW w:w="76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203"/>
        </w:trPr>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4" w:lineRule="exact"/>
        <w:rPr>
          <w:sz w:val="24"/>
          <w:szCs w:val="24"/>
          <w:color w:val="auto"/>
        </w:rPr>
      </w:pPr>
    </w:p>
    <w:p>
      <w:pPr>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As of July 28, 2023, the registrant had outstanding 70,904,057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0"/>
              </w:rPr>
              <w:t>Glossary of Oil and Natural Gas Terms</w:t>
            </w:r>
          </w:p>
        </w:tc>
        <w:tc>
          <w:tcPr>
            <w:tcW w:w="7720" w:type="dxa"/>
            <w:vAlign w:val="bottom"/>
            <w:tcBorders>
              <w:bottom w:val="single" w:sz="8" w:color="CCEEFF"/>
            </w:tcBorders>
            <w:gridSpan w:val="15"/>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0000FF"/>
              </w:rPr>
              <w:t>ii</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0540" w:type="dxa"/>
            <w:vAlign w:val="bottom"/>
            <w:gridSpan w:val="24"/>
          </w:tcPr>
          <w:p>
            <w:pPr>
              <w:spacing w:after="0" w:line="183" w:lineRule="exact"/>
              <w:rPr>
                <w:sz w:val="20"/>
                <w:szCs w:val="20"/>
                <w:color w:val="auto"/>
              </w:rPr>
            </w:pPr>
            <w:r>
              <w:rPr>
                <w:rFonts w:ascii="Arial" w:cs="Arial" w:eastAsia="Arial" w:hAnsi="Arial"/>
                <w:sz w:val="18"/>
                <w:szCs w:val="18"/>
                <w:color w:val="0000FF"/>
              </w:rPr>
              <w:t>Glossary of Certain Other Terms</w:t>
            </w: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0000FF"/>
                <w:w w:val="99"/>
              </w:rPr>
              <w:t>iii</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91"/>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80" w:type="dxa"/>
            <w:vAlign w:val="bottom"/>
            <w:gridSpan w:val="13"/>
            <w:shd w:val="clear" w:color="auto" w:fill="CCEEFF"/>
          </w:tcPr>
          <w:p>
            <w:pPr>
              <w:jc w:val="center"/>
              <w:ind w:right="3420"/>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 Condensed Consolidated Financial Statements (Unaudited)</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1</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9"/>
            <w:shd w:val="clear" w:color="auto" w:fill="CCEEFF"/>
          </w:tcPr>
          <w:p>
            <w:pPr>
              <w:spacing w:after="0" w:line="182" w:lineRule="exact"/>
              <w:rPr>
                <w:sz w:val="20"/>
                <w:szCs w:val="20"/>
                <w:color w:val="auto"/>
              </w:rPr>
            </w:pPr>
            <w:r>
              <w:rPr>
                <w:rFonts w:ascii="Arial" w:cs="Arial" w:eastAsia="Arial" w:hAnsi="Arial"/>
                <w:sz w:val="18"/>
                <w:szCs w:val="18"/>
                <w:color w:val="0000FF"/>
                <w:w w:val="87"/>
              </w:rPr>
              <w:t>Condensed Consolidated Balance Sheets</w:t>
            </w:r>
          </w:p>
        </w:tc>
        <w:tc>
          <w:tcPr>
            <w:tcW w:w="6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sz w:val="20"/>
                <w:szCs w:val="20"/>
                <w:color w:val="auto"/>
              </w:rPr>
            </w:pPr>
            <w:r>
              <w:rPr>
                <w:rFonts w:ascii="Arial" w:cs="Arial" w:eastAsia="Arial" w:hAnsi="Arial"/>
                <w:sz w:val="18"/>
                <w:szCs w:val="18"/>
                <w:color w:val="0000FF"/>
                <w:w w:val="79"/>
              </w:rPr>
              <w:t>1</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3"/>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2</w:t>
            </w:r>
          </w:p>
        </w:tc>
        <w:tc>
          <w:tcPr>
            <w:tcW w:w="2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1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89"/>
              </w:rPr>
              <w:t>Condensed Consolidated Statements of Changes to Unitholders’ Equity</w:t>
            </w:r>
          </w:p>
        </w:tc>
        <w:tc>
          <w:tcPr>
            <w:tcW w:w="4740" w:type="dxa"/>
            <w:vAlign w:val="bottom"/>
            <w:gridSpan w:val="4"/>
            <w:shd w:val="clear" w:color="auto" w:fill="CCEEFF"/>
          </w:tcPr>
          <w:p>
            <w:pPr>
              <w:spacing w:after="0"/>
              <w:rPr>
                <w:sz w:val="16"/>
                <w:szCs w:val="16"/>
                <w:color w:val="auto"/>
              </w:rPr>
            </w:pP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3</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9"/>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sz w:val="20"/>
                <w:szCs w:val="20"/>
                <w:color w:val="auto"/>
              </w:rPr>
            </w:pPr>
            <w:r>
              <w:rPr>
                <w:rFonts w:ascii="Arial" w:cs="Arial" w:eastAsia="Arial" w:hAnsi="Arial"/>
                <w:sz w:val="18"/>
                <w:szCs w:val="18"/>
                <w:color w:val="0000FF"/>
                <w:w w:val="79"/>
              </w:rPr>
              <w:t>5</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8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Condensed Notes to Consolidated Financial Statements</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6</w:t>
            </w:r>
          </w:p>
        </w:tc>
        <w:tc>
          <w:tcPr>
            <w:tcW w:w="240" w:type="dxa"/>
            <w:vAlign w:val="bottom"/>
            <w:shd w:val="clear" w:color="auto" w:fill="CCEEFF"/>
          </w:tcPr>
          <w:p>
            <w:pPr>
              <w:spacing w:after="0"/>
              <w:rPr>
                <w:sz w:val="19"/>
                <w:szCs w:val="19"/>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420" w:type="dxa"/>
            <w:vAlign w:val="bottom"/>
            <w:tcBorders>
              <w:right w:val="single" w:sz="8" w:color="CCEEFF"/>
            </w:tcBorders>
            <w:gridSpan w:val="2"/>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17</w:t>
            </w: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420" w:type="dxa"/>
            <w:vAlign w:val="bottom"/>
            <w:tcBorders>
              <w:right w:val="single" w:sz="8" w:color="CCEEFF"/>
            </w:tcBorders>
            <w:gridSpan w:val="2"/>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27</w:t>
            </w: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420" w:type="dxa"/>
            <w:vAlign w:val="bottom"/>
            <w:tcBorders>
              <w:right w:val="single" w:sz="8" w:color="CCEEFF"/>
            </w:tcBorders>
            <w:gridSpan w:val="2"/>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28</w:t>
            </w:r>
          </w:p>
        </w:tc>
        <w:tc>
          <w:tcPr>
            <w:tcW w:w="240" w:type="dxa"/>
            <w:vAlign w:val="bottom"/>
            <w:shd w:val="clear" w:color="auto" w:fill="CCEEFF"/>
          </w:tcPr>
          <w:p>
            <w:pPr>
              <w:spacing w:after="0"/>
              <w:rPr>
                <w:sz w:val="19"/>
                <w:szCs w:val="19"/>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FF"/>
            </w:tcBorders>
            <w:gridSpan w:val="9"/>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 Legal Proceedings</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1A. Risk Factors</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5. Other Information</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29</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Item 6. Exhibits</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30</w:t>
            </w:r>
          </w:p>
        </w:tc>
        <w:tc>
          <w:tcPr>
            <w:tcW w:w="2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4"/>
          </w:tcPr>
          <w:p>
            <w:pPr>
              <w:spacing w:after="0" w:line="189" w:lineRule="exact"/>
              <w:rPr>
                <w:sz w:val="20"/>
                <w:szCs w:val="20"/>
                <w:color w:val="auto"/>
              </w:rPr>
            </w:pPr>
            <w:r>
              <w:rPr>
                <w:rFonts w:ascii="Arial" w:cs="Arial" w:eastAsia="Arial" w:hAnsi="Arial"/>
                <w:sz w:val="18"/>
                <w:szCs w:val="18"/>
                <w:color w:val="0000FF"/>
              </w:rPr>
              <w:t>Signatures</w:t>
            </w:r>
          </w:p>
        </w:tc>
        <w:tc>
          <w:tcPr>
            <w:tcW w:w="420" w:type="dxa"/>
            <w:vAlign w:val="bottom"/>
            <w:gridSpan w:val="2"/>
          </w:tcPr>
          <w:p>
            <w:pPr>
              <w:jc w:val="center"/>
              <w:ind w:left="150"/>
              <w:spacing w:after="0" w:line="189" w:lineRule="exact"/>
              <w:rPr>
                <w:sz w:val="20"/>
                <w:szCs w:val="20"/>
                <w:color w:val="auto"/>
              </w:rPr>
            </w:pPr>
            <w:r>
              <w:rPr>
                <w:rFonts w:ascii="Arial" w:cs="Arial" w:eastAsia="Arial" w:hAnsi="Arial"/>
                <w:sz w:val="18"/>
                <w:szCs w:val="18"/>
                <w:color w:val="0000FF"/>
                <w:w w:val="89"/>
              </w:rPr>
              <w:t>31</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8880" w:type="dxa"/>
            <w:vAlign w:val="bottom"/>
          </w:tcPr>
          <w:p>
            <w:pPr>
              <w:ind w:left="126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08"/>
        </w:trPr>
        <w:tc>
          <w:tcPr>
            <w:tcW w:w="2340" w:type="dxa"/>
            <w:vAlign w:val="bottom"/>
            <w:tcBorders>
              <w:bottom w:val="single" w:sz="8" w:color="auto"/>
            </w:tcBorders>
          </w:tcPr>
          <w:p>
            <w:pPr>
              <w:spacing w:after="0"/>
              <w:rPr>
                <w:sz w:val="9"/>
                <w:szCs w:val="9"/>
                <w:color w:val="auto"/>
              </w:rPr>
            </w:pPr>
          </w:p>
        </w:tc>
        <w:tc>
          <w:tcPr>
            <w:tcW w:w="8880" w:type="dxa"/>
            <w:vAlign w:val="bottom"/>
            <w:tcBorders>
              <w:bottom w:val="single" w:sz="8" w:color="auto"/>
            </w:tcBorders>
          </w:tcPr>
          <w:p>
            <w:pPr>
              <w:spacing w:after="0"/>
              <w:rPr>
                <w:sz w:val="9"/>
                <w:szCs w:val="9"/>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Argus WTI Midland</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Grade of oil that serves as a benchmark price for oil at Midland, Texas.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Basin</w:t>
            </w:r>
          </w:p>
        </w:tc>
        <w:tc>
          <w:tcPr>
            <w:tcW w:w="8880" w:type="dxa"/>
            <w:vAlign w:val="bottom"/>
          </w:tcPr>
          <w:p>
            <w:pPr>
              <w:ind w:left="380"/>
              <w:spacing w:after="0"/>
              <w:rPr>
                <w:sz w:val="20"/>
                <w:szCs w:val="20"/>
                <w:color w:val="auto"/>
              </w:rPr>
            </w:pPr>
            <w:r>
              <w:rPr>
                <w:rFonts w:ascii="Arial" w:cs="Arial" w:eastAsia="Arial" w:hAnsi="Arial"/>
                <w:sz w:val="16"/>
                <w:szCs w:val="16"/>
                <w:color w:val="auto"/>
              </w:rPr>
              <w:t>A large depression on the earth’s surface in which sediments accumulate.</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Bbl or barrel</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One stock tank barrel, or 42 U.S. gallons liquid volume, used in this report in reference to crude oil or other liquid hydrocarbons.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BO</w:t>
            </w:r>
          </w:p>
        </w:tc>
        <w:tc>
          <w:tcPr>
            <w:tcW w:w="8880" w:type="dxa"/>
            <w:vAlign w:val="bottom"/>
          </w:tcPr>
          <w:p>
            <w:pPr>
              <w:ind w:left="380"/>
              <w:spacing w:after="0"/>
              <w:rPr>
                <w:sz w:val="20"/>
                <w:szCs w:val="20"/>
                <w:color w:val="auto"/>
              </w:rPr>
            </w:pPr>
            <w:r>
              <w:rPr>
                <w:rFonts w:ascii="Arial" w:cs="Arial" w:eastAsia="Arial" w:hAnsi="Arial"/>
                <w:sz w:val="16"/>
                <w:szCs w:val="16"/>
                <w:color w:val="auto"/>
              </w:rPr>
              <w:t>One barrel of oil.</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BO/d</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 per day.</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BOE</w:t>
            </w:r>
          </w:p>
        </w:tc>
        <w:tc>
          <w:tcPr>
            <w:tcW w:w="8880" w:type="dxa"/>
            <w:vAlign w:val="bottom"/>
          </w:tcPr>
          <w:p>
            <w:pPr>
              <w:ind w:left="380"/>
              <w:spacing w:after="0"/>
              <w:rPr>
                <w:sz w:val="20"/>
                <w:szCs w:val="20"/>
                <w:color w:val="auto"/>
              </w:rPr>
            </w:pPr>
            <w:r>
              <w:rPr>
                <w:rFonts w:ascii="Arial" w:cs="Arial" w:eastAsia="Arial" w:hAnsi="Arial"/>
                <w:sz w:val="16"/>
                <w:szCs w:val="16"/>
                <w:color w:val="auto"/>
              </w:rPr>
              <w:t>One barrel of oil equivalent, with six thousand cubic feet of natural gas being equivalent to one barrel of oil.</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BOE/d</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BOE per day.</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British Thermal Unit or Btu</w:t>
            </w:r>
          </w:p>
        </w:tc>
        <w:tc>
          <w:tcPr>
            <w:tcW w:w="8880" w:type="dxa"/>
            <w:vAlign w:val="bottom"/>
          </w:tcPr>
          <w:p>
            <w:pPr>
              <w:ind w:left="380"/>
              <w:spacing w:after="0"/>
              <w:rPr>
                <w:sz w:val="20"/>
                <w:szCs w:val="20"/>
                <w:color w:val="auto"/>
              </w:rPr>
            </w:pPr>
            <w:r>
              <w:rPr>
                <w:rFonts w:ascii="Arial" w:cs="Arial" w:eastAsia="Arial" w:hAnsi="Arial"/>
                <w:sz w:val="16"/>
                <w:szCs w:val="16"/>
                <w:color w:val="auto"/>
              </w:rPr>
              <w:t>The quantity of heat required to raise the temperature of one pound of water by one degree Fahrenheit.</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Condensate</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Liquid hydrocarbons associated with the production of a primarily natural gas reserve.</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Henry Hub</w:t>
            </w:r>
          </w:p>
        </w:tc>
        <w:tc>
          <w:tcPr>
            <w:tcW w:w="8880" w:type="dxa"/>
            <w:vAlign w:val="bottom"/>
          </w:tcPr>
          <w:p>
            <w:pPr>
              <w:ind w:left="380"/>
              <w:spacing w:after="0"/>
              <w:rPr>
                <w:sz w:val="20"/>
                <w:szCs w:val="20"/>
                <w:color w:val="auto"/>
              </w:rPr>
            </w:pPr>
            <w:r>
              <w:rPr>
                <w:rFonts w:ascii="Arial" w:cs="Arial" w:eastAsia="Arial" w:hAnsi="Arial"/>
                <w:sz w:val="16"/>
                <w:szCs w:val="16"/>
                <w:color w:val="auto"/>
              </w:rPr>
              <w:t>Natural gas gathering point that serves as a benchmark price for natural gas futures on the NYMEX.</w:t>
            </w: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Horizontal wells</w:t>
            </w:r>
          </w:p>
        </w:tc>
        <w:tc>
          <w:tcPr>
            <w:tcW w:w="8880" w:type="dxa"/>
            <w:vAlign w:val="bottom"/>
            <w:shd w:val="clear" w:color="auto" w:fill="CCEEFF"/>
          </w:tcPr>
          <w:p>
            <w:pPr>
              <w:ind w:left="380"/>
              <w:spacing w:after="0" w:line="169" w:lineRule="exact"/>
              <w:rPr>
                <w:sz w:val="20"/>
                <w:szCs w:val="20"/>
                <w:color w:val="auto"/>
              </w:rPr>
            </w:pPr>
            <w:r>
              <w:rPr>
                <w:rFonts w:ascii="Arial" w:cs="Arial" w:eastAsia="Arial" w:hAnsi="Arial"/>
                <w:sz w:val="16"/>
                <w:szCs w:val="16"/>
                <w:color w:val="auto"/>
                <w:w w:val="98"/>
              </w:rPr>
              <w:t>Wells drilled directionally horizontal to allow for development of structures not reachable through traditional vertical drilling</w:t>
            </w:r>
          </w:p>
        </w:tc>
      </w:tr>
      <w:tr>
        <w:trPr>
          <w:trHeight w:val="212"/>
        </w:trPr>
        <w:tc>
          <w:tcPr>
            <w:tcW w:w="2340" w:type="dxa"/>
            <w:vAlign w:val="bottom"/>
            <w:shd w:val="clear" w:color="auto" w:fill="CCEEFF"/>
          </w:tcPr>
          <w:p>
            <w:pPr>
              <w:spacing w:after="0"/>
              <w:rPr>
                <w:sz w:val="18"/>
                <w:szCs w:val="18"/>
                <w:color w:val="auto"/>
              </w:rPr>
            </w:pP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mechanisms.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MBbls</w:t>
            </w:r>
          </w:p>
        </w:tc>
        <w:tc>
          <w:tcPr>
            <w:tcW w:w="8880" w:type="dxa"/>
            <w:vAlign w:val="bottom"/>
          </w:tcPr>
          <w:p>
            <w:pPr>
              <w:ind w:left="380"/>
              <w:spacing w:after="0"/>
              <w:rPr>
                <w:sz w:val="20"/>
                <w:szCs w:val="20"/>
                <w:color w:val="auto"/>
              </w:rPr>
            </w:pPr>
            <w:r>
              <w:rPr>
                <w:rFonts w:ascii="Arial" w:cs="Arial" w:eastAsia="Arial" w:hAnsi="Arial"/>
                <w:sz w:val="16"/>
                <w:szCs w:val="16"/>
                <w:color w:val="auto"/>
              </w:rPr>
              <w:t>Thousand barrels of crude oil or other liquid hydrocarbons.</w:t>
            </w: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MBOE</w:t>
            </w:r>
          </w:p>
        </w:tc>
        <w:tc>
          <w:tcPr>
            <w:tcW w:w="8880" w:type="dxa"/>
            <w:vAlign w:val="bottom"/>
            <w:shd w:val="clear" w:color="auto" w:fill="CCEEFF"/>
          </w:tcPr>
          <w:p>
            <w:pPr>
              <w:ind w:left="380"/>
              <w:spacing w:after="0" w:line="169" w:lineRule="exact"/>
              <w:rPr>
                <w:sz w:val="20"/>
                <w:szCs w:val="20"/>
                <w:color w:val="auto"/>
              </w:rPr>
            </w:pPr>
            <w:r>
              <w:rPr>
                <w:rFonts w:ascii="Arial" w:cs="Arial" w:eastAsia="Arial" w:hAnsi="Arial"/>
                <w:sz w:val="16"/>
                <w:szCs w:val="16"/>
                <w:color w:val="auto"/>
                <w:w w:val="92"/>
              </w:rPr>
              <w:t>One thousand barrels of crude oil equivalent, determined using a ratio of six Mcf of natural gas to one Bbl of crude oil, condensate</w:t>
            </w:r>
          </w:p>
        </w:tc>
      </w:tr>
      <w:tr>
        <w:trPr>
          <w:trHeight w:val="212"/>
        </w:trPr>
        <w:tc>
          <w:tcPr>
            <w:tcW w:w="2340" w:type="dxa"/>
            <w:vAlign w:val="bottom"/>
            <w:shd w:val="clear" w:color="auto" w:fill="CCEEFF"/>
          </w:tcPr>
          <w:p>
            <w:pPr>
              <w:spacing w:after="0"/>
              <w:rPr>
                <w:sz w:val="18"/>
                <w:szCs w:val="18"/>
                <w:color w:val="auto"/>
              </w:rPr>
            </w:pP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or natural gas liquids.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Mcf</w:t>
            </w:r>
          </w:p>
        </w:tc>
        <w:tc>
          <w:tcPr>
            <w:tcW w:w="8880" w:type="dxa"/>
            <w:vAlign w:val="bottom"/>
          </w:tcPr>
          <w:p>
            <w:pPr>
              <w:ind w:left="380"/>
              <w:spacing w:after="0"/>
              <w:rPr>
                <w:sz w:val="20"/>
                <w:szCs w:val="20"/>
                <w:color w:val="auto"/>
              </w:rPr>
            </w:pPr>
            <w:r>
              <w:rPr>
                <w:rFonts w:ascii="Arial" w:cs="Arial" w:eastAsia="Arial" w:hAnsi="Arial"/>
                <w:sz w:val="16"/>
                <w:szCs w:val="16"/>
                <w:color w:val="auto"/>
              </w:rPr>
              <w:t>One thousand cubic feet of natural gas.</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Mineral interests</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The interests in ownership of the resource and mineral rights, giving an owner the right to profit from the extracted resources.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MMBtu</w:t>
            </w:r>
          </w:p>
        </w:tc>
        <w:tc>
          <w:tcPr>
            <w:tcW w:w="8880" w:type="dxa"/>
            <w:vAlign w:val="bottom"/>
          </w:tcPr>
          <w:p>
            <w:pPr>
              <w:ind w:left="380"/>
              <w:spacing w:after="0"/>
              <w:rPr>
                <w:sz w:val="20"/>
                <w:szCs w:val="20"/>
                <w:color w:val="auto"/>
              </w:rPr>
            </w:pPr>
            <w:r>
              <w:rPr>
                <w:rFonts w:ascii="Arial" w:cs="Arial" w:eastAsia="Arial" w:hAnsi="Arial"/>
                <w:sz w:val="16"/>
                <w:szCs w:val="16"/>
                <w:color w:val="auto"/>
              </w:rPr>
              <w:t>One million British Thermal Units.</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MMcf</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Million cubic feet of natural gas.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Net royalty acres</w:t>
            </w:r>
          </w:p>
        </w:tc>
        <w:tc>
          <w:tcPr>
            <w:tcW w:w="8880" w:type="dxa"/>
            <w:vAlign w:val="bottom"/>
          </w:tcPr>
          <w:p>
            <w:pPr>
              <w:ind w:left="380"/>
              <w:spacing w:after="0"/>
              <w:rPr>
                <w:sz w:val="20"/>
                <w:szCs w:val="20"/>
                <w:color w:val="auto"/>
              </w:rPr>
            </w:pPr>
            <w:r>
              <w:rPr>
                <w:rFonts w:ascii="Arial" w:cs="Arial" w:eastAsia="Arial" w:hAnsi="Arial"/>
                <w:sz w:val="16"/>
                <w:szCs w:val="16"/>
                <w:color w:val="auto"/>
              </w:rPr>
              <w:t>Net mineral acres multiplied by the average lease royalty interest and other burdens.</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natural gas properties</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Tracts of land consisting of properties to be developed for oil and natural gas resource extraction.</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Operator</w:t>
            </w:r>
          </w:p>
        </w:tc>
        <w:tc>
          <w:tcPr>
            <w:tcW w:w="8880" w:type="dxa"/>
            <w:vAlign w:val="bottom"/>
          </w:tcPr>
          <w:p>
            <w:pPr>
              <w:ind w:left="380"/>
              <w:spacing w:after="0"/>
              <w:rPr>
                <w:sz w:val="20"/>
                <w:szCs w:val="20"/>
                <w:color w:val="auto"/>
              </w:rPr>
            </w:pPr>
            <w:r>
              <w:rPr>
                <w:rFonts w:ascii="Arial" w:cs="Arial" w:eastAsia="Arial" w:hAnsi="Arial"/>
                <w:sz w:val="16"/>
                <w:szCs w:val="16"/>
                <w:color w:val="auto"/>
              </w:rPr>
              <w:t>The individual or company responsible for the exploration and/or production of an oil or natural gas well or lease.</w:t>
            </w: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Proved reserves</w:t>
            </w:r>
          </w:p>
        </w:tc>
        <w:tc>
          <w:tcPr>
            <w:tcW w:w="8880" w:type="dxa"/>
            <w:vAlign w:val="bottom"/>
            <w:shd w:val="clear" w:color="auto" w:fill="CCEEFF"/>
          </w:tcPr>
          <w:p>
            <w:pPr>
              <w:ind w:left="380"/>
              <w:spacing w:after="0" w:line="169" w:lineRule="exact"/>
              <w:rPr>
                <w:sz w:val="20"/>
                <w:szCs w:val="20"/>
                <w:color w:val="auto"/>
              </w:rPr>
            </w:pPr>
            <w:r>
              <w:rPr>
                <w:rFonts w:ascii="Arial" w:cs="Arial" w:eastAsia="Arial" w:hAnsi="Arial"/>
                <w:sz w:val="16"/>
                <w:szCs w:val="16"/>
                <w:color w:val="auto"/>
                <w:w w:val="97"/>
              </w:rPr>
              <w:t>The estimated quantities of oil, natural gas and natural gas liquids which geological and engineering data demonstrate with</w:t>
            </w:r>
          </w:p>
        </w:tc>
      </w:tr>
      <w:tr>
        <w:trPr>
          <w:trHeight w:val="162"/>
        </w:trPr>
        <w:tc>
          <w:tcPr>
            <w:tcW w:w="2340" w:type="dxa"/>
            <w:vAlign w:val="bottom"/>
            <w:shd w:val="clear" w:color="auto" w:fill="CCEEFF"/>
          </w:tcPr>
          <w:p>
            <w:pPr>
              <w:spacing w:after="0"/>
              <w:rPr>
                <w:sz w:val="14"/>
                <w:szCs w:val="14"/>
                <w:color w:val="auto"/>
              </w:rPr>
            </w:pPr>
          </w:p>
        </w:tc>
        <w:tc>
          <w:tcPr>
            <w:tcW w:w="8880" w:type="dxa"/>
            <w:vAlign w:val="bottom"/>
            <w:shd w:val="clear" w:color="auto" w:fill="CCEEFF"/>
          </w:tcPr>
          <w:p>
            <w:pPr>
              <w:ind w:left="380"/>
              <w:spacing w:after="0" w:line="162" w:lineRule="exact"/>
              <w:rPr>
                <w:sz w:val="20"/>
                <w:szCs w:val="20"/>
                <w:color w:val="auto"/>
              </w:rPr>
            </w:pPr>
            <w:r>
              <w:rPr>
                <w:rFonts w:ascii="Arial" w:cs="Arial" w:eastAsia="Arial" w:hAnsi="Arial"/>
                <w:sz w:val="16"/>
                <w:szCs w:val="16"/>
                <w:color w:val="auto"/>
                <w:w w:val="92"/>
              </w:rPr>
              <w:t>reasonable certainty to be commercially recoverable in future years from known reservoirs under existing economic and operating</w:t>
            </w:r>
          </w:p>
        </w:tc>
      </w:tr>
      <w:tr>
        <w:trPr>
          <w:trHeight w:val="212"/>
        </w:trPr>
        <w:tc>
          <w:tcPr>
            <w:tcW w:w="2340" w:type="dxa"/>
            <w:vAlign w:val="bottom"/>
            <w:shd w:val="clear" w:color="auto" w:fill="CCEEFF"/>
          </w:tcPr>
          <w:p>
            <w:pPr>
              <w:spacing w:after="0"/>
              <w:rPr>
                <w:sz w:val="18"/>
                <w:szCs w:val="18"/>
                <w:color w:val="auto"/>
              </w:rPr>
            </w:pP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conditions.</w:t>
            </w:r>
          </w:p>
        </w:tc>
      </w:tr>
      <w:tr>
        <w:trPr>
          <w:trHeight w:val="166"/>
        </w:trPr>
        <w:tc>
          <w:tcPr>
            <w:tcW w:w="2340" w:type="dxa"/>
            <w:vAlign w:val="bottom"/>
          </w:tcPr>
          <w:p>
            <w:pPr>
              <w:ind w:left="20"/>
              <w:spacing w:after="0" w:line="166" w:lineRule="exact"/>
              <w:rPr>
                <w:sz w:val="20"/>
                <w:szCs w:val="20"/>
                <w:color w:val="auto"/>
              </w:rPr>
            </w:pPr>
            <w:r>
              <w:rPr>
                <w:rFonts w:ascii="Arial" w:cs="Arial" w:eastAsia="Arial" w:hAnsi="Arial"/>
                <w:sz w:val="16"/>
                <w:szCs w:val="16"/>
                <w:color w:val="auto"/>
              </w:rPr>
              <w:t>Reserves</w:t>
            </w:r>
          </w:p>
        </w:tc>
        <w:tc>
          <w:tcPr>
            <w:tcW w:w="8880" w:type="dxa"/>
            <w:vAlign w:val="bottom"/>
          </w:tcPr>
          <w:p>
            <w:pPr>
              <w:ind w:left="380"/>
              <w:spacing w:after="0" w:line="166" w:lineRule="exact"/>
              <w:rPr>
                <w:sz w:val="20"/>
                <w:szCs w:val="20"/>
                <w:color w:val="auto"/>
              </w:rPr>
            </w:pPr>
            <w:r>
              <w:rPr>
                <w:rFonts w:ascii="Arial" w:cs="Arial" w:eastAsia="Arial" w:hAnsi="Arial"/>
                <w:sz w:val="16"/>
                <w:szCs w:val="16"/>
                <w:color w:val="auto"/>
                <w:w w:val="91"/>
              </w:rPr>
              <w:t>The estimated remaining quantities of oil and natural gas and related substances anticipated to be economically producible, as of a</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7"/>
              </w:rPr>
              <w:t>given date, by application of development projects to known accumulations. In addition, there must exist, or there must be a</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4"/>
              </w:rPr>
              <w:t>reasonable expectation that there will exist, the legal right to produce or a revenue interest in the production, installed means of</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3"/>
              </w:rPr>
              <w:t>delivering oil and natural gas or related substances to the market and all permits and financing required to implement the project.</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2"/>
              </w:rPr>
              <w:t>Reserves are not assigned to adjacent reservoirs isolated by major, potentially sealing, faults until those reservoirs are penetrated</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5"/>
              </w:rPr>
              <w:t>and evaluated as economically producible. Reserves should not be assigned to areas that are clearly separated from a known</w:t>
            </w:r>
          </w:p>
        </w:tc>
      </w:tr>
      <w:tr>
        <w:trPr>
          <w:trHeight w:val="162"/>
        </w:trPr>
        <w:tc>
          <w:tcPr>
            <w:tcW w:w="2340" w:type="dxa"/>
            <w:vAlign w:val="bottom"/>
          </w:tcPr>
          <w:p>
            <w:pPr>
              <w:spacing w:after="0"/>
              <w:rPr>
                <w:sz w:val="14"/>
                <w:szCs w:val="14"/>
                <w:color w:val="auto"/>
              </w:rPr>
            </w:pPr>
          </w:p>
        </w:tc>
        <w:tc>
          <w:tcPr>
            <w:tcW w:w="8880" w:type="dxa"/>
            <w:vAlign w:val="bottom"/>
          </w:tcPr>
          <w:p>
            <w:pPr>
              <w:ind w:left="380"/>
              <w:spacing w:after="0" w:line="162" w:lineRule="exact"/>
              <w:rPr>
                <w:sz w:val="20"/>
                <w:szCs w:val="20"/>
                <w:color w:val="auto"/>
              </w:rPr>
            </w:pPr>
            <w:r>
              <w:rPr>
                <w:rFonts w:ascii="Arial" w:cs="Arial" w:eastAsia="Arial" w:hAnsi="Arial"/>
                <w:sz w:val="16"/>
                <w:szCs w:val="16"/>
                <w:color w:val="auto"/>
                <w:w w:val="95"/>
              </w:rPr>
              <w:t>accumulation by a non-productive reservoir (i.e., absence of reservoir, structurally low reservoir or negative test results). Such</w:t>
            </w:r>
          </w:p>
        </w:tc>
      </w:tr>
      <w:tr>
        <w:trPr>
          <w:trHeight w:val="209"/>
        </w:trPr>
        <w:tc>
          <w:tcPr>
            <w:tcW w:w="2340" w:type="dxa"/>
            <w:vAlign w:val="bottom"/>
          </w:tcPr>
          <w:p>
            <w:pPr>
              <w:spacing w:after="0"/>
              <w:rPr>
                <w:sz w:val="18"/>
                <w:szCs w:val="18"/>
                <w:color w:val="auto"/>
              </w:rPr>
            </w:pPr>
          </w:p>
        </w:tc>
        <w:tc>
          <w:tcPr>
            <w:tcW w:w="8880" w:type="dxa"/>
            <w:vAlign w:val="bottom"/>
          </w:tcPr>
          <w:p>
            <w:pPr>
              <w:ind w:left="380"/>
              <w:spacing w:after="0"/>
              <w:rPr>
                <w:sz w:val="20"/>
                <w:szCs w:val="20"/>
                <w:color w:val="auto"/>
              </w:rPr>
            </w:pPr>
            <w:r>
              <w:rPr>
                <w:rFonts w:ascii="Arial" w:cs="Arial" w:eastAsia="Arial" w:hAnsi="Arial"/>
                <w:sz w:val="16"/>
                <w:szCs w:val="16"/>
                <w:color w:val="auto"/>
              </w:rPr>
              <w:t>areas may contain prospective resources (i.e., potentially recoverable resources from undiscovered accumulations).</w:t>
            </w: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Reservoir</w:t>
            </w:r>
          </w:p>
        </w:tc>
        <w:tc>
          <w:tcPr>
            <w:tcW w:w="8880" w:type="dxa"/>
            <w:vAlign w:val="bottom"/>
            <w:shd w:val="clear" w:color="auto" w:fill="CCEEFF"/>
          </w:tcPr>
          <w:p>
            <w:pPr>
              <w:ind w:left="380"/>
              <w:spacing w:after="0" w:line="169" w:lineRule="exact"/>
              <w:rPr>
                <w:sz w:val="20"/>
                <w:szCs w:val="20"/>
                <w:color w:val="auto"/>
              </w:rPr>
            </w:pPr>
            <w:r>
              <w:rPr>
                <w:rFonts w:ascii="Arial" w:cs="Arial" w:eastAsia="Arial" w:hAnsi="Arial"/>
                <w:sz w:val="16"/>
                <w:szCs w:val="16"/>
                <w:color w:val="auto"/>
                <w:w w:val="93"/>
              </w:rPr>
              <w:t>A porous and permeable underground formation containing a natural accumulation of producible natural gas and/or crude oil that</w:t>
            </w:r>
          </w:p>
        </w:tc>
      </w:tr>
      <w:tr>
        <w:trPr>
          <w:trHeight w:val="212"/>
        </w:trPr>
        <w:tc>
          <w:tcPr>
            <w:tcW w:w="2340" w:type="dxa"/>
            <w:vAlign w:val="bottom"/>
            <w:shd w:val="clear" w:color="auto" w:fill="CCEEFF"/>
          </w:tcPr>
          <w:p>
            <w:pPr>
              <w:spacing w:after="0"/>
              <w:rPr>
                <w:sz w:val="18"/>
                <w:szCs w:val="18"/>
                <w:color w:val="auto"/>
              </w:rPr>
            </w:pP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 confined by impermeable rock or water barriers and is separate from other reservoirs.</w:t>
            </w:r>
          </w:p>
        </w:tc>
      </w:tr>
      <w:tr>
        <w:trPr>
          <w:trHeight w:val="166"/>
        </w:trPr>
        <w:tc>
          <w:tcPr>
            <w:tcW w:w="2340" w:type="dxa"/>
            <w:vAlign w:val="bottom"/>
          </w:tcPr>
          <w:p>
            <w:pPr>
              <w:ind w:left="20"/>
              <w:spacing w:after="0" w:line="166" w:lineRule="exact"/>
              <w:rPr>
                <w:sz w:val="20"/>
                <w:szCs w:val="20"/>
                <w:color w:val="auto"/>
              </w:rPr>
            </w:pPr>
            <w:r>
              <w:rPr>
                <w:rFonts w:ascii="Arial" w:cs="Arial" w:eastAsia="Arial" w:hAnsi="Arial"/>
                <w:sz w:val="16"/>
                <w:szCs w:val="16"/>
                <w:color w:val="auto"/>
              </w:rPr>
              <w:t>Royalty interest</w:t>
            </w:r>
          </w:p>
        </w:tc>
        <w:tc>
          <w:tcPr>
            <w:tcW w:w="8880" w:type="dxa"/>
            <w:vAlign w:val="bottom"/>
          </w:tcPr>
          <w:p>
            <w:pPr>
              <w:ind w:left="380"/>
              <w:spacing w:after="0" w:line="166" w:lineRule="exact"/>
              <w:rPr>
                <w:sz w:val="20"/>
                <w:szCs w:val="20"/>
                <w:color w:val="auto"/>
              </w:rPr>
            </w:pPr>
            <w:r>
              <w:rPr>
                <w:rFonts w:ascii="Arial" w:cs="Arial" w:eastAsia="Arial" w:hAnsi="Arial"/>
                <w:sz w:val="16"/>
                <w:szCs w:val="16"/>
                <w:color w:val="auto"/>
                <w:w w:val="95"/>
              </w:rPr>
              <w:t>An interest that gives an owner the right to receive a portion of the resources or revenues without having to carry any costs of</w:t>
            </w:r>
          </w:p>
        </w:tc>
      </w:tr>
      <w:tr>
        <w:trPr>
          <w:trHeight w:val="209"/>
        </w:trPr>
        <w:tc>
          <w:tcPr>
            <w:tcW w:w="2340" w:type="dxa"/>
            <w:vAlign w:val="bottom"/>
          </w:tcPr>
          <w:p>
            <w:pPr>
              <w:spacing w:after="0"/>
              <w:rPr>
                <w:sz w:val="18"/>
                <w:szCs w:val="18"/>
                <w:color w:val="auto"/>
              </w:rPr>
            </w:pPr>
          </w:p>
        </w:tc>
        <w:tc>
          <w:tcPr>
            <w:tcW w:w="8880" w:type="dxa"/>
            <w:vAlign w:val="bottom"/>
          </w:tcPr>
          <w:p>
            <w:pPr>
              <w:ind w:left="380"/>
              <w:spacing w:after="0"/>
              <w:rPr>
                <w:sz w:val="20"/>
                <w:szCs w:val="20"/>
                <w:color w:val="auto"/>
              </w:rPr>
            </w:pPr>
            <w:r>
              <w:rPr>
                <w:rFonts w:ascii="Arial" w:cs="Arial" w:eastAsia="Arial" w:hAnsi="Arial"/>
                <w:sz w:val="16"/>
                <w:szCs w:val="16"/>
                <w:color w:val="auto"/>
              </w:rPr>
              <w:t>development, which may be subject to expiration.</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Spud</w:t>
            </w: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Commencement of actual drilling operations.</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Waha Hub</w:t>
            </w:r>
          </w:p>
        </w:tc>
        <w:tc>
          <w:tcPr>
            <w:tcW w:w="8880" w:type="dxa"/>
            <w:vAlign w:val="bottom"/>
          </w:tcPr>
          <w:p>
            <w:pPr>
              <w:ind w:left="380"/>
              <w:spacing w:after="0"/>
              <w:rPr>
                <w:sz w:val="20"/>
                <w:szCs w:val="20"/>
                <w:color w:val="auto"/>
              </w:rPr>
            </w:pPr>
            <w:r>
              <w:rPr>
                <w:rFonts w:ascii="Arial" w:cs="Arial" w:eastAsia="Arial" w:hAnsi="Arial"/>
                <w:sz w:val="16"/>
                <w:szCs w:val="16"/>
                <w:color w:val="auto"/>
              </w:rPr>
              <w:t>Natural gas gathering point that serves as a benchmark price for natural gas at western Texas and New Mexico.</w:t>
            </w: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WTI</w:t>
            </w:r>
          </w:p>
        </w:tc>
        <w:tc>
          <w:tcPr>
            <w:tcW w:w="8880" w:type="dxa"/>
            <w:vAlign w:val="bottom"/>
            <w:shd w:val="clear" w:color="auto" w:fill="CCEEFF"/>
          </w:tcPr>
          <w:p>
            <w:pPr>
              <w:ind w:left="380"/>
              <w:spacing w:after="0" w:line="169" w:lineRule="exact"/>
              <w:rPr>
                <w:sz w:val="20"/>
                <w:szCs w:val="20"/>
                <w:color w:val="auto"/>
              </w:rPr>
            </w:pPr>
            <w:r>
              <w:rPr>
                <w:rFonts w:ascii="Arial" w:cs="Arial" w:eastAsia="Arial" w:hAnsi="Arial"/>
                <w:sz w:val="16"/>
                <w:szCs w:val="16"/>
                <w:color w:val="auto"/>
                <w:w w:val="94"/>
              </w:rPr>
              <w:t>West Texas Intermediate, a light sweet blend of oil produced from fields in western Texas and is a grade of oil that serves as a</w:t>
            </w:r>
          </w:p>
        </w:tc>
      </w:tr>
      <w:tr>
        <w:trPr>
          <w:trHeight w:val="212"/>
        </w:trPr>
        <w:tc>
          <w:tcPr>
            <w:tcW w:w="2340" w:type="dxa"/>
            <w:vAlign w:val="bottom"/>
            <w:shd w:val="clear" w:color="auto" w:fill="CCEEFF"/>
          </w:tcPr>
          <w:p>
            <w:pPr>
              <w:spacing w:after="0"/>
              <w:rPr>
                <w:sz w:val="18"/>
                <w:szCs w:val="18"/>
                <w:color w:val="auto"/>
              </w:rPr>
            </w:pPr>
          </w:p>
        </w:tc>
        <w:tc>
          <w:tcPr>
            <w:tcW w:w="8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benchmark for oil on the NYMEX.</w:t>
            </w:r>
          </w:p>
        </w:tc>
      </w:tr>
      <w:tr>
        <w:trPr>
          <w:trHeight w:val="21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WTI Cushing</w:t>
            </w:r>
          </w:p>
        </w:tc>
        <w:tc>
          <w:tcPr>
            <w:tcW w:w="8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Grade of oil that serves as a benchmark price for oil at Cushing, Oklahoma.</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140" w:type="dxa"/>
            <w:vAlign w:val="bottom"/>
          </w:tcPr>
          <w:p>
            <w:pPr>
              <w:ind w:left="180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0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Accounting Standards Update.</w:t>
            </w:r>
          </w:p>
        </w:tc>
      </w:tr>
      <w:tr>
        <w:trPr>
          <w:trHeight w:val="223"/>
        </w:trPr>
        <w:tc>
          <w:tcPr>
            <w:tcW w:w="208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9140" w:type="dxa"/>
            <w:vAlign w:val="bottom"/>
          </w:tcPr>
          <w:p>
            <w:pPr>
              <w:ind w:left="660"/>
              <w:spacing w:after="0"/>
              <w:rPr>
                <w:sz w:val="20"/>
                <w:szCs w:val="20"/>
                <w:color w:val="auto"/>
              </w:rPr>
            </w:pPr>
            <w:r>
              <w:rPr>
                <w:rFonts w:ascii="Arial" w:cs="Arial" w:eastAsia="Arial" w:hAnsi="Arial"/>
                <w:sz w:val="17"/>
                <w:szCs w:val="17"/>
                <w:color w:val="auto"/>
              </w:rPr>
              <w:t>The Securities Exchange Act of 1934, as amended.</w:t>
            </w:r>
          </w:p>
        </w:tc>
      </w:tr>
      <w:tr>
        <w:trPr>
          <w:trHeight w:val="236"/>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216"/>
        </w:trPr>
        <w:tc>
          <w:tcPr>
            <w:tcW w:w="2080" w:type="dxa"/>
            <w:vAlign w:val="bottom"/>
          </w:tcPr>
          <w:p>
            <w:pPr>
              <w:ind w:left="20"/>
              <w:spacing w:after="0"/>
              <w:rPr>
                <w:sz w:val="20"/>
                <w:szCs w:val="20"/>
                <w:color w:val="auto"/>
              </w:rPr>
            </w:pPr>
            <w:r>
              <w:rPr>
                <w:rFonts w:ascii="Arial" w:cs="Arial" w:eastAsia="Arial" w:hAnsi="Arial"/>
                <w:sz w:val="17"/>
                <w:szCs w:val="17"/>
                <w:color w:val="auto"/>
              </w:rPr>
              <w:t>LTIP</w:t>
            </w:r>
          </w:p>
        </w:tc>
        <w:tc>
          <w:tcPr>
            <w:tcW w:w="9140" w:type="dxa"/>
            <w:vAlign w:val="bottom"/>
          </w:tcPr>
          <w:p>
            <w:pPr>
              <w:ind w:left="660"/>
              <w:spacing w:after="0"/>
              <w:rPr>
                <w:sz w:val="20"/>
                <w:szCs w:val="20"/>
                <w:color w:val="auto"/>
              </w:rPr>
            </w:pPr>
            <w:r>
              <w:rPr>
                <w:rFonts w:ascii="Arial" w:cs="Arial" w:eastAsia="Arial" w:hAnsi="Arial"/>
                <w:sz w:val="17"/>
                <w:szCs w:val="17"/>
                <w:color w:val="auto"/>
              </w:rPr>
              <w:t>Viper Energy Partners LP Long Term Incentive Plan.</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w:t>
            </w: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The Nasdaq Global Select Market.</w:t>
            </w:r>
          </w:p>
        </w:tc>
      </w:tr>
      <w:tr>
        <w:trPr>
          <w:trHeight w:val="223"/>
        </w:trPr>
        <w:tc>
          <w:tcPr>
            <w:tcW w:w="2080" w:type="dxa"/>
            <w:vAlign w:val="bottom"/>
          </w:tcPr>
          <w:p>
            <w:pPr>
              <w:ind w:left="20"/>
              <w:spacing w:after="0"/>
              <w:rPr>
                <w:sz w:val="20"/>
                <w:szCs w:val="20"/>
                <w:color w:val="auto"/>
              </w:rPr>
            </w:pPr>
            <w:r>
              <w:rPr>
                <w:rFonts w:ascii="Arial" w:cs="Arial" w:eastAsia="Arial" w:hAnsi="Arial"/>
                <w:sz w:val="17"/>
                <w:szCs w:val="17"/>
                <w:color w:val="auto"/>
              </w:rPr>
              <w:t>NYMEX</w:t>
            </w:r>
          </w:p>
        </w:tc>
        <w:tc>
          <w:tcPr>
            <w:tcW w:w="9140" w:type="dxa"/>
            <w:vAlign w:val="bottom"/>
          </w:tcPr>
          <w:p>
            <w:pPr>
              <w:ind w:left="660"/>
              <w:spacing w:after="0"/>
              <w:rPr>
                <w:sz w:val="20"/>
                <w:szCs w:val="20"/>
                <w:color w:val="auto"/>
              </w:rPr>
            </w:pPr>
            <w:r>
              <w:rPr>
                <w:rFonts w:ascii="Arial" w:cs="Arial" w:eastAsia="Arial" w:hAnsi="Arial"/>
                <w:sz w:val="17"/>
                <w:szCs w:val="17"/>
                <w:color w:val="auto"/>
              </w:rPr>
              <w:t>New York Mercantile Exchange.</w:t>
            </w: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OPEC</w:t>
            </w: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Organization of the Petroleum Exporting Countries.</w:t>
            </w:r>
          </w:p>
        </w:tc>
      </w:tr>
      <w:tr>
        <w:trPr>
          <w:trHeight w:val="171"/>
        </w:trPr>
        <w:tc>
          <w:tcPr>
            <w:tcW w:w="2080" w:type="dxa"/>
            <w:vAlign w:val="bottom"/>
          </w:tcPr>
          <w:p>
            <w:pPr>
              <w:ind w:left="20"/>
              <w:spacing w:after="0" w:line="172" w:lineRule="exact"/>
              <w:rPr>
                <w:sz w:val="20"/>
                <w:szCs w:val="20"/>
                <w:color w:val="auto"/>
              </w:rPr>
            </w:pPr>
            <w:r>
              <w:rPr>
                <w:rFonts w:ascii="Arial" w:cs="Arial" w:eastAsia="Arial" w:hAnsi="Arial"/>
                <w:sz w:val="17"/>
                <w:szCs w:val="17"/>
                <w:color w:val="auto"/>
              </w:rPr>
              <w:t>Operating Company</w:t>
            </w:r>
          </w:p>
        </w:tc>
        <w:tc>
          <w:tcPr>
            <w:tcW w:w="9140" w:type="dxa"/>
            <w:vAlign w:val="bottom"/>
          </w:tcPr>
          <w:p>
            <w:pPr>
              <w:ind w:left="660"/>
              <w:spacing w:after="0" w:line="172" w:lineRule="exact"/>
              <w:rPr>
                <w:sz w:val="20"/>
                <w:szCs w:val="20"/>
                <w:color w:val="auto"/>
              </w:rPr>
            </w:pPr>
            <w:r>
              <w:rPr>
                <w:rFonts w:ascii="Arial" w:cs="Arial" w:eastAsia="Arial" w:hAnsi="Arial"/>
                <w:sz w:val="17"/>
                <w:szCs w:val="17"/>
                <w:color w:val="auto"/>
                <w:w w:val="93"/>
              </w:rPr>
              <w:t>Viper Energy Partners LLC, a Delaware limited liability company and a consolidated subsidiary of Viper Energy Partners</w:t>
            </w:r>
          </w:p>
        </w:tc>
      </w:tr>
      <w:tr>
        <w:trPr>
          <w:trHeight w:val="225"/>
        </w:trPr>
        <w:tc>
          <w:tcPr>
            <w:tcW w:w="2080" w:type="dxa"/>
            <w:vAlign w:val="bottom"/>
          </w:tcPr>
          <w:p>
            <w:pPr>
              <w:spacing w:after="0"/>
              <w:rPr>
                <w:sz w:val="19"/>
                <w:szCs w:val="19"/>
                <w:color w:val="auto"/>
              </w:rPr>
            </w:pPr>
          </w:p>
        </w:tc>
        <w:tc>
          <w:tcPr>
            <w:tcW w:w="9140" w:type="dxa"/>
            <w:vAlign w:val="bottom"/>
          </w:tcPr>
          <w:p>
            <w:pPr>
              <w:ind w:left="660"/>
              <w:spacing w:after="0"/>
              <w:rPr>
                <w:sz w:val="20"/>
                <w:szCs w:val="20"/>
                <w:color w:val="auto"/>
              </w:rPr>
            </w:pPr>
            <w:r>
              <w:rPr>
                <w:rFonts w:ascii="Arial" w:cs="Arial" w:eastAsia="Arial" w:hAnsi="Arial"/>
                <w:sz w:val="17"/>
                <w:szCs w:val="17"/>
                <w:color w:val="auto"/>
              </w:rPr>
              <w:t>LP.</w:t>
            </w:r>
          </w:p>
        </w:tc>
      </w:tr>
      <w:tr>
        <w:trPr>
          <w:trHeight w:val="225"/>
        </w:trPr>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w:t>
            </w: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United States Securities and Exchange Commission.</w:t>
            </w:r>
          </w:p>
        </w:tc>
      </w:tr>
      <w:tr>
        <w:trPr>
          <w:trHeight w:val="223"/>
        </w:trPr>
        <w:tc>
          <w:tcPr>
            <w:tcW w:w="2080" w:type="dxa"/>
            <w:vAlign w:val="bottom"/>
          </w:tcPr>
          <w:p>
            <w:pPr>
              <w:ind w:left="20"/>
              <w:spacing w:after="0"/>
              <w:rPr>
                <w:sz w:val="20"/>
                <w:szCs w:val="20"/>
                <w:color w:val="auto"/>
              </w:rPr>
            </w:pPr>
            <w:r>
              <w:rPr>
                <w:rFonts w:ascii="Arial" w:cs="Arial" w:eastAsia="Arial" w:hAnsi="Arial"/>
                <w:sz w:val="17"/>
                <w:szCs w:val="17"/>
                <w:color w:val="auto"/>
              </w:rPr>
              <w:t>SOFR</w:t>
            </w:r>
          </w:p>
        </w:tc>
        <w:tc>
          <w:tcPr>
            <w:tcW w:w="9140" w:type="dxa"/>
            <w:vAlign w:val="bottom"/>
          </w:tcPr>
          <w:p>
            <w:pPr>
              <w:ind w:left="660"/>
              <w:spacing w:after="0"/>
              <w:rPr>
                <w:sz w:val="20"/>
                <w:szCs w:val="20"/>
                <w:color w:val="auto"/>
              </w:rPr>
            </w:pPr>
            <w:r>
              <w:rPr>
                <w:rFonts w:ascii="Arial" w:cs="Arial" w:eastAsia="Arial" w:hAnsi="Arial"/>
                <w:sz w:val="17"/>
                <w:szCs w:val="17"/>
                <w:color w:val="auto"/>
              </w:rPr>
              <w:t>The secured overnight financing rate</w:t>
            </w:r>
          </w:p>
        </w:tc>
      </w:tr>
      <w:tr>
        <w:trPr>
          <w:trHeight w:val="230"/>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9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50" w:lineRule="auto"/>
        <w:rPr>
          <w:rFonts w:ascii="Arial" w:cs="Arial" w:eastAsia="Arial" w:hAnsi="Arial"/>
          <w:sz w:val="17"/>
          <w:szCs w:val="17"/>
          <w:color w:val="0000FF"/>
        </w:rPr>
      </w:pPr>
      <w:r>
        <w:rPr>
          <w:rFonts w:ascii="Arial" w:cs="Arial" w:eastAsia="Arial" w:hAnsi="Arial"/>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our intent to convert into a corporate structure and expectations regarding the timing of such conversion, potential inclusion into certain indices and benchmarks, trading liquidity, tax treatment for our public unitholders post-conversion and related statements; anticipated benefits other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u w:val="single" w:color="auto"/>
          <w:color w:val="0000FF"/>
        </w:rPr>
        <w:t>Part II. Item 1A.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Risk Factors</w:t>
      </w:r>
      <w:r>
        <w:rPr>
          <w:rFonts w:ascii="Arial" w:cs="Arial" w:eastAsia="Arial" w:hAnsi="Arial"/>
          <w:sz w:val="17"/>
          <w:szCs w:val="17"/>
          <w:color w:val="000000"/>
        </w:rPr>
        <w:t>, and our</w:t>
      </w:r>
      <w:r>
        <w:rPr>
          <w:rFonts w:ascii="Arial" w:cs="Arial" w:eastAsia="Arial" w:hAnsi="Arial"/>
          <w:sz w:val="17"/>
          <w:szCs w:val="17"/>
          <w:color w:val="0000FF"/>
        </w:rPr>
        <w:t xml:space="preserve"> </w:t>
      </w:r>
      <w:hyperlink r:id="rId16">
        <w:r>
          <w:rPr>
            <w:rFonts w:ascii="Arial" w:cs="Arial" w:eastAsia="Arial" w:hAnsi="Arial"/>
            <w:sz w:val="17"/>
            <w:szCs w:val="17"/>
            <w:u w:val="single" w:color="auto"/>
            <w:color w:val="0000FF"/>
          </w:rPr>
          <w:t xml:space="preserve">Annual Report on Form 10-K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the year ended December 31, 2022, could affect our actual results and cause our actual results to</w:t>
      </w:r>
      <w:r>
        <w:rPr>
          <w:rFonts w:ascii="Arial" w:cs="Arial" w:eastAsia="Arial" w:hAnsi="Arial"/>
          <w:sz w:val="17"/>
          <w:szCs w:val="17"/>
          <w:color w:val="0000FF"/>
        </w:rPr>
        <w:t xml:space="preserve"> </w:t>
      </w:r>
      <w:r>
        <w:rPr>
          <w:rFonts w:ascii="Arial" w:cs="Arial" w:eastAsia="Arial" w:hAnsi="Arial"/>
          <w:sz w:val="17"/>
          <w:szCs w:val="17"/>
          <w:color w:val="000000"/>
        </w:rPr>
        <w:t>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39" w:lineRule="exact"/>
        <w:rPr>
          <w:sz w:val="20"/>
          <w:szCs w:val="20"/>
          <w:color w:val="auto"/>
        </w:rPr>
      </w:pPr>
    </w:p>
    <w:p>
      <w:pPr>
        <w:ind w:left="1220" w:hanging="32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public health crises, including epidemic or pandemic diseases and any related company or government policies or actions;</w:t>
      </w:r>
    </w:p>
    <w:p>
      <w:pPr>
        <w:spacing w:after="0" w:line="126" w:lineRule="exact"/>
        <w:rPr>
          <w:rFonts w:ascii="Arial" w:cs="Arial" w:eastAsia="Arial" w:hAnsi="Arial"/>
          <w:sz w:val="16"/>
          <w:szCs w:val="16"/>
          <w:color w:val="auto"/>
        </w:rPr>
      </w:pPr>
    </w:p>
    <w:p>
      <w:pPr>
        <w:ind w:left="1220" w:hanging="32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49" w:lineRule="exact"/>
        <w:rPr>
          <w:rFonts w:ascii="Arial" w:cs="Arial" w:eastAsia="Arial" w:hAnsi="Arial"/>
          <w:sz w:val="18"/>
          <w:szCs w:val="18"/>
          <w:color w:val="auto"/>
        </w:rPr>
      </w:pPr>
    </w:p>
    <w:p>
      <w:pPr>
        <w:ind w:left="1220" w:hanging="32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instability in the financial sector and concerns over a potential economic downturn or recession;</w:t>
      </w:r>
    </w:p>
    <w:p>
      <w:pPr>
        <w:spacing w:after="0" w:line="62" w:lineRule="exact"/>
        <w:rPr>
          <w:rFonts w:ascii="Arial" w:cs="Arial" w:eastAsia="Arial" w:hAnsi="Arial"/>
          <w:sz w:val="18"/>
          <w:szCs w:val="18"/>
          <w:color w:val="auto"/>
        </w:rPr>
      </w:pPr>
    </w:p>
    <w:p>
      <w:pPr>
        <w:ind w:left="1220" w:hanging="321"/>
        <w:spacing w:after="0" w:line="246"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75" w:lineRule="exact"/>
        <w:rPr>
          <w:rFonts w:ascii="Arial" w:cs="Arial" w:eastAsia="Arial" w:hAnsi="Arial"/>
          <w:sz w:val="18"/>
          <w:szCs w:val="18"/>
          <w:color w:val="auto"/>
        </w:rPr>
      </w:pPr>
    </w:p>
    <w:p>
      <w:pPr>
        <w:ind w:left="1220" w:hanging="32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3" w:lineRule="exact"/>
        <w:rPr>
          <w:rFonts w:ascii="Arial" w:cs="Arial" w:eastAsia="Arial" w:hAnsi="Arial"/>
          <w:sz w:val="18"/>
          <w:szCs w:val="18"/>
          <w:color w:val="auto"/>
        </w:rPr>
      </w:pPr>
    </w:p>
    <w:p>
      <w:pPr>
        <w:ind w:left="1220" w:hanging="321"/>
        <w:spacing w:after="0" w:line="307" w:lineRule="auto"/>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28"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220" w:hanging="321"/>
        <w:spacing w:after="0" w:line="291"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38"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and oilfield services impacting our operators;</w:t>
      </w:r>
    </w:p>
    <w:p>
      <w:pPr>
        <w:spacing w:after="0" w:line="90" w:lineRule="exact"/>
        <w:rPr>
          <w:rFonts w:ascii="Arial" w:cs="Arial" w:eastAsia="Arial" w:hAnsi="Arial"/>
          <w:sz w:val="18"/>
          <w:szCs w:val="18"/>
          <w:color w:val="auto"/>
        </w:rPr>
      </w:pPr>
    </w:p>
    <w:p>
      <w:pPr>
        <w:ind w:left="1220" w:hanging="321"/>
        <w:spacing w:after="0" w:line="261"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2" w:lineRule="exact"/>
        <w:rPr>
          <w:rFonts w:ascii="Arial" w:cs="Arial" w:eastAsia="Arial" w:hAnsi="Arial"/>
          <w:sz w:val="18"/>
          <w:szCs w:val="18"/>
          <w:color w:val="auto"/>
        </w:rPr>
      </w:pPr>
    </w:p>
    <w:p>
      <w:pPr>
        <w:ind w:left="1220" w:hanging="321"/>
        <w:spacing w:after="0" w:line="27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from breaches of our information technology systems, or from breaches of information technology systems of our operators or third parties with whom we transact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126" w:lineRule="exact"/>
        <w:rPr>
          <w:rFonts w:ascii="Arial" w:cs="Arial" w:eastAsia="Arial" w:hAnsi="Arial"/>
          <w:sz w:val="16"/>
          <w:szCs w:val="16"/>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103"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15"/>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35"/>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7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4"/>
          </w:tcPr>
          <w:p>
            <w:pPr>
              <w:jc w:val="right"/>
              <w:ind w:right="315"/>
              <w:spacing w:after="0"/>
              <w:rPr>
                <w:sz w:val="20"/>
                <w:szCs w:val="20"/>
                <w:color w:val="auto"/>
              </w:rPr>
            </w:pPr>
            <w:r>
              <w:rPr>
                <w:rFonts w:ascii="Arial" w:cs="Arial" w:eastAsia="Arial" w:hAnsi="Arial"/>
                <w:sz w:val="16"/>
                <w:szCs w:val="16"/>
                <w:b w:val="1"/>
                <w:bCs w:val="1"/>
                <w:color w:val="auto"/>
                <w:w w:val="95"/>
              </w:rPr>
              <w:t>(In thousands, except unit amounts)</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13,079</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18,179</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Arial" w:cs="Arial" w:eastAsia="Arial" w:hAnsi="Arial"/>
                <w:sz w:val="17"/>
                <w:szCs w:val="17"/>
                <w:color w:val="auto"/>
              </w:rPr>
              <w:t>Royalty income receivable (net of allowance for credit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80,765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81,657</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Royalty income receivable—related party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6,260</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Arial" w:cs="Arial" w:eastAsia="Arial" w:hAnsi="Arial"/>
                <w:sz w:val="17"/>
                <w:szCs w:val="17"/>
                <w:color w:val="auto"/>
              </w:rPr>
              <w:t>Derivative instruments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9,328</w:t>
            </w: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10"/>
        </w:trPr>
        <w:tc>
          <w:tcPr>
            <w:tcW w:w="796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105,794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118,620</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960" w:type="dxa"/>
            <w:vAlign w:val="bottom"/>
          </w:tcPr>
          <w:p>
            <w:pPr>
              <w:ind w:left="360"/>
              <w:spacing w:after="0" w:line="172" w:lineRule="exact"/>
              <w:rPr>
                <w:sz w:val="20"/>
                <w:szCs w:val="20"/>
                <w:color w:val="auto"/>
              </w:rPr>
            </w:pPr>
            <w:r>
              <w:rPr>
                <w:rFonts w:ascii="Arial" w:cs="Arial" w:eastAsia="Arial" w:hAnsi="Arial"/>
                <w:sz w:val="17"/>
                <w:szCs w:val="17"/>
                <w:color w:val="auto"/>
                <w:w w:val="97"/>
              </w:rPr>
              <w:t>Oil and natural gas interests, full cost method of accounting ($1,195,923 and $1,297,221 excluded from</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360"/>
              <w:spacing w:after="0"/>
              <w:rPr>
                <w:sz w:val="20"/>
                <w:szCs w:val="20"/>
                <w:color w:val="auto"/>
              </w:rPr>
            </w:pPr>
            <w:r>
              <w:rPr>
                <w:rFonts w:ascii="Arial" w:cs="Arial" w:eastAsia="Arial" w:hAnsi="Arial"/>
                <w:sz w:val="17"/>
                <w:szCs w:val="17"/>
                <w:color w:val="auto"/>
              </w:rPr>
              <w:t>depletion at June 30, 2023 and December 31, 2022, respectively)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3,590,476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3,464,819</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Land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28"/>
        </w:trPr>
        <w:tc>
          <w:tcPr>
            <w:tcW w:w="7960" w:type="dxa"/>
            <w:vAlign w:val="bottom"/>
          </w:tcPr>
          <w:p>
            <w:pPr>
              <w:ind w:left="360"/>
              <w:spacing w:after="0"/>
              <w:rPr>
                <w:sz w:val="20"/>
                <w:szCs w:val="20"/>
                <w:color w:val="auto"/>
              </w:rPr>
            </w:pPr>
            <w:r>
              <w:rPr>
                <w:rFonts w:ascii="Arial" w:cs="Arial" w:eastAsia="Arial" w:hAnsi="Arial"/>
                <w:sz w:val="17"/>
                <w:szCs w:val="17"/>
                <w:color w:val="auto"/>
              </w:rPr>
              <w:t>Accumulated depletion and impairment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(785,286)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(720,234)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Property,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2,810,878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2,750,273</w:t>
            </w: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(net of allowances)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49,656</w:t>
            </w: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2,967,038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2,920,373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6"/>
                <w:szCs w:val="16"/>
                <w:b w:val="1"/>
                <w:bCs w:val="1"/>
                <w:color w:val="auto"/>
              </w:rPr>
              <w:t>Liabilities and Unitholders’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1,129</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payable—related party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23"/>
        </w:trPr>
        <w:tc>
          <w:tcPr>
            <w:tcW w:w="7960" w:type="dxa"/>
            <w:vAlign w:val="bottom"/>
          </w:tcPr>
          <w:p>
            <w:pPr>
              <w:ind w:left="36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19,600</w:t>
            </w: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Derivative instruments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7"/>
                <w:szCs w:val="17"/>
                <w:color w:val="auto"/>
              </w:rPr>
              <w:t>Income taxes payable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21,946</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649,416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576,895</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1"/>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680,868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598,848</w:t>
            </w: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7"/>
                <w:szCs w:val="17"/>
                <w:color w:val="auto"/>
              </w:rPr>
              <w:t>Unitholders’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Partner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171"/>
        </w:trPr>
        <w:tc>
          <w:tcPr>
            <w:tcW w:w="7960" w:type="dxa"/>
            <w:vAlign w:val="bottom"/>
          </w:tcPr>
          <w:p>
            <w:pPr>
              <w:ind w:left="360"/>
              <w:spacing w:after="0" w:line="172" w:lineRule="exact"/>
              <w:rPr>
                <w:sz w:val="20"/>
                <w:szCs w:val="20"/>
                <w:color w:val="auto"/>
              </w:rPr>
            </w:pPr>
            <w:r>
              <w:rPr>
                <w:rFonts w:ascii="Arial" w:cs="Arial" w:eastAsia="Arial" w:hAnsi="Arial"/>
                <w:sz w:val="17"/>
                <w:szCs w:val="17"/>
                <w:color w:val="auto"/>
                <w:w w:val="91"/>
              </w:rPr>
              <w:t>Common units (71,206,622 units issued and outstanding as of June 30, 2023 and 73,229,645 units issued and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360"/>
              <w:spacing w:after="0"/>
              <w:rPr>
                <w:sz w:val="20"/>
                <w:szCs w:val="20"/>
                <w:color w:val="auto"/>
              </w:rPr>
            </w:pPr>
            <w:r>
              <w:rPr>
                <w:rFonts w:ascii="Arial" w:cs="Arial" w:eastAsia="Arial" w:hAnsi="Arial"/>
                <w:sz w:val="17"/>
                <w:szCs w:val="17"/>
                <w:color w:val="auto"/>
              </w:rPr>
              <w:t>outstanding as of December 31, 2022)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665,511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689,178</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9"/>
              </w:rPr>
              <w:t>Class B units (90,709,946 units issued and outstanding as of June 30, 2023 and December 31, 2022)</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6"/>
        </w:trPr>
        <w:tc>
          <w:tcPr>
            <w:tcW w:w="7960" w:type="dxa"/>
            <w:vAlign w:val="bottom"/>
          </w:tcPr>
          <w:p>
            <w:pPr>
              <w:ind w:left="680"/>
              <w:spacing w:after="0"/>
              <w:rPr>
                <w:sz w:val="20"/>
                <w:szCs w:val="20"/>
                <w:color w:val="auto"/>
              </w:rPr>
            </w:pPr>
            <w:r>
              <w:rPr>
                <w:rFonts w:ascii="Arial" w:cs="Arial" w:eastAsia="Arial" w:hAnsi="Arial"/>
                <w:sz w:val="17"/>
                <w:szCs w:val="17"/>
                <w:color w:val="auto"/>
              </w:rPr>
              <w:t>Total Viper Energy Partners LP unitholders’ equity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666,902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690,659</w:t>
            </w: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1,619,268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1,630,866</w:t>
            </w:r>
          </w:p>
        </w:tc>
        <w:tc>
          <w:tcPr>
            <w:tcW w:w="0" w:type="dxa"/>
            <w:vAlign w:val="bottom"/>
          </w:tcPr>
          <w:p>
            <w:pPr>
              <w:spacing w:after="0"/>
              <w:rPr>
                <w:sz w:val="1"/>
                <w:szCs w:val="1"/>
                <w:color w:val="auto"/>
              </w:rPr>
            </w:pPr>
          </w:p>
        </w:tc>
      </w:tr>
      <w:tr>
        <w:trPr>
          <w:trHeight w:val="210"/>
        </w:trPr>
        <w:tc>
          <w:tcPr>
            <w:tcW w:w="7960" w:type="dxa"/>
            <w:vAlign w:val="bottom"/>
          </w:tcPr>
          <w:p>
            <w:pPr>
              <w:ind w:left="36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2,286,170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2,321,525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unitholders’ equity</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2,967,038</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2,920,373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2022</w:t>
            </w:r>
          </w:p>
        </w:tc>
      </w:tr>
      <w:tr>
        <w:trPr>
          <w:trHeight w:val="210"/>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Arial" w:cs="Arial" w:eastAsia="Arial" w:hAnsi="Arial"/>
                <w:sz w:val="16"/>
                <w:szCs w:val="16"/>
                <w:b w:val="1"/>
                <w:bCs w:val="1"/>
                <w:color w:val="auto"/>
                <w:w w:val="94"/>
              </w:rPr>
              <w:t>(In thousands, except per unit amounts)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158,197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238,830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319,282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431,919</w:t>
            </w:r>
          </w:p>
        </w:tc>
      </w:tr>
      <w:tr>
        <w:trPr>
          <w:trHeight w:val="24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income—related party</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30"/>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7"/>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329,745</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441,225</w:t>
            </w: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29,909</w:t>
            </w:r>
          </w:p>
        </w:tc>
      </w:tr>
      <w:tr>
        <w:trPr>
          <w:trHeight w:val="24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59,373</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93,115</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234,414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348,110</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56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(20,977)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(19,427)</w:t>
            </w:r>
          </w:p>
        </w:tc>
      </w:tr>
      <w:tr>
        <w:trPr>
          <w:trHeight w:val="23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186,053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308,473</w:t>
            </w: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3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168,197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299,661</w:t>
            </w:r>
          </w:p>
        </w:tc>
      </w:tr>
      <w:tr>
        <w:trPr>
          <w:trHeight w:val="23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103,680</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249,034</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50,627</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76,861</w:t>
            </w:r>
          </w:p>
        </w:tc>
      </w:tr>
      <w:tr>
        <w:trPr>
          <w:trHeight w:val="243"/>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3"/>
            <w:vMerge w:val="restart"/>
          </w:tcPr>
          <w:p>
            <w:pPr>
              <w:jc w:val="right"/>
              <w:ind w:right="411"/>
              <w:spacing w:after="0"/>
              <w:rPr>
                <w:sz w:val="20"/>
                <w:szCs w:val="20"/>
                <w:color w:val="auto"/>
              </w:rPr>
            </w:pPr>
            <w:r>
              <w:rPr>
                <w:rFonts w:ascii="Arial" w:cs="Arial" w:eastAsia="Arial" w:hAnsi="Arial"/>
                <w:sz w:val="16"/>
                <w:szCs w:val="16"/>
                <w:b w:val="1"/>
                <w:bCs w:val="1"/>
                <w:color w:val="auto"/>
              </w:rPr>
              <w:t>Limited Partners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6"/>
                <w:szCs w:val="16"/>
                <w:b w:val="1"/>
                <w:bCs w:val="1"/>
                <w:color w:val="auto"/>
              </w:rPr>
              <w:t>General</w:t>
            </w:r>
          </w:p>
        </w:tc>
        <w:tc>
          <w:tcPr>
            <w:tcW w:w="1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Non-Controlling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Partner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90"/>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1,630,866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2,321,525</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60" w:type="dxa"/>
            <w:vAlign w:val="bottom"/>
          </w:tcPr>
          <w:p>
            <w:pPr>
              <w:ind w:left="220"/>
              <w:spacing w:after="0"/>
              <w:rPr>
                <w:sz w:val="20"/>
                <w:szCs w:val="20"/>
                <w:color w:val="auto"/>
              </w:rPr>
            </w:pPr>
            <w:r>
              <w:rPr>
                <w:rFonts w:ascii="Arial" w:cs="Arial" w:eastAsia="Arial" w:hAnsi="Arial"/>
                <w:sz w:val="18"/>
                <w:szCs w:val="18"/>
                <w:color w:val="auto"/>
                <w:w w:val="94"/>
              </w:rPr>
              <w:t>Distribution equivalent rights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(35,253)</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(49,366)</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20"/>
              <w:spacing w:after="0" w:line="176" w:lineRule="exact"/>
              <w:rPr>
                <w:sz w:val="20"/>
                <w:szCs w:val="20"/>
                <w:color w:val="auto"/>
              </w:rPr>
            </w:pPr>
            <w:r>
              <w:rPr>
                <w:rFonts w:ascii="Arial" w:cs="Arial" w:eastAsia="Arial" w:hAnsi="Arial"/>
                <w:sz w:val="18"/>
                <w:szCs w:val="18"/>
                <w:color w:val="auto"/>
                <w:w w:val="98"/>
              </w:rPr>
              <w:t>Change in ownership of consolidated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Repurchased units as part of unit</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88,266</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2,292,428</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Distribution equivalent rights payments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(23,513)</w:t>
            </w: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w:t>
            </w:r>
          </w:p>
        </w:tc>
        <w:tc>
          <w:tcPr>
            <w:tcW w:w="0" w:type="dxa"/>
            <w:vAlign w:val="bottom"/>
          </w:tcPr>
          <w:p>
            <w:pPr>
              <w:spacing w:after="0"/>
              <w:rPr>
                <w:sz w:val="1"/>
                <w:szCs w:val="1"/>
                <w:color w:val="auto"/>
              </w:rPr>
            </w:pP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8"/>
              </w:rPr>
              <w:t>Change in ownership of consolidated</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16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(24,509)</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37"/>
        </w:trPr>
        <w:tc>
          <w:tcPr>
            <w:tcW w:w="316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665,511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2,286,170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3"/>
            <w:vMerge w:val="restart"/>
          </w:tcPr>
          <w:p>
            <w:pPr>
              <w:jc w:val="right"/>
              <w:ind w:right="411"/>
              <w:spacing w:after="0"/>
              <w:rPr>
                <w:sz w:val="20"/>
                <w:szCs w:val="20"/>
                <w:color w:val="auto"/>
              </w:rPr>
            </w:pPr>
            <w:r>
              <w:rPr>
                <w:rFonts w:ascii="Arial" w:cs="Arial" w:eastAsia="Arial" w:hAnsi="Arial"/>
                <w:sz w:val="16"/>
                <w:szCs w:val="16"/>
                <w:b w:val="1"/>
                <w:bCs w:val="1"/>
                <w:color w:val="auto"/>
              </w:rPr>
              <w:t>Limited Partners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6"/>
                <w:szCs w:val="16"/>
                <w:b w:val="1"/>
                <w:bCs w:val="1"/>
                <w:color w:val="auto"/>
              </w:rPr>
              <w:t>General</w:t>
            </w:r>
          </w:p>
        </w:tc>
        <w:tc>
          <w:tcPr>
            <w:tcW w:w="1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Non-Controlling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Partner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90"/>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2,232,828</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(35,830)</w:t>
            </w: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Repurchased units as part of unit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(39,260)</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20" w:type="dxa"/>
            <w:vAlign w:val="bottom"/>
          </w:tcPr>
          <w:p>
            <w:pPr>
              <w:jc w:val="right"/>
              <w:spacing w:after="0"/>
              <w:rPr>
                <w:sz w:val="20"/>
                <w:szCs w:val="20"/>
                <w:color w:val="auto"/>
              </w:rPr>
            </w:pPr>
            <w:r>
              <w:rPr>
                <w:rFonts w:ascii="Arial" w:cs="Arial" w:eastAsia="Arial" w:hAnsi="Arial"/>
                <w:sz w:val="18"/>
                <w:szCs w:val="18"/>
                <w:color w:val="auto"/>
              </w:rPr>
              <w:t>76,966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768,747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1,472,614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2,242,976</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(51,077)</w:t>
            </w: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(64,012)</w:t>
            </w: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200" w:type="dxa"/>
            <w:vAlign w:val="bottom"/>
          </w:tcPr>
          <w:p>
            <w:pPr>
              <w:ind w:left="220"/>
              <w:spacing w:after="0" w:line="176" w:lineRule="exact"/>
              <w:rPr>
                <w:sz w:val="20"/>
                <w:szCs w:val="20"/>
                <w:color w:val="auto"/>
              </w:rPr>
            </w:pPr>
            <w:r>
              <w:rPr>
                <w:rFonts w:ascii="Arial" w:cs="Arial" w:eastAsia="Arial" w:hAnsi="Arial"/>
                <w:sz w:val="18"/>
                <w:szCs w:val="18"/>
                <w:color w:val="auto"/>
              </w:rPr>
              <w:t>Change in ownership of consolidated</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11,523</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220"/>
              <w:spacing w:after="0"/>
              <w:rPr>
                <w:sz w:val="20"/>
                <w:szCs w:val="20"/>
                <w:color w:val="auto"/>
              </w:rPr>
            </w:pPr>
            <w:r>
              <w:rPr>
                <w:rFonts w:ascii="Arial" w:cs="Arial" w:eastAsia="Arial" w:hAnsi="Arial"/>
                <w:sz w:val="18"/>
                <w:szCs w:val="18"/>
                <w:color w:val="auto"/>
              </w:rPr>
              <w:t>subsidiaries, net</w:t>
            </w: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20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Repurchased units as part of unit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buyback</w:t>
            </w: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171,620</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733,998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2,270,760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2022</w:t>
            </w:r>
          </w:p>
        </w:tc>
      </w:tr>
      <w:tr>
        <w:trPr>
          <w:trHeight w:val="210"/>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7"/>
        </w:trPr>
        <w:tc>
          <w:tcPr>
            <w:tcW w:w="78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168,197</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299,661</w:t>
            </w: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00" w:type="dxa"/>
            <w:vAlign w:val="bottom"/>
          </w:tcPr>
          <w:p>
            <w:pPr>
              <w:ind w:left="680"/>
              <w:spacing w:after="0"/>
              <w:rPr>
                <w:sz w:val="20"/>
                <w:szCs w:val="20"/>
                <w:color w:val="auto"/>
              </w:rPr>
            </w:pPr>
            <w:r>
              <w:rPr>
                <w:rFonts w:ascii="Arial" w:cs="Arial" w:eastAsia="Arial" w:hAnsi="Arial"/>
                <w:sz w:val="18"/>
                <w:szCs w:val="18"/>
                <w:color w:val="auto"/>
              </w:rPr>
              <w:t>Provision for (benefit from) deferred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59,373</w:t>
            </w:r>
          </w:p>
        </w:tc>
      </w:tr>
      <w:tr>
        <w:trPr>
          <w:trHeight w:val="229"/>
        </w:trPr>
        <w:tc>
          <w:tcPr>
            <w:tcW w:w="780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20,248</w:t>
            </w:r>
          </w:p>
        </w:tc>
      </w:tr>
      <w:tr>
        <w:trPr>
          <w:trHeight w:val="230"/>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r>
      <w:tr>
        <w:trPr>
          <w:trHeight w:val="237"/>
        </w:trPr>
        <w:tc>
          <w:tcPr>
            <w:tcW w:w="7800" w:type="dxa"/>
            <w:vAlign w:val="bottom"/>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00" w:type="dxa"/>
            <w:vAlign w:val="bottom"/>
          </w:tcPr>
          <w:p>
            <w:pPr>
              <w:ind w:left="680"/>
              <w:spacing w:after="0"/>
              <w:rPr>
                <w:sz w:val="20"/>
                <w:szCs w:val="20"/>
                <w:color w:val="auto"/>
              </w:rPr>
            </w:pPr>
            <w:r>
              <w:rPr>
                <w:rFonts w:ascii="Arial" w:cs="Arial" w:eastAsia="Arial" w:hAnsi="Arial"/>
                <w:sz w:val="18"/>
                <w:szCs w:val="18"/>
                <w:color w:val="auto"/>
              </w:rPr>
              <w:t>Royalty income receivable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(53,876)</w:t>
            </w:r>
          </w:p>
        </w:tc>
      </w:tr>
      <w:tr>
        <w:trPr>
          <w:trHeight w:val="24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r>
      <w:tr>
        <w:trPr>
          <w:trHeight w:val="229"/>
        </w:trPr>
        <w:tc>
          <w:tcPr>
            <w:tcW w:w="780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(5,580)</w:t>
            </w:r>
          </w:p>
        </w:tc>
      </w:tr>
      <w:tr>
        <w:trPr>
          <w:trHeight w:val="230"/>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payable—related party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68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36"/>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252,669</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299,020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Acquisitions of oil and natural gas interests—related party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Proceeds from sale of oil and natural gas interests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29,336</w:t>
            </w:r>
          </w:p>
        </w:tc>
      </w:tr>
      <w:tr>
        <w:trPr>
          <w:trHeight w:val="230"/>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(124,457)</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31,198</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144,000</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on credit facility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r>
      <w:tr>
        <w:trPr>
          <w:trHeight w:val="237"/>
        </w:trPr>
        <w:tc>
          <w:tcPr>
            <w:tcW w:w="7800" w:type="dxa"/>
            <w:vAlign w:val="bottom"/>
          </w:tcPr>
          <w:p>
            <w:pPr>
              <w:ind w:left="360"/>
              <w:spacing w:after="0"/>
              <w:rPr>
                <w:sz w:val="20"/>
                <w:szCs w:val="20"/>
                <w:color w:val="auto"/>
              </w:rPr>
            </w:pPr>
            <w:r>
              <w:rPr>
                <w:rFonts w:ascii="Arial" w:cs="Arial" w:eastAsia="Arial" w:hAnsi="Arial"/>
                <w:sz w:val="18"/>
                <w:szCs w:val="18"/>
                <w:color w:val="auto"/>
              </w:rPr>
              <w:t>Repayment of senior notes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(48,963)</w:t>
            </w: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(68,209)</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Distributions to public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(87,084)</w:t>
            </w:r>
          </w:p>
        </w:tc>
      </w:tr>
      <w:tr>
        <w:trPr>
          <w:trHeight w:val="24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Diamondback</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(107,015)</w:t>
            </w:r>
          </w:p>
        </w:tc>
      </w:tr>
      <w:tr>
        <w:trPr>
          <w:trHeight w:val="230"/>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(133,312)</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(35,136)</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Viper Energy Partners GP LLC (the “General Partner”) held a 100% general partner interest in the Partnership and Diamondback Energy, Inc. (“Diamondback”) beneficially owned approximately 57%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24">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2022, which contains a summary of the Partnership’s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the war in Ukraine, rising interest rates, global supply chain disruptions, concerns about a potential economic downturn or recession,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Partnership’s accounting estimates, particularly those involving financial forecasts.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interests, estimates of third party operated royalty income related to expected sales volumes and prices, the recoverability of costs of unevaluated properties, the fair value determination of assets and liabilities, including those acquired by the Partnership, fair value estimates of commodity derivatives and estimates of income taxes, including deferred tax valuation allowances.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Income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and December 31, 2022, Diamondback, either directly or through its consolidated subsidiaries, owed the Partnership $4.4 million and $6.3 million, respectively for royalty income received from third parties for the Partnership’s production, which had not yet been remitted to the Partnership.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Bonus Income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2023 and the six months ended June 30, 2022, Diamondback, either directly or through its consolidated subsidiaries, paid the Partnership $1.3 million, $8.3 million and $6.3 million, respectively, of lease bonus income primarily related to new leases in the Midland Basin. There was no lease bonus income for the three months ended June 30,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for significant related party acquisitions of oil and natural gas interests. All other significant related party transactions with Diamondback or its affiliates have been stated on the face of the condensed consolidated financial statements as of June 30, 2023 and for the three and six months ended June 30, 2023 and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10"/>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4"/>
          </w:tcPr>
          <w:p>
            <w:pPr>
              <w:jc w:val="right"/>
              <w:ind w:right="101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12,492</w:t>
            </w: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r>
      <w:tr>
        <w:trPr>
          <w:trHeight w:val="256"/>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There are no recent accounting pronouncements not yet adopted that are expected to have a material effect on the Partnership upon adoption,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275,919</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346,246</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38,983</w:t>
            </w:r>
          </w:p>
        </w:tc>
      </w:tr>
      <w:tr>
        <w:trPr>
          <w:trHeight w:val="23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46,690</w:t>
            </w:r>
          </w:p>
        </w:tc>
      </w:tr>
      <w:tr>
        <w:trPr>
          <w:trHeight w:val="223"/>
        </w:trPr>
        <w:tc>
          <w:tcPr>
            <w:tcW w:w="5660" w:type="dxa"/>
            <w:vAlign w:val="bottom"/>
          </w:tcPr>
          <w:p>
            <w:pPr>
              <w:ind w:left="240"/>
              <w:spacing w:after="0"/>
              <w:rPr>
                <w:sz w:val="20"/>
                <w:szCs w:val="20"/>
                <w:color w:val="auto"/>
              </w:rPr>
            </w:pPr>
            <w:r>
              <w:rPr>
                <w:rFonts w:ascii="Arial" w:cs="Arial" w:eastAsia="Arial" w:hAnsi="Arial"/>
                <w:sz w:val="18"/>
                <w:szCs w:val="18"/>
                <w:color w:val="auto"/>
              </w:rPr>
              <w:t>Total royalty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431,919</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Drop Down Transaction</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8, 2023, the Partnership completed the acquisition of certain mineral and royalty interests from subsidiaries of Diamondback for approximately $74.5 million in cash, including customary post-closing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current production of approximately 300 BO/d, approximately 72% of which is from oil. The Partnership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Partnership’s condensed consolidated balance sheet. The historical carrying value of the properties approximated the Drop Down purchase price.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the first half of 2023, the Partnership acquired, in individually insignificant transactions from unrelated third-party sellers, mineral and royalty interests representing 203 net royalty acres in the Permian Basin for an aggregate purchase price of approximately $48.1 million, subject to customary post-closing adjustments. The Partnership funded these acquisitions with cash on hand and borrowings under the Operating Company’s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2022, in individually insignificant transactions, the Partnership acquired, from unrelated third-party sellers, mineral and royalty interests representing 375 net royalty acres in the Permian Basin for an aggregate net purchase price of approximately $65.8 million, including certain customary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an aggregate net sales price of $29.3 million, including customary closing adjustments.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third quarter of 2022, the Partnership divested 93 net royalty acres of third party operated acreage located entirely in Loving county in the Delaware Basin for an aggregate net sales price of $29.9 million, including customary closing adjustments.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fourth quarter of 2022, the Partnership divested its entire position in the Eagle Ford Shale consisting of 681 net royalty acres of third party operated acreage for an aggregate net sales price of $53.7 million, including customary closing adjustments.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December 31,</w:t>
            </w:r>
          </w:p>
        </w:tc>
      </w:tr>
      <w:tr>
        <w:trPr>
          <w:trHeight w:val="219"/>
        </w:trPr>
        <w:tc>
          <w:tcPr>
            <w:tcW w:w="8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10"/>
        </w:trPr>
        <w:tc>
          <w:tcPr>
            <w:tcW w:w="8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(In thousands)</w:t>
            </w:r>
          </w:p>
        </w:tc>
      </w:tr>
      <w:tr>
        <w:trPr>
          <w:trHeight w:val="24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2,394,553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2,167,598</w:t>
            </w:r>
          </w:p>
        </w:tc>
      </w:tr>
      <w:tr>
        <w:trPr>
          <w:trHeight w:val="229"/>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1,195,923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1,297,221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3,590,476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3,464,819</w:t>
            </w: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(720,234)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2,805,190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2,744,585</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2,810,878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2,750,273</w:t>
            </w: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and December 31, 2022, the Partnership had mineral and royalty interests representing 27,178 and 26,315 net royalty acres, respectively.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natural gas interests for the three and six months ended June 30, 2023 and 2022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may have material write-downs in subsequent quarters.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7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r>
      <w:tr>
        <w:trPr>
          <w:trHeight w:val="210"/>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right"/>
              <w:ind w:right="1013"/>
              <w:spacing w:after="0"/>
              <w:rPr>
                <w:sz w:val="20"/>
                <w:szCs w:val="20"/>
                <w:color w:val="auto"/>
              </w:rPr>
            </w:pPr>
            <w:r>
              <w:rPr>
                <w:rFonts w:ascii="Arial" w:cs="Arial" w:eastAsia="Arial" w:hAnsi="Arial"/>
                <w:sz w:val="16"/>
                <w:szCs w:val="16"/>
                <w:b w:val="1"/>
                <w:bCs w:val="1"/>
                <w:color w:val="auto"/>
              </w:rPr>
              <w:t>(In thousands)</w:t>
            </w:r>
          </w:p>
        </w:tc>
      </w:tr>
      <w:tr>
        <w:trPr>
          <w:trHeight w:val="24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152,000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r>
      <w:tr>
        <w:trPr>
          <w:trHeight w:val="248"/>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On May 31, 2023, the Operating Company entered into a tenth amendment to the existing credit agreement, which among other things, (i) maintained the maximum credit amount of $2.0 billion, (ii) increased the borrowing base from $580.0 million to $1.0 billion and (iii) increased the elected commitment amount from $500.0 million to $750.0 million. The borrowing base is scheduled to be redetermined semi-annually in May and November. As of June 30, 2023, the Operating Company had $224.0 million of outstanding borrowings and $526.0 million available for future borrowings. During the three and six months ended June 30, 2023 and 2022, the weighted average interest rates on the Operating Company’s revolving credit facility were 7.53%, 7.24%, 3.20% and 2.88%, respectively. The revolving credit facility will mature on June 2, 2025.</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2023, the Operating Company was in compliance with the financial maintenance covenants under its credit agreement.</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June 30, 2023, the Partnership had a total of 71,206,622 common units issued and outstanding and 90,709,946 Class B units issued and outstanding, of which 731,500 common units and 90,709,946 Class B units were beneficially owned by Diamondback, representing approximately 57% of the Partnership’s total units outstanding. At June 30, 2023, Diamondback also beneficially owns 90,709,946 Operating Company units, representing a 56%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of directors of the Partnership’s General Partner has approved a common unit repurchase program to acquire up to $750.0 million of the Partnership’s outstanding common units, excluding excise tax,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three and six months ended June 30, 2023 and 2022, the Partnership repurchased, excluding excise tax, approximately $24.3 million, $57.0 million, $28.9 million and $68.2 million of common units under the repurchase program, respectively. Repurchases for the six months ended June 30, 2022 include approximately $37.3 million for the repurchase of 1.5 million common units from a significant unitholder in a privately negotiated transaction in the first quarter of 2022. As of June 30, 2023, $472.4 million remains available under the repurchase program, excluding excise tax.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39" w:lineRule="exact"/>
        <w:rPr>
          <w:sz w:val="20"/>
          <w:szCs w:val="20"/>
          <w:color w:val="auto"/>
        </w:rPr>
      </w:pPr>
    </w:p>
    <w:p>
      <w:pPr>
        <w:jc w:val="both"/>
        <w:ind w:firstLine="648"/>
        <w:spacing w:after="0" w:line="262" w:lineRule="auto"/>
        <w:rPr>
          <w:rFonts w:ascii="Arial" w:cs="Arial" w:eastAsia="Arial" w:hAnsi="Arial"/>
          <w:sz w:val="17"/>
          <w:szCs w:val="17"/>
          <w:color w:val="0000FF"/>
        </w:rPr>
      </w:pPr>
      <w:r>
        <w:rPr>
          <w:rFonts w:ascii="Arial" w:cs="Arial" w:eastAsia="Arial" w:hAnsi="Arial"/>
          <w:sz w:val="17"/>
          <w:szCs w:val="17"/>
          <w:color w:val="auto"/>
        </w:rPr>
        <w:t xml:space="preserve">Effective with the Partnership’s distribution payable for the third quarter of 2022, the board of directors of the General Partner approved a distribution policy consisting of a base and variable distribution, that takes into account capital returned to unitholders via our common unit repurchase </w:t>
      </w:r>
      <w:hyperlink r:id="rId29">
        <w:r>
          <w:rPr>
            <w:rFonts w:ascii="Arial" w:cs="Arial" w:eastAsia="Arial" w:hAnsi="Arial"/>
            <w:sz w:val="17"/>
            <w:szCs w:val="17"/>
            <w:color w:val="auto"/>
          </w:rPr>
          <w:t xml:space="preserve">program. For a detailed description of the Partnership’s and the Operating Company’s distribution policy, see </w:t>
        </w:r>
        <w:r>
          <w:rPr>
            <w:rFonts w:ascii="Arial" w:cs="Arial" w:eastAsia="Arial" w:hAnsi="Arial"/>
            <w:sz w:val="17"/>
            <w:szCs w:val="17"/>
            <w:u w:val="single" w:color="auto"/>
            <w:color w:val="0000FF"/>
          </w:rPr>
          <w:t>Note 7—Unitholders’ Equity and</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FF"/>
          </w:rPr>
          <w:t>Distributions—Cash Distributions in the Partnership's Annual Report 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2022.</w:t>
        </w:r>
      </w:hyperlink>
    </w:p>
    <w:p>
      <w:pPr>
        <w:spacing w:after="0" w:line="2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7"/>
          <w:szCs w:val="17"/>
          <w:color w:val="auto"/>
        </w:rPr>
        <w:t>The percentage of cash available for distribution pursuant to the distribution policy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 (in thousands, except for per unit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Amount 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8"/>
              <w:spacing w:after="0"/>
              <w:rPr>
                <w:sz w:val="20"/>
                <w:szCs w:val="20"/>
                <w:color w:val="auto"/>
              </w:rPr>
            </w:pPr>
            <w:r>
              <w:rPr>
                <w:rFonts w:ascii="Arial" w:cs="Arial" w:eastAsia="Arial" w:hAnsi="Arial"/>
                <w:sz w:val="16"/>
                <w:szCs w:val="16"/>
                <w:b w:val="1"/>
                <w:bCs w:val="1"/>
                <w:color w:val="auto"/>
                <w:w w:val="92"/>
              </w:rPr>
              <w:t>Operating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9"/>
              </w:rPr>
              <w:t>Distributions to</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8"/>
              <w:spacing w:after="0" w:line="152" w:lineRule="exact"/>
              <w:rPr>
                <w:sz w:val="20"/>
                <w:szCs w:val="20"/>
                <w:color w:val="auto"/>
              </w:rPr>
            </w:pPr>
            <w:r>
              <w:rPr>
                <w:rFonts w:ascii="Arial" w:cs="Arial" w:eastAsia="Arial" w:hAnsi="Arial"/>
                <w:sz w:val="16"/>
                <w:szCs w:val="16"/>
                <w:b w:val="1"/>
                <w:bCs w:val="1"/>
                <w:color w:val="auto"/>
                <w:w w:val="90"/>
              </w:rPr>
              <w:t>Company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w w:val="91"/>
              </w:rPr>
              <w:t>Amount per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Unitholder Record</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Period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2"/>
              </w:rPr>
              <w:t>Operating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8"/>
              <w:spacing w:after="0" w:line="162" w:lineRule="exact"/>
              <w:rPr>
                <w:sz w:val="20"/>
                <w:szCs w:val="20"/>
                <w:color w:val="auto"/>
              </w:rPr>
            </w:pPr>
            <w:r>
              <w:rPr>
                <w:rFonts w:ascii="Arial" w:cs="Arial" w:eastAsia="Arial" w:hAnsi="Arial"/>
                <w:sz w:val="16"/>
                <w:szCs w:val="16"/>
                <w:b w:val="1"/>
                <w:bCs w:val="1"/>
                <w:color w:val="auto"/>
                <w:w w:val="89"/>
              </w:rPr>
              <w:t>Distributions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7"/>
              <w:spacing w:after="0" w:line="162" w:lineRule="exact"/>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4"/>
                <w:szCs w:val="14"/>
                <w:color w:val="auto"/>
              </w:rPr>
            </w:pPr>
          </w:p>
        </w:tc>
        <w:tc>
          <w:tcPr>
            <w:tcW w:w="1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Declaration Date</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194"/>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2"/>
        </w:trPr>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Company Unit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Diamondback</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Common Unit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7"/>
              <w:spacing w:after="0" w:line="212" w:lineRule="exact"/>
              <w:rPr>
                <w:sz w:val="20"/>
                <w:szCs w:val="20"/>
                <w:color w:val="auto"/>
              </w:rPr>
            </w:pPr>
            <w:r>
              <w:rPr>
                <w:rFonts w:ascii="Arial" w:cs="Arial" w:eastAsia="Arial" w:hAnsi="Arial"/>
                <w:sz w:val="16"/>
                <w:szCs w:val="16"/>
                <w:b w:val="1"/>
                <w:bCs w:val="1"/>
                <w:color w:val="auto"/>
                <w:w w:val="85"/>
              </w:rPr>
              <w:t>Unitholders</w:t>
            </w:r>
            <w:r>
              <w:rPr>
                <w:rFonts w:ascii="Arial" w:cs="Arial" w:eastAsia="Arial" w:hAnsi="Arial"/>
                <w:sz w:val="20"/>
                <w:szCs w:val="20"/>
                <w:b w:val="1"/>
                <w:bCs w:val="1"/>
                <w:color w:val="auto"/>
                <w:w w:val="85"/>
                <w:vertAlign w:val="superscript"/>
              </w:rPr>
              <w:t>(1)</w:t>
            </w:r>
          </w:p>
        </w:tc>
        <w:tc>
          <w:tcPr>
            <w:tcW w:w="12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Q4 2022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35,683</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2023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2023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10, 2023</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Q1 2023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23,797</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April 26, 2023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May 11, 2023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May 18, 2023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amounts paid to Diamondback for the 731,500 common units beneficially owned by Diamondback and distribution equivalent rights payments.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result in adjustments to non-controlling interest and common unitholder equity, tax effected, but do not impact earnings. The following table summarizes the changes in common unitholder equity due to changes in ownership interest during the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25,718</w:t>
            </w:r>
          </w:p>
        </w:tc>
        <w:tc>
          <w:tcPr>
            <w:tcW w:w="0" w:type="dxa"/>
            <w:vAlign w:val="bottom"/>
          </w:tcPr>
          <w:p>
            <w:pPr>
              <w:spacing w:after="0"/>
              <w:rPr>
                <w:sz w:val="1"/>
                <w:szCs w:val="1"/>
                <w:color w:val="auto"/>
              </w:rPr>
            </w:pPr>
          </w:p>
        </w:tc>
      </w:tr>
      <w:tr>
        <w:trPr>
          <w:trHeight w:val="168"/>
        </w:trPr>
        <w:tc>
          <w:tcPr>
            <w:tcW w:w="56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Change from net income (loss) attributable to the Partnership's unitholders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45,545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92,715</w:t>
            </w: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76,345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and transfers to non-controlling interest</w:t>
            </w:r>
          </w:p>
        </w:tc>
        <w:tc>
          <w:tcPr>
            <w:tcW w:w="2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attributable to the Partnership’s common units for the three and six months ended June 30, 2023 and 2022. The Partnership’s net income (loss) is allocated wholly to the common units, as the General Partner does not have an economic 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6"/>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Arial" w:cs="Arial" w:eastAsia="Arial" w:hAnsi="Arial"/>
                <w:sz w:val="16"/>
                <w:szCs w:val="16"/>
                <w:b w:val="1"/>
                <w:bCs w:val="1"/>
                <w:color w:val="auto"/>
                <w:w w:val="94"/>
              </w:rPr>
              <w:t>(In thousands, except per unit amounts)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line="182" w:lineRule="exact"/>
              <w:rPr>
                <w:sz w:val="20"/>
                <w:szCs w:val="20"/>
                <w:color w:val="auto"/>
              </w:rPr>
            </w:pPr>
            <w:r>
              <w:rPr>
                <w:rFonts w:ascii="Arial" w:cs="Arial" w:eastAsia="Arial" w:hAnsi="Arial"/>
                <w:sz w:val="18"/>
                <w:szCs w:val="18"/>
                <w:color w:val="auto"/>
              </w:rPr>
              <w:t>Less: distributed and undistributed earnings allocated to participating</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line="222" w:lineRule="exact"/>
              <w:rPr>
                <w:sz w:val="20"/>
                <w:szCs w:val="20"/>
                <w:color w:val="auto"/>
              </w:rPr>
            </w:pPr>
            <w:r>
              <w:rPr>
                <w:rFonts w:ascii="Arial" w:cs="Arial" w:eastAsia="Arial" w:hAnsi="Arial"/>
                <w:sz w:val="18"/>
                <w:szCs w:val="18"/>
                <w:color w:val="auto"/>
              </w:rPr>
              <w:t>securities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unitholders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76,861</w:t>
            </w:r>
          </w:p>
        </w:tc>
        <w:tc>
          <w:tcPr>
            <w:tcW w:w="0" w:type="dxa"/>
            <w:vAlign w:val="bottom"/>
          </w:tcPr>
          <w:p>
            <w:pPr>
              <w:spacing w:after="0"/>
              <w:rPr>
                <w:sz w:val="1"/>
                <w:szCs w:val="1"/>
                <w:color w:val="auto"/>
              </w:rPr>
            </w:pPr>
          </w:p>
        </w:tc>
      </w:tr>
      <w:tr>
        <w:trPr>
          <w:trHeight w:val="237"/>
        </w:trPr>
        <w:tc>
          <w:tcPr>
            <w:tcW w:w="566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480"/>
              <w:spacing w:after="0" w:line="236"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71,771</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76,729</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72,249</w:t>
            </w: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58" w:lineRule="auto"/>
        <w:tabs>
          <w:tab w:leader="none" w:pos="434" w:val="left"/>
        </w:tabs>
        <w:numPr>
          <w:ilvl w:val="0"/>
          <w:numId w:val="7"/>
        </w:numPr>
        <w:rPr>
          <w:rFonts w:ascii="Arial" w:cs="Arial" w:eastAsia="Arial" w:hAnsi="Arial"/>
          <w:sz w:val="18"/>
          <w:szCs w:val="18"/>
          <w:color w:val="auto"/>
        </w:rPr>
      </w:pPr>
      <w:r>
        <w:rPr>
          <w:rFonts w:ascii="Arial" w:cs="Arial" w:eastAsia="Arial" w:hAnsi="Arial"/>
          <w:sz w:val="18"/>
          <w:szCs w:val="18"/>
          <w:color w:val="auto"/>
        </w:rPr>
        <w:t>Unvested restricted stock units that contain non-forfeitable distribution equivalent rights granted are considered participating securities and therefore are included in the earnings per unit calculation pursuant to the two-class method.</w:t>
      </w:r>
    </w:p>
    <w:p>
      <w:pPr>
        <w:spacing w:after="0" w:line="1" w:lineRule="exact"/>
        <w:rPr>
          <w:rFonts w:ascii="Arial" w:cs="Arial" w:eastAsia="Arial" w:hAnsi="Arial"/>
          <w:sz w:val="18"/>
          <w:szCs w:val="18"/>
          <w:color w:val="auto"/>
        </w:rPr>
      </w:pPr>
    </w:p>
    <w:p>
      <w:pPr>
        <w:ind w:left="340" w:hanging="332"/>
        <w:spacing w:after="0" w:line="260" w:lineRule="auto"/>
        <w:tabs>
          <w:tab w:leader="none" w:pos="413"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June 30, 2023 and 2022, there were no potential common units excluded from the computation of diluted earnings per common unit because their inclusion would have been anti-dilutive.</w:t>
      </w:r>
    </w:p>
    <w:p>
      <w:pPr>
        <w:spacing w:after="0" w:line="2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r>
      <w:tr>
        <w:trPr>
          <w:trHeight w:val="209"/>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w w:val="94"/>
              </w:rPr>
              <w:t>(In thousands, except for tax rate)</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6,182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17,856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8,812</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9.6 %</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3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Partnership’s effective income tax rate for the three and six months ended June 30, 2023 differed from the amount computed by applying the United States federal statutory tax rate to pre-tax income for the period primarily due to net income attributable to the non-controlling interest. The Partnership’s effective income tax rate for the three and six months ended June 30, 2022 differed from the amount computed by applying the United States federal statutory tax rate to pre-tax income for the period primarily due to net income attributable to the non-controlling interest and the impact of maintaining a valuation allowance on the Partnership’s deferred tax assets.</w:t>
      </w:r>
    </w:p>
    <w:p>
      <w:pPr>
        <w:spacing w:after="0" w:line="2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As of June 30, 2023, the Partnership maintained a partial valuation allowance against its deferred tax assets considered not more likely than not to be realized, based on its assessment of all available evidence, both positive and negative, as required by applicable accounting standards.</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June 30, 2022, the Partnership had a full valuation allowance against its deferred tax assets, based on its assessment of all available evidence, both positive and negative, supporting realizability of the Partnership’s deferred tax assets.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Inflation Reduction Act of 2022 (“IRA”) was enacted on August 16, 2022, and imposed an excise tax of 1% on the fair market value of certain public company stock/unit repurchases for tax years beginning after December 31, 2022, and included several other provisions applicable to U.S. income taxes for corporations. The Partnership’s excise tax during the three and six months ended June 30, 2023 was immaterial and is recognized as part of the cost basis of the units 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June 30, 2023, the Partnership has put options and fixed price basis swaps outstanding.</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put contracts for oil based on WTI Cushing and fixed price basis swaps for oil based on the spread between the WTI Cushing crude oil price and the Argus WTI Midland crude oil price. The Partnership’s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Operating Company; therefore, the Partnership is not required to post any collateral. The Partnership’s counterparties have been determined to have an acceptable credit risk; therefore, the Partnership does not require collateral from its counterparties.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2023,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Swaps</w:t>
            </w: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Puts</w:t>
            </w:r>
          </w:p>
        </w:tc>
        <w:tc>
          <w:tcPr>
            <w:tcW w:w="0" w:type="dxa"/>
            <w:vAlign w:val="bottom"/>
          </w:tcPr>
          <w:p>
            <w:pPr>
              <w:spacing w:after="0"/>
              <w:rPr>
                <w:sz w:val="1"/>
                <w:szCs w:val="1"/>
                <w:color w:val="auto"/>
              </w:rPr>
            </w:pPr>
          </w:p>
        </w:tc>
      </w:tr>
      <w:tr>
        <w:trPr>
          <w:trHeight w:val="159"/>
        </w:trPr>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Bbls/Mcf Per</w:t>
            </w:r>
          </w:p>
        </w:tc>
        <w:tc>
          <w:tcPr>
            <w:tcW w:w="18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162"/>
        </w:trPr>
        <w:tc>
          <w:tcPr>
            <w:tcW w:w="1780" w:type="dxa"/>
            <w:vAlign w:val="bottom"/>
            <w:vMerge w:val="restart"/>
          </w:tcPr>
          <w:p>
            <w:pPr>
              <w:jc w:val="center"/>
              <w:ind w:left="53"/>
              <w:spacing w:after="0"/>
              <w:rPr>
                <w:sz w:val="20"/>
                <w:szCs w:val="20"/>
                <w:color w:val="auto"/>
              </w:rPr>
            </w:pPr>
            <w:r>
              <w:rPr>
                <w:rFonts w:ascii="Arial" w:cs="Arial" w:eastAsia="Arial" w:hAnsi="Arial"/>
                <w:sz w:val="16"/>
                <w:szCs w:val="16"/>
                <w:b w:val="1"/>
                <w:bCs w:val="1"/>
                <w:color w:val="auto"/>
                <w:w w:val="92"/>
              </w:rPr>
              <w:t>Settlement Month</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 Year</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 Contract</w:t>
            </w:r>
          </w:p>
        </w:tc>
        <w:tc>
          <w:tcPr>
            <w:tcW w:w="1140" w:type="dxa"/>
            <w:vAlign w:val="bottom"/>
            <w:vMerge w:val="continue"/>
          </w:tcPr>
          <w:p>
            <w:pPr>
              <w:spacing w:after="0"/>
              <w:rPr>
                <w:sz w:val="14"/>
                <w:szCs w:val="14"/>
                <w:color w:val="auto"/>
              </w:rPr>
            </w:pPr>
          </w:p>
        </w:tc>
        <w:tc>
          <w:tcPr>
            <w:tcW w:w="1820" w:type="dxa"/>
            <w:vAlign w:val="bottom"/>
            <w:vMerge w:val="restart"/>
          </w:tcPr>
          <w:p>
            <w:pPr>
              <w:jc w:val="center"/>
              <w:ind w:right="12"/>
              <w:spacing w:after="0"/>
              <w:rPr>
                <w:sz w:val="20"/>
                <w:szCs w:val="20"/>
                <w:color w:val="auto"/>
              </w:rPr>
            </w:pPr>
            <w:r>
              <w:rPr>
                <w:rFonts w:ascii="Arial" w:cs="Arial" w:eastAsia="Arial" w:hAnsi="Arial"/>
                <w:sz w:val="16"/>
                <w:szCs w:val="16"/>
                <w:b w:val="1"/>
                <w:bCs w:val="1"/>
                <w:color w:val="auto"/>
                <w:w w:val="95"/>
              </w:rPr>
              <w:t>Index</w:t>
            </w: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3"/>
              </w:rPr>
              <w:t>Strike Price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Day</w:t>
            </w:r>
          </w:p>
        </w:tc>
        <w:tc>
          <w:tcPr>
            <w:tcW w:w="18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Premium</w:t>
            </w:r>
          </w:p>
        </w:tc>
        <w:tc>
          <w:tcPr>
            <w:tcW w:w="0" w:type="dxa"/>
            <w:vAlign w:val="bottom"/>
          </w:tcPr>
          <w:p>
            <w:pPr>
              <w:spacing w:after="0"/>
              <w:rPr>
                <w:sz w:val="1"/>
                <w:szCs w:val="1"/>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OIL</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8"/>
              </w:rPr>
              <w:t>Jul. - Sep.</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$55.00</w:t>
            </w:r>
          </w:p>
        </w:tc>
        <w:tc>
          <w:tcPr>
            <w:tcW w:w="128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color w:val="auto"/>
                <w:w w:val="88"/>
              </w:rPr>
              <w:t>$1.80</w:t>
            </w:r>
          </w:p>
        </w:tc>
        <w:tc>
          <w:tcPr>
            <w:tcW w:w="0" w:type="dxa"/>
            <w:vAlign w:val="bottom"/>
          </w:tcPr>
          <w:p>
            <w:pPr>
              <w:spacing w:after="0"/>
              <w:rPr>
                <w:sz w:val="1"/>
                <w:szCs w:val="1"/>
                <w:color w:val="auto"/>
              </w:rPr>
            </w:pPr>
          </w:p>
        </w:tc>
      </w:tr>
      <w:tr>
        <w:trPr>
          <w:trHeight w:val="237"/>
        </w:trPr>
        <w:tc>
          <w:tcPr>
            <w:tcW w:w="1780" w:type="dxa"/>
            <w:vAlign w:val="bottom"/>
          </w:tcPr>
          <w:p>
            <w:pPr>
              <w:jc w:val="center"/>
              <w:ind w:left="33"/>
              <w:spacing w:after="0"/>
              <w:rPr>
                <w:sz w:val="20"/>
                <w:szCs w:val="20"/>
                <w:color w:val="auto"/>
              </w:rPr>
            </w:pPr>
            <w:r>
              <w:rPr>
                <w:rFonts w:ascii="Arial" w:cs="Arial" w:eastAsia="Arial" w:hAnsi="Arial"/>
                <w:sz w:val="18"/>
                <w:szCs w:val="18"/>
                <w:color w:val="auto"/>
                <w:w w:val="90"/>
              </w:rPr>
              <w:t>Oct. - Dec.</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Puts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$55.00</w:t>
            </w:r>
          </w:p>
        </w:tc>
        <w:tc>
          <w:tcPr>
            <w:tcW w:w="1280" w:type="dxa"/>
            <w:vAlign w:val="bottom"/>
            <w:gridSpan w:val="3"/>
          </w:tcPr>
          <w:p>
            <w:pPr>
              <w:jc w:val="center"/>
              <w:ind w:left="73"/>
              <w:spacing w:after="0"/>
              <w:rPr>
                <w:sz w:val="20"/>
                <w:szCs w:val="20"/>
                <w:color w:val="auto"/>
              </w:rPr>
            </w:pPr>
            <w:r>
              <w:rPr>
                <w:rFonts w:ascii="Arial" w:cs="Arial" w:eastAsia="Arial" w:hAnsi="Arial"/>
                <w:sz w:val="18"/>
                <w:szCs w:val="18"/>
                <w:color w:val="auto"/>
                <w:w w:val="88"/>
              </w:rPr>
              <w:t>$1.85</w:t>
            </w: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Jul. - Dec.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Basis Swaps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4,000</w:t>
            </w:r>
          </w:p>
        </w:tc>
        <w:tc>
          <w:tcPr>
            <w:tcW w:w="18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6"/>
              </w:rPr>
              <w:t>Argus WTI Midland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3"/>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NATURAL GAS</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Jul. - Dec.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Basis Swaps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8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9"/>
              </w:rPr>
              <w:t>Waha Hub</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780" w:type="dxa"/>
            <w:vAlign w:val="bottom"/>
          </w:tcPr>
          <w:p>
            <w:pPr>
              <w:jc w:val="center"/>
              <w:ind w:left="53"/>
              <w:spacing w:after="0"/>
              <w:rPr>
                <w:sz w:val="20"/>
                <w:szCs w:val="20"/>
                <w:color w:val="auto"/>
              </w:rPr>
            </w:pPr>
            <w:r>
              <w:rPr>
                <w:rFonts w:ascii="Arial" w:cs="Arial" w:eastAsia="Arial" w:hAnsi="Arial"/>
                <w:sz w:val="18"/>
                <w:szCs w:val="18"/>
                <w:color w:val="auto"/>
                <w:w w:val="87"/>
              </w:rPr>
              <w:t>Jan. - Dec.</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Basis Swaps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820" w:type="dxa"/>
            <w:vAlign w:val="bottom"/>
          </w:tcPr>
          <w:p>
            <w:pPr>
              <w:jc w:val="center"/>
              <w:ind w:right="12"/>
              <w:spacing w:after="0"/>
              <w:rPr>
                <w:sz w:val="20"/>
                <w:szCs w:val="20"/>
                <w:color w:val="auto"/>
              </w:rPr>
            </w:pPr>
            <w:r>
              <w:rPr>
                <w:rFonts w:ascii="Arial" w:cs="Arial" w:eastAsia="Arial" w:hAnsi="Arial"/>
                <w:sz w:val="18"/>
                <w:szCs w:val="18"/>
                <w:color w:val="auto"/>
                <w:w w:val="89"/>
              </w:rPr>
              <w:t>Waha Hub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Arial" w:cs="Arial" w:eastAsia="Arial" w:hAnsi="Arial"/>
          <w:sz w:val="18"/>
          <w:szCs w:val="18"/>
          <w:u w:val="single" w:color="auto"/>
          <w:color w:val="0000FF"/>
        </w:rPr>
        <w:t>Fair Value Measurements</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w w:val="96"/>
              </w:rPr>
              <w:t>Three Months Ended June 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r>
      <w:tr>
        <w:trPr>
          <w:trHeight w:val="209"/>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r>
      <w:tr>
        <w:trPr>
          <w:trHeight w:val="312"/>
        </w:trPr>
        <w:tc>
          <w:tcPr>
            <w:tcW w:w="564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(17,029)</w:t>
            </w:r>
          </w:p>
        </w:tc>
      </w:tr>
    </w:tbl>
    <w:p>
      <w:pPr>
        <w:spacing w:after="0"/>
        <w:rPr>
          <w:sz w:val="20"/>
          <w:szCs w:val="20"/>
          <w:color w:val="auto"/>
        </w:rPr>
      </w:pPr>
      <w:r>
        <w:rPr>
          <w:rFonts w:ascii="Arial" w:cs="Arial" w:eastAsia="Arial" w:hAnsi="Arial"/>
          <w:sz w:val="17"/>
          <w:szCs w:val="17"/>
          <w:color w:val="auto"/>
        </w:rPr>
        <w:t>(1) The six months ended June 30, 2022 includes cash paid on commodity contracts terminated prior to their contractual maturity of $4.2 million.</w:t>
      </w:r>
    </w:p>
    <w:p>
      <w:pPr>
        <w:spacing w:after="0" w:line="25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r:id="rId24">
        <w:r>
          <w:rPr>
            <w:rFonts w:ascii="Arial" w:cs="Arial" w:eastAsia="Arial" w:hAnsi="Arial"/>
            <w:sz w:val="16"/>
            <w:szCs w:val="16"/>
            <w:u w:val="single" w:color="auto"/>
            <w:color w:val="0000FF"/>
          </w:rPr>
          <w:t>Note 11—Fair Value Measurements in the Partnership's 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2022, certain assets and liabilities are reported at fair value on a recurring basis on the Partnership’s condensed consolidated balance sheets,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 in the fair value hierarchy. The net amounts are classified as current or noncurrent based on their anticipated settlement 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ind w:firstLine="8"/>
        <w:spacing w:after="0" w:line="323" w:lineRule="auto"/>
        <w:tabs>
          <w:tab w:leader="none" w:pos="26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gross amounts of recognized derivative assets and liabilities, (iii) the amounts offset under master netting arrangements with counterparties and (iv) the resulting net amounts presented in the Partnership’s condensed consolidated balance sheets as of June 30, 2023 and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6"/>
                <w:szCs w:val="16"/>
                <w:b w:val="1"/>
                <w:bCs w:val="1"/>
                <w:color w:val="auto"/>
                <w:w w:val="90"/>
              </w:rPr>
              <w:t>As of June 30, 2023</w:t>
            </w:r>
          </w:p>
        </w:tc>
        <w:tc>
          <w:tcPr>
            <w:tcW w:w="1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20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Offset in Balance</w:t>
            </w:r>
          </w:p>
        </w:tc>
        <w:tc>
          <w:tcPr>
            <w:tcW w:w="15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9,890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5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9,890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3,373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58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3,373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As of December 31, 2022</w:t>
      </w:r>
    </w:p>
    <w:p>
      <w:pPr>
        <w:spacing w:after="0" w:line="26" w:lineRule="exact"/>
        <w:rPr>
          <w:sz w:val="20"/>
          <w:szCs w:val="20"/>
          <w:color w:val="auto"/>
        </w:rPr>
      </w:pPr>
    </w:p>
    <w:tbl>
      <w:tblPr>
        <w:tblLayout w:type="fixed"/>
        <w:tblInd w:w="3960" w:type="dxa"/>
        <w:tblCellMar>
          <w:top w:w="0" w:type="dxa"/>
          <w:left w:w="0" w:type="dxa"/>
          <w:bottom w:w="0" w:type="dxa"/>
          <w:right w:w="0" w:type="dxa"/>
        </w:tblCellMar>
      </w:tblPr>
      <w:tr>
        <w:trPr>
          <w:trHeight w:val="162"/>
        </w:trPr>
        <w:tc>
          <w:tcPr>
            <w:tcW w:w="10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Total Gross Fair</w:t>
            </w:r>
          </w:p>
        </w:tc>
        <w:tc>
          <w:tcPr>
            <w:tcW w:w="14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89"/>
              </w:rPr>
              <w:t>Gross Amounts</w:t>
            </w:r>
          </w:p>
        </w:tc>
        <w:tc>
          <w:tcPr>
            <w:tcW w:w="15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10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10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Level 2</w:t>
            </w:r>
          </w:p>
        </w:tc>
        <w:tc>
          <w:tcPr>
            <w:tcW w:w="9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3</w:t>
            </w:r>
          </w:p>
        </w:tc>
        <w:tc>
          <w:tcPr>
            <w:tcW w:w="138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Offset in Balance</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10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Sheet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35" w:lineRule="exact"/>
        <w:rPr>
          <w:sz w:val="20"/>
          <w:szCs w:val="20"/>
          <w:color w:val="auto"/>
        </w:rPr>
      </w:pPr>
    </w:p>
    <w:p>
      <w:pPr>
        <w:ind w:left="440"/>
        <w:spacing w:after="0"/>
        <w:tabs>
          <w:tab w:leader="none" w:pos="3960" w:val="left"/>
          <w:tab w:leader="none" w:pos="4700" w:val="left"/>
          <w:tab w:leader="none" w:pos="5400" w:val="left"/>
          <w:tab w:leader="none" w:pos="6720" w:val="left"/>
          <w:tab w:leader="none" w:pos="7600" w:val="left"/>
          <w:tab w:leader="none" w:pos="9140" w:val="left"/>
          <w:tab w:leader="none" w:pos="1074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13,296 $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13,296 $</w:t>
      </w:r>
      <w:r>
        <w:rPr>
          <w:sz w:val="20"/>
          <w:szCs w:val="20"/>
          <w:color w:val="auto"/>
        </w:rPr>
        <w:tab/>
      </w:r>
      <w:r>
        <w:rPr>
          <w:rFonts w:ascii="Arial" w:cs="Arial" w:eastAsia="Arial" w:hAnsi="Arial"/>
          <w:sz w:val="18"/>
          <w:szCs w:val="18"/>
          <w:color w:val="auto"/>
        </w:rPr>
        <w:t>(3,968) $</w:t>
      </w:r>
      <w:r>
        <w:rPr>
          <w:sz w:val="20"/>
          <w:szCs w:val="20"/>
          <w:color w:val="auto"/>
        </w:rPr>
        <w:tab/>
      </w:r>
      <w:r>
        <w:rPr>
          <w:rFonts w:ascii="Arial" w:cs="Arial" w:eastAsia="Arial" w:hAnsi="Arial"/>
          <w:sz w:val="15"/>
          <w:szCs w:val="15"/>
          <w:color w:val="auto"/>
        </w:rPr>
        <w:t>9,328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500" w:val="left"/>
          <w:tab w:leader="none" w:pos="6720" w:val="left"/>
          <w:tab w:leader="none" w:pos="7700" w:val="left"/>
          <w:tab w:leader="none" w:pos="9140" w:val="left"/>
          <w:tab w:leader="none" w:pos="1088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1,911 $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1,911 $</w:t>
      </w:r>
      <w:r>
        <w:rPr>
          <w:sz w:val="20"/>
          <w:szCs w:val="20"/>
          <w:color w:val="auto"/>
        </w:rPr>
        <w:tab/>
      </w:r>
      <w:r>
        <w:rPr>
          <w:rFonts w:ascii="Arial" w:cs="Arial" w:eastAsia="Arial" w:hAnsi="Arial"/>
          <w:sz w:val="18"/>
          <w:szCs w:val="18"/>
          <w:color w:val="auto"/>
        </w:rPr>
        <w:t>(1,469) $</w:t>
      </w:r>
      <w:r>
        <w:rPr>
          <w:sz w:val="20"/>
          <w:szCs w:val="20"/>
          <w:color w:val="auto"/>
        </w:rPr>
        <w:tab/>
      </w:r>
      <w:r>
        <w:rPr>
          <w:rFonts w:ascii="Arial" w:cs="Arial" w:eastAsia="Arial" w:hAnsi="Arial"/>
          <w:sz w:val="15"/>
          <w:szCs w:val="15"/>
          <w:color w:val="auto"/>
        </w:rPr>
        <w:t>442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440"/>
        <w:spacing w:after="0"/>
        <w:tabs>
          <w:tab w:leader="none" w:pos="3960" w:val="left"/>
          <w:tab w:leader="none" w:pos="4700" w:val="left"/>
          <w:tab w:leader="none" w:pos="5480" w:val="left"/>
          <w:tab w:leader="none" w:pos="6720" w:val="left"/>
          <w:tab w:leader="none" w:pos="7700" w:val="left"/>
          <w:tab w:leader="none" w:pos="914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3,968 $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3,968 $</w:t>
      </w:r>
      <w:r>
        <w:rPr>
          <w:sz w:val="20"/>
          <w:szCs w:val="20"/>
          <w:color w:val="auto"/>
        </w:rPr>
        <w:tab/>
      </w:r>
      <w:r>
        <w:rPr>
          <w:rFonts w:ascii="Arial" w:cs="Arial" w:eastAsia="Arial" w:hAnsi="Arial"/>
          <w:sz w:val="18"/>
          <w:szCs w:val="18"/>
          <w:color w:val="auto"/>
        </w:rPr>
        <w:t>(3,968) $</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480" w:val="left"/>
          <w:tab w:leader="none" w:pos="6720" w:val="left"/>
          <w:tab w:leader="none" w:pos="7700" w:val="left"/>
          <w:tab w:leader="none" w:pos="9140" w:val="left"/>
          <w:tab w:leader="none" w:pos="110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1,476 $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1,476 $</w:t>
      </w:r>
      <w:r>
        <w:rPr>
          <w:sz w:val="20"/>
          <w:szCs w:val="20"/>
          <w:color w:val="auto"/>
        </w:rPr>
        <w:tab/>
      </w:r>
      <w:r>
        <w:rPr>
          <w:rFonts w:ascii="Arial" w:cs="Arial" w:eastAsia="Arial" w:hAnsi="Arial"/>
          <w:sz w:val="18"/>
          <w:szCs w:val="18"/>
          <w:color w:val="auto"/>
        </w:rPr>
        <w:t>(1,469) $</w:t>
      </w:r>
      <w:r>
        <w:rPr>
          <w:sz w:val="20"/>
          <w:szCs w:val="20"/>
          <w:color w:val="auto"/>
        </w:rPr>
        <w:tab/>
      </w:r>
      <w:r>
        <w:rPr>
          <w:rFonts w:ascii="Arial" w:cs="Arial" w:eastAsia="Arial" w:hAnsi="Arial"/>
          <w:sz w:val="13"/>
          <w:szCs w:val="13"/>
          <w:color w:val="auto"/>
        </w:rPr>
        <w:t>7</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2023</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4"/>
          </w:tcPr>
          <w:p>
            <w:pPr>
              <w:jc w:val="right"/>
              <w:ind w:right="111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224,000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152,000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152,000</w:t>
            </w:r>
          </w:p>
        </w:tc>
      </w:tr>
      <w:tr>
        <w:trPr>
          <w:trHeight w:val="236"/>
        </w:trPr>
        <w:tc>
          <w:tcPr>
            <w:tcW w:w="44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425,416</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413,097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424,895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June 30, 2023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has other financial instruments consisting of cash and cash equivalents, royalty income receivable, other current assets, accounts payable, accrued liabilities and income taxes payable. The carrying value of these instruments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72"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25, 2023, the board of directors of the General Partner approved an increase to the Partnership’s annual base dividend to $1.08 per common unit beginning with the distribution payable for the second quarter of 2023, and a cash distribution for the second quarter of 2023 of $0.36 per common unit and $0.44 per Class B unit, payable on August 17, 2023, to eligible unitholders of record at the close of business on August 10, 2023. For the second quarter of 2023, the distribution to common unitholders consists of a base quarterly distribution of $0.27 per common unit and a variable quarterly distribution of $0.09 per common unit.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4">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for the year ended December 31, 2022.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Part II. Item 1A. Risk Factors</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the first half of 2023 and 2022, the NYMEX WTI price averaged $74.77 and $101.77 per Bbl, respectively, and NYMEX Henry Hub price averaged $2.54 and $6.04 per MMBtu, respectively. The war in Ukraine, rising interest rates, global supply chain disruptions, concerns about a potential economic downturn or recession, measures to combat persistent inflation and instability in the financial sector have contributed to recent economic and pricing volatility and may continue to impact pricing throughout 2023. Additionally, OPEC and its non-OPEC allies, known collectively as OPEC+, continues to meet regularly to evaluate the state of global oil supply, demand and inventory levels.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Update</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July 25, 2023, the board of directors of the General Partner approved an increase to the Partnership’s annual base dividend to $1.08 per common unit beginning with our distribution payable for the second quarter of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Convert into Corporate Structure</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31, 2023, we announced our intent to convert our legal status from a Delaware limited partnership into a Delaware corporation. The conversion is expected to be completed by or before December 31, 2023. After the conversion, it is expected that our current limited partners would own the same percentage of the corporation’s outstanding shares as they currently own of the Partnership’s outstanding equity interests.</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connection with the conversion, we intend to adopt a corporate governance structure designed to meet the eligibility requirements for certain indices and benchmarks, which we believe would further broaden our investor base and improve our trading liquidity, although no assurances can be provided regarding inclusion in any such index or benchmark. Because we are already treated as a corporation for U.S. federal income tax purposes, we expect that the conversion of our entity form into a Delaware corporation will not impact the current tax treatment for the Partnership’s current public common unitholders.</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Upon conversion, it is intended that our common stockholders will have the ability to vote on all matters on which stockholders of a corporation are generally entitled to vote under the Delaware General Corporation Law, including the election of our board of directors. Immediately following the proposed conversion, we would be a “controlled company” under the Nasdaq rules because Diamondback would own more than 50% of the voting power of our common stock. In addition, Diamondback intends to continue to provide general and administrative services to us post-conversion in substantially the same manner as Diamondback currently provides. At or around the actual conversion, we intend to provide additional information regarding the post-conversion structural arrangements, including the terms of our post-conversion governing documents and the arrangements providing for Diamondback’s provision of services to us post-conversion. It is expected that post-conversion, our publicly traded common stock will be traded on Nasdaq under the existing ticker symbol “VNOM.”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Our footprint of mineral and royalty interests totaled 27,178 net royalty acres, approximately 58% of which are operated by Diamondback, as of June 30, 2023. Continuing the trend of increasing production, average oil production per day during the second quarter of 2023 was the highest in the Partnership’s history. There are currently 47 rigs operating on our mineral and royalty acreage, eight of which are operated by Diamondback. As a result of the continued outperformance of our production goals, we have increased our third quarter 2023 oil production guidance by approximately four percent at midpoint compared to average daily oil production in the second quarter of 2023. Due to Diamondback’s consistent focus on developing our high concentration royalty acreage, primarily in the Northern Midland Basin, we expect our Diamondback-operated full year 2023 oil production to increase by over 15% compared to 2022, with a further increase of approximately 10% expected for the full year 2024.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for the second quarter ended June 30,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Arial" w:cs="Arial" w:eastAsia="Arial" w:hAnsi="Arial"/>
                <w:sz w:val="16"/>
                <w:szCs w:val="16"/>
                <w:b w:val="1"/>
                <w:bCs w:val="1"/>
                <w:color w:val="auto"/>
              </w:rPr>
              <w:t>Diamondback</w:t>
            </w:r>
          </w:p>
        </w:tc>
        <w:tc>
          <w:tcPr>
            <w:tcW w:w="10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Third Party</w:t>
            </w:r>
          </w:p>
        </w:tc>
        <w:tc>
          <w:tcPr>
            <w:tcW w:w="80" w:type="dxa"/>
            <w:vAlign w:val="bottom"/>
          </w:tcPr>
          <w:p>
            <w:pPr>
              <w:spacing w:after="0"/>
              <w:rPr>
                <w:sz w:val="16"/>
                <w:szCs w:val="16"/>
                <w:color w:val="auto"/>
              </w:rPr>
            </w:pPr>
          </w:p>
        </w:tc>
        <w:tc>
          <w:tcPr>
            <w:tcW w:w="14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Operated</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Operated</w:t>
            </w:r>
          </w:p>
        </w:tc>
        <w:tc>
          <w:tcPr>
            <w:tcW w:w="8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Horizontal wells turned to production</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4.8 %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37"/>
        </w:trPr>
        <w:tc>
          <w:tcPr>
            <w:tcW w:w="682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120.8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110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5.9 %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682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480" w:type="dxa"/>
            <w:vAlign w:val="bottom"/>
          </w:tcPr>
          <w:p>
            <w:pPr>
              <w:jc w:val="right"/>
              <w:spacing w:after="0"/>
              <w:rPr>
                <w:sz w:val="20"/>
                <w:szCs w:val="20"/>
                <w:color w:val="auto"/>
              </w:rPr>
            </w:pPr>
            <w:r>
              <w:rPr>
                <w:rFonts w:ascii="Arial" w:cs="Arial" w:eastAsia="Arial" w:hAnsi="Arial"/>
                <w:sz w:val="18"/>
                <w:szCs w:val="18"/>
                <w:color w:val="auto"/>
              </w:rPr>
              <w:t>12.3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lateral length of 11,403.</w:t>
      </w:r>
    </w:p>
    <w:p>
      <w:pPr>
        <w:spacing w:after="0" w:line="11" w:lineRule="exact"/>
        <w:rPr>
          <w:rFonts w:ascii="Arial" w:cs="Arial" w:eastAsia="Arial" w:hAnsi="Arial"/>
          <w:sz w:val="18"/>
          <w:szCs w:val="18"/>
          <w:color w:val="auto"/>
        </w:rPr>
      </w:pPr>
    </w:p>
    <w:p>
      <w:pPr>
        <w:ind w:left="260" w:hanging="252"/>
        <w:spacing w:after="0" w:line="241"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463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43"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577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March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4"/>
          </w:tcPr>
          <w:p>
            <w:pPr>
              <w:jc w:val="right"/>
              <w:ind w:right="125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139,300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136,619</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2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2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161,085</w:t>
            </w:r>
          </w:p>
        </w:tc>
        <w:tc>
          <w:tcPr>
            <w:tcW w:w="0" w:type="dxa"/>
            <w:vAlign w:val="bottom"/>
          </w:tcPr>
          <w:p>
            <w:pPr>
              <w:spacing w:after="0"/>
              <w:rPr>
                <w:sz w:val="1"/>
                <w:szCs w:val="1"/>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Lease bonus income—related party</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Other operating income</w:t>
            </w:r>
          </w:p>
        </w:tc>
        <w:tc>
          <w:tcPr>
            <w:tcW w:w="2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27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168,958</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30,987</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7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122,320</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(15,103)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2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48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March 31, 2023</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r>
      <w:tr>
        <w:trPr>
          <w:trHeight w:val="229"/>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75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20,111</w:t>
            </w: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34,967</w:t>
            </w:r>
          </w:p>
        </w:tc>
      </w:tr>
      <w:tr>
        <w:trPr>
          <w:trHeight w:val="270"/>
        </w:trPr>
        <w:tc>
          <w:tcPr>
            <w:tcW w:w="7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r>
      <w:tr>
        <w:trPr>
          <w:trHeight w:val="243"/>
        </w:trPr>
        <w:tc>
          <w:tcPr>
            <w:tcW w:w="7500" w:type="dxa"/>
            <w:vAlign w:val="bottom"/>
          </w:tcPr>
          <w:p>
            <w:pPr>
              <w:ind w:left="180"/>
              <w:spacing w:after="0" w:line="243"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46.14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51.19</w:t>
            </w:r>
          </w:p>
        </w:tc>
      </w:tr>
      <w:tr>
        <w:trPr>
          <w:trHeight w:val="270"/>
        </w:trPr>
        <w:tc>
          <w:tcPr>
            <w:tcW w:w="7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750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71.39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74.30</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500" w:type="dxa"/>
            <w:vAlign w:val="bottom"/>
          </w:tcPr>
          <w:p>
            <w:pPr>
              <w:ind w:left="180"/>
              <w:spacing w:after="0" w:line="243"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19.07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7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70"/>
        </w:trPr>
        <w:tc>
          <w:tcPr>
            <w:tcW w:w="7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5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23"/>
        </w:trPr>
        <w:tc>
          <w:tcPr>
            <w:tcW w:w="750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9.85</w:t>
            </w:r>
          </w:p>
        </w:tc>
      </w:tr>
    </w:tbl>
    <w:p>
      <w:pPr>
        <w:spacing w:after="0" w:line="7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and natural gas liquids production volumes sold and average prices received for those volumes.</w:t>
      </w:r>
    </w:p>
    <w:p>
      <w:pPr>
        <w:spacing w:after="0" w:line="2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income decreased $2.9 million during the second quarter of 2023 compared to the first quarter of 2023. Changes in average pricing contributed to approximately $14.7 million of the total decrease due to lower average prices for oil, natural gas and natural gas liquids received for our production in the second quarter of 2023. The impact of lower pricing was partially offset by an increase of $11.8 million in royalty income due to 9% growth in production in the second quarter of 2023 compared to the first quarter of 2023, which resulted primarily from new well development in areas where Viper has a higher royalty interest.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Income-Related Party</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Lease bonus income from Diamondback decreased $5.8 million due primarily to receiving payment for two leases and two lease extensions covering approximately 165 net mineral acres in the second quarter of 2023 compared to receiving payment for one lease covering approximately 257 net mineral acres in Martin County, TX from Diamondback in the first quarter of 2023.</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three months ended June 30, 2023 and March 31,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4"/>
              </w:rPr>
              <w:t>March 31, 2023</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14"/>
              <w:spacing w:after="0" w:line="158"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98"/>
              </w:rPr>
              <w:t>Per BOE</w:t>
            </w: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14"/>
              <w:spacing w:after="0" w:line="158"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Per BOE</w:t>
            </w: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Royalty Income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1"/>
              </w:rPr>
              <w:t>8.0 %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8.0 %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second quarter of 2023 were consistent with the first quarter of 2023. Ad valorem taxes are based, among other factors, on property values driven by prior year commodity prices, and were also consistent for the second quarter of 2023 compared to the first quarter of 2023.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$3.1 million increase in depletion expense for the second quarter of 2023 compared to the first quarter of 2023 was due primarily to production growth between the periods. The average depletion rate also increased slightly to $9.93 per BOE for the second quarter of 2023 compared to $9.85 per BOE for the first quarter of 2023.</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7"/>
              </w:rPr>
              <w:t>June 30, 2023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6"/>
              </w:rPr>
              <w:t>March 31, 2023</w:t>
            </w:r>
          </w:p>
        </w:tc>
      </w:t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3"/>
          </w:tcPr>
          <w:p>
            <w:pPr>
              <w:jc w:val="right"/>
              <w:ind w:right="101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(2,215)</w:t>
            </w: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losses on our derivative instruments for the three months ended June 30, 2023 and March 31, 2023 primarily due to a decrease in the differential spread compared to contract terms on our natural gas basis swaps. We are required to recognize all derivative instruments on our balance sheet as either assets or liabilities measured at fair value. See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 for additional discussion of our open contracts at June 30,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$1.0 million decrease in income tax expense for the second quarter of 2023 compared to the first quarter of 2023 is primarily due to the decrease in pre-tax income attributable to the Partnership. See Note 9—</w:t>
      </w:r>
      <w:r>
        <w:rPr>
          <w:rFonts w:ascii="Arial" w:cs="Arial" w:eastAsia="Arial" w:hAnsi="Arial"/>
          <w:sz w:val="18"/>
          <w:szCs w:val="18"/>
          <w:u w:val="single" w:color="auto"/>
          <w:color w:val="0000FF"/>
        </w:rPr>
        <w:t>Income Taxes</w:t>
      </w:r>
      <w:r>
        <w:rPr>
          <w:rFonts w:ascii="Arial" w:cs="Arial" w:eastAsia="Arial" w:hAnsi="Arial"/>
          <w:sz w:val="18"/>
          <w:szCs w:val="18"/>
          <w:color w:val="auto"/>
        </w:rPr>
        <w:t xml:space="preserve"> of the notes to the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275,919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346,246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3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Natural gas liquids income</w:t>
            </w:r>
          </w:p>
        </w:tc>
        <w:tc>
          <w:tcPr>
            <w:tcW w:w="3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46,690</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3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431,919</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Lease bonus income—related party</w:t>
            </w: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3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3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3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329,745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441,225</w:t>
            </w:r>
          </w:p>
        </w:tc>
        <w:tc>
          <w:tcPr>
            <w:tcW w:w="0" w:type="dxa"/>
            <w:vAlign w:val="bottom"/>
          </w:tcPr>
          <w:p>
            <w:pPr>
              <w:spacing w:after="0"/>
              <w:rPr>
                <w:sz w:val="1"/>
                <w:szCs w:val="1"/>
                <w:color w:val="auto"/>
              </w:rPr>
            </w:pPr>
          </w:p>
        </w:tc>
      </w:tr>
      <w:tr>
        <w:trPr>
          <w:trHeight w:val="207"/>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3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29,909</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59,373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3"/>
        </w:trPr>
        <w:tc>
          <w:tcPr>
            <w:tcW w:w="482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3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93,115</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234,414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348,110</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(20,248)</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34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4820" w:type="dxa"/>
            <w:vAlign w:val="bottom"/>
          </w:tcPr>
          <w:p>
            <w:pPr>
              <w:ind w:left="680"/>
              <w:spacing w:after="0"/>
              <w:rPr>
                <w:sz w:val="20"/>
                <w:szCs w:val="20"/>
                <w:color w:val="auto"/>
              </w:rPr>
            </w:pPr>
            <w:r>
              <w:rPr>
                <w:rFonts w:ascii="Arial" w:cs="Arial" w:eastAsia="Arial" w:hAnsi="Arial"/>
                <w:sz w:val="18"/>
                <w:szCs w:val="18"/>
                <w:color w:val="auto"/>
              </w:rPr>
              <w:t>Total other expense, net</w:t>
            </w:r>
          </w:p>
        </w:tc>
        <w:tc>
          <w:tcPr>
            <w:tcW w:w="3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308,473</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249,034</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8"/>
        </w:trPr>
        <w:tc>
          <w:tcPr>
            <w:tcW w:w="48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3,431</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818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32,569</w:t>
            </w: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43"/>
        </w:trPr>
        <w:tc>
          <w:tcPr>
            <w:tcW w:w="8180" w:type="dxa"/>
            <w:vAlign w:val="bottom"/>
          </w:tcPr>
          <w:p>
            <w:pPr>
              <w:ind w:left="180"/>
              <w:spacing w:after="0" w:line="243"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48.55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73.27</w:t>
            </w: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818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72.80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99.14</w:t>
            </w:r>
          </w:p>
        </w:tc>
      </w:tr>
      <w:tr>
        <w:trPr>
          <w:trHeight w:val="230"/>
        </w:trPr>
        <w:tc>
          <w:tcPr>
            <w:tcW w:w="8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8180" w:type="dxa"/>
            <w:vAlign w:val="bottom"/>
          </w:tcPr>
          <w:p>
            <w:pPr>
              <w:ind w:left="180"/>
              <w:spacing w:after="0" w:line="243"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39.14</w:t>
            </w:r>
          </w:p>
        </w:tc>
      </w:tr>
      <w:tr>
        <w:trPr>
          <w:trHeight w:val="230"/>
        </w:trPr>
        <w:tc>
          <w:tcPr>
            <w:tcW w:w="8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818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3"/>
        </w:trPr>
        <w:tc>
          <w:tcPr>
            <w:tcW w:w="818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10.07</w:t>
            </w:r>
          </w:p>
        </w:tc>
      </w:tr>
    </w:tbl>
    <w:p>
      <w:pPr>
        <w:spacing w:after="0" w:line="7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and natural gas liquids production volumes sold and average prices received for those volumes.</w:t>
      </w:r>
    </w:p>
    <w:p>
      <w:pPr>
        <w:spacing w:after="0" w:line="2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Royalty income decreased $112.6 million during the six months ended June 30, 2023 compared to the same period in 2022. Changes in average pricing during 2023 contributed to approximately $156.2 million of the total decrease due primarily to lower average oil prices, natural gas and natural gas liquids prices received for our production in 2023. The decrease due to lower pricing was partially offset by $43.5 million in additional royalty income due to a 12% increase in production volumes during the six months ended June 30, 2023 compared to the same period in 2022. This production growth stems from new well development in areas where Viper has a higher royalty interest between periods.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six months ended June 30, 2023 and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34"/>
              <w:spacing w:after="0" w:line="158"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334"/>
              <w:spacing w:after="0" w:line="158"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2"/>
              </w:rPr>
              <w:t>(In thousands)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Royalty Income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Royalty Income</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1"/>
              </w:rPr>
              <w:t>5.0 %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4"/>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8.0 %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7.0 %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royalty income for the six months ended June 30, 2023 remained consistent with the same period in 2022. Ad valorem taxes are based, among other factors, on property values driven by prior year commodity prices. The increase in ad valorem taxes is primarily due to higher valuations assigned to our oil and natural gas interests period over period driven by higher average commodity prices in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$5.7 million increase in depletion expense for the six months ended June 30, 2023 compared to the same period in 2022 was due primarily to production growth between the periods resulting largely from new well development. The average depletion rate decreased slightly to $9.89 for the six months ended June 30, 2023 compared to the rate of $10.07 for the same period in 2022 due primarily to lower value leasehold being transferred into the amortization base during 2023.</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09"/>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r>
      <w:tr>
        <w:trPr>
          <w:trHeight w:val="312"/>
        </w:trPr>
        <w:tc>
          <w:tcPr>
            <w:tcW w:w="80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(6,212)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(17,029)</w:t>
            </w:r>
          </w:p>
        </w:tc>
      </w:tr>
    </w:tbl>
    <w:p>
      <w:pPr>
        <w:spacing w:after="0"/>
        <w:rPr>
          <w:sz w:val="20"/>
          <w:szCs w:val="20"/>
          <w:color w:val="auto"/>
        </w:rPr>
      </w:pPr>
      <w:r>
        <w:rPr>
          <w:rFonts w:ascii="Arial" w:cs="Arial" w:eastAsia="Arial" w:hAnsi="Arial"/>
          <w:sz w:val="17"/>
          <w:szCs w:val="17"/>
          <w:color w:val="auto"/>
        </w:rPr>
        <w:t>(1) The six months ended June 30, 2022 includes cash paid on commodity contracts terminated prior to their contractual maturity of $4.2 million.</w:t>
      </w:r>
    </w:p>
    <w:p>
      <w:pPr>
        <w:spacing w:after="0" w:line="2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losses on our derivative instruments for the six months ended June 30, 2023 and 2022 primarily due to market prices being higher than the strike prices on our open derivative contracts. We are required to recognize all derivative instruments on our balance sheet as either assets or liabilities measured at fair value. See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 for additional discussion of our open contracts at June 30, 2023.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$9.0 million increase in income tax expense for the six months ended June 30, 2023 compared to the same period in 2022 resulted primarily from the increase in pre-tax income attributable to the Partnership as a result of the expiration of the special income allocation at December 31, 2022 and the impact of maintaining a valuation allowance against the Partnership’s deferred tax assets as of June 30, 2022. See Note 9—</w:t>
      </w:r>
      <w:r>
        <w:rPr>
          <w:rFonts w:ascii="Arial" w:cs="Arial" w:eastAsia="Arial" w:hAnsi="Arial"/>
          <w:sz w:val="18"/>
          <w:szCs w:val="18"/>
          <w:u w:val="single" w:color="auto"/>
          <w:color w:val="0000FF"/>
        </w:rPr>
        <w:t>Income Taxes</w:t>
      </w:r>
      <w:r>
        <w:rPr>
          <w:rFonts w:ascii="Arial" w:cs="Arial" w:eastAsia="Arial" w:hAnsi="Arial"/>
          <w:sz w:val="18"/>
          <w:szCs w:val="18"/>
          <w:color w:val="auto"/>
        </w:rPr>
        <w:t xml:space="preserve"> of the notes to the condensed consolidated financial statements for further details.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Attributable to Non-controlling Interest</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$145.4 million decrease in net income (loss) attributable to non-controlling interest for the six months ended June 30, 2023 compared to the same period in 2022 is primarily due to the expiration of the special income allocation at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the Operating Company’s credit agreement. Our primary uses of cash have been distributions to our unitholders, repayments of debt, capital expenditures for the acquisition of our mineral and royalty interests in oil and natural gas properties and repurchases of our common units. At June 30, 2023, we had approximately $539.1 million of liquidity consisting of $13.1 million in cash and cash equivalents and $526.0 million available under the Operating Company’s credit agreement.</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order to mitigate volatility in oil and natural gas prices, we have entered into commodity derivative contracts as discussed further in </w:t>
      </w:r>
      <w:r>
        <w:rPr>
          <w:rFonts w:ascii="Arial" w:cs="Arial" w:eastAsia="Arial" w:hAnsi="Arial"/>
          <w:sz w:val="17"/>
          <w:szCs w:val="17"/>
          <w:u w:val="single" w:color="auto"/>
          <w:color w:val="0000FF"/>
        </w:rPr>
        <w:t>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p>
    <w:p>
      <w:pPr>
        <w:spacing w:after="0" w:line="2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Continued prolonged volatility in the capital, financial and/or credit markets due to the war in Ukraine, the depressed commodity markets and, or adverse macroeconomic conditions, including persistent inflation, rising interests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09"/>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18"/>
                <w:szCs w:val="18"/>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252,669</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299,020</w:t>
            </w:r>
          </w:p>
        </w:tc>
      </w:tr>
      <w:tr>
        <w:trPr>
          <w:trHeight w:val="229"/>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31,198</w:t>
            </w:r>
          </w:p>
        </w:tc>
      </w:tr>
      <w:tr>
        <w:trPr>
          <w:trHeight w:val="237"/>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(365,354)</w:t>
            </w:r>
          </w:p>
        </w:tc>
      </w:tr>
      <w:tr>
        <w:trPr>
          <w:trHeight w:val="25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operating cash flow is sensitive to many variables, the most significant of which are the volatility of prices for oil and natural gas and the volumes of oil and natural gas sold by our producers. The decrease in net cash provided by operating activities during the six months ended June 30, 2023 compared to the same period in 2022 was primarily driven by lower royalty income. This was partially offset by an increase in cash flows from (i) changes in our working capital accounts, due primarily to a reduction in our royalty income receivables at June 30, 2023 compared to June 30, 2022 resulting from lower commodity prices and royalty income in 2023, (ii) a decrease in cash paid for derivative settlements, and (iii) a reduction in production and ad valorem taxes due to the corresponding decrease in royalty income.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Results of Operations</w:t>
      </w:r>
      <w:r>
        <w:rPr>
          <w:rFonts w:ascii="Arial" w:cs="Arial" w:eastAsia="Arial" w:hAnsi="Arial"/>
          <w:sz w:val="18"/>
          <w:szCs w:val="18"/>
          <w:color w:val="auto"/>
        </w:rPr>
        <w:t>” for discussion of significant changes in our revenues and expenses.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2023 primarily related to the acquisition of oil and natural gas interests in the Drop Down and from other third-party acquisitions.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in investing activities during the six months ended June 30, 2022 primarily related to proceeds from the divestiture of oil and natural gas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six months ended June 30, 2023 primarily resulted from distributions of $146.6 million and $57.5 million of common unit repurchases as we continue to return capital to our unitholders. These cash outflows were partially offset by net borrowings of $72.0 million under the Operating Company’s revolving credit facility.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during the six months ended June 30, 2022, was primarily related to distributions of $194.1 million to our unitholders and $68.2 million of common unit repurchases which included approximately $37.3 million for the repurchase of 1.5 million common units from a significant unitholder in a privately negotiated transaction. Additionally, we paid $49.0 million for the repurchase of principal outstanding on the Notes and made net repayments of $54.0 million under the Operating Company’s revolving credit facility.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39" w:lineRule="exact"/>
        <w:rPr>
          <w:sz w:val="20"/>
          <w:szCs w:val="20"/>
          <w:color w:val="auto"/>
        </w:rPr>
      </w:pPr>
    </w:p>
    <w:p>
      <w:pPr>
        <w:jc w:val="both"/>
        <w:ind w:left="40" w:firstLine="648"/>
        <w:spacing w:after="0" w:line="243" w:lineRule="auto"/>
        <w:rPr>
          <w:sz w:val="20"/>
          <w:szCs w:val="20"/>
          <w:color w:val="auto"/>
        </w:rPr>
      </w:pPr>
      <w:r>
        <w:rPr>
          <w:rFonts w:ascii="Arial" w:cs="Arial" w:eastAsia="Arial" w:hAnsi="Arial"/>
          <w:sz w:val="18"/>
          <w:szCs w:val="18"/>
          <w:color w:val="auto"/>
        </w:rPr>
        <w:t>During the second quarter of 2023, the Operating Company entered into a tenth amendment to our existing credit agreement, which strengthened our short and long-term liquidity positions by among other things, increasing our borrowing base from $580.0 million to $1.0 billion, and increasing our elected commitment amount from $500.0 million to $750.0 million. The Operating Company’s credit agreement, which matures on June 2, 2025, had $224.0 million in outstanding borrowings and $526.0 million of availability at June 30, 2023.</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6—</w:t>
      </w:r>
      <w:r>
        <w:rPr>
          <w:rFonts w:ascii="Arial" w:cs="Arial" w:eastAsia="Arial" w:hAnsi="Arial"/>
          <w:sz w:val="16"/>
          <w:szCs w:val="16"/>
          <w:u w:val="single" w:color="auto"/>
          <w:color w:val="0000FF"/>
        </w:rPr>
        <w:t>Debt</w:t>
      </w:r>
      <w:r>
        <w:rPr>
          <w:rFonts w:ascii="Arial" w:cs="Arial" w:eastAsia="Arial" w:hAnsi="Arial"/>
          <w:sz w:val="16"/>
          <w:szCs w:val="16"/>
          <w:color w:val="auto"/>
        </w:rPr>
        <w:t xml:space="preserve"> of the notes to the condensed consolidated financial statements for additional discussion of our outstanding debt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Repurchases of Securities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our current common unit repurchase program, the board of directors of our General Partner has authorized us to acquire up to $750.0 million of our common units, excluding excise tax. As of June 30, 2023, $472.4 million remains available for use to repurchase units under this repurchase program, excluding excise tax.</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may also from time to time opportunistically repurchase some of the outstanding Notes in open market purchases or in privately negotiated transactions.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distribution for the second quarter of 2023 is $0.36 per common unit and $0.44 per Class B unit payable on August 17, 2023 to eligible unitholders of record at the close of business on August 10, 2023. The dividend to common unitholders consists of a base quarterly dividend of $0.27 per common unit and a variable quarterly dividend of $0.09 per common unit.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base and variable dividends are at the discretion of the board of directors of our General Partner.</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7—</w:t>
      </w:r>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auto"/>
        </w:rPr>
        <w:t xml:space="preserve"> of the notes to the condensed consolidated financial statements for further discussion of the repurchase program and distributions.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estimates from those disclosed in our </w:t>
      </w:r>
      <w:hyperlink r:id="rId53">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included in the condensed notes to the consolidated financial statements for recent accounting pronouncements not yet adopted, if any.</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rising interest rates, global supply chain disruptions, a potential economic downturn or recession and actions taken by OPEC members and other exporting nations. We cannot predict events that may lead to future price volatility and the near term energy outlook remains subject to heightened levels of uncertainty.</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condensed consolidated financial statements.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June 30, 2023, we had a net liability derivative position related to our commodity price derivatives of $11.7 million. Utilizing actual derivative contractual volumes under our contracts as of June 30, 2023, a 10% increase in forward curves associated with the underlying commodity would have decreased the net liability position by $0.4 million to approximately $11.4 million, while a 10% decrease in forward curves associated with the underlying commodity would have increased the net liability derivative position by $0.3 million to approximately $12.0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credit agreement. The terms of the credit agreement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June 30, 2023, we had $224.0 million in outstanding borrowings. During the three and six months ended June 30, 2023, the weighted average interest rate on the Operating Company’s revolving credit facility was 7.53% and 7.24%.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2023,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June 30, 2023,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June 30, 2023 that have materially affected, or are reasonably likely to materially affect, internal controls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Arial" w:cs="Arial" w:eastAsia="Arial" w:hAnsi="Arial"/>
          <w:sz w:val="18"/>
          <w:szCs w:val="18"/>
          <w:u w:val="single" w:color="auto"/>
          <w:color w:val="0000FF"/>
        </w:rPr>
        <w:t>Commitments and Contingencies</w:t>
      </w:r>
      <w:r>
        <w:rPr>
          <w:rFonts w:ascii="Arial" w:cs="Arial" w:eastAsia="Arial" w:hAnsi="Arial"/>
          <w:sz w:val="18"/>
          <w:szCs w:val="18"/>
          <w:color w:val="auto"/>
        </w:rPr>
        <w:t xml:space="preserve"> of the notes to the condensed consolidated financial statements.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311" w:lineRule="auto"/>
        <w:rPr>
          <w:rFonts w:ascii="Arial" w:cs="Arial" w:eastAsia="Arial" w:hAnsi="Arial"/>
          <w:sz w:val="16"/>
          <w:szCs w:val="16"/>
          <w:color w:val="000000"/>
        </w:rPr>
      </w:pPr>
      <w:hyperlink r:id="rId16">
        <w:r>
          <w:rPr>
            <w:rFonts w:ascii="Arial" w:cs="Arial" w:eastAsia="Arial" w:hAnsi="Arial"/>
            <w:sz w:val="16"/>
            <w:szCs w:val="16"/>
            <w:color w:val="auto"/>
          </w:rPr>
          <w:t xml:space="preserve">As of the date of this filing, we continue to be subject to the risk factors previously disclosed in </w:t>
        </w:r>
        <w:r>
          <w:rPr>
            <w:rFonts w:ascii="Arial" w:cs="Arial" w:eastAsia="Arial" w:hAnsi="Arial"/>
            <w:sz w:val="16"/>
            <w:szCs w:val="16"/>
            <w:u w:val="single" w:color="auto"/>
            <w:color w:val="0000FF"/>
          </w:rPr>
          <w:t>Part I, Item 1A. Risk Factors in our Annual Report</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on Form 10-K</w:t>
        </w:r>
        <w:r>
          <w:rPr>
            <w:rFonts w:ascii="Arial" w:cs="Arial" w:eastAsia="Arial" w:hAnsi="Arial"/>
            <w:sz w:val="16"/>
            <w:szCs w:val="16"/>
            <w:color w:val="0000FF"/>
          </w:rPr>
          <w:t xml:space="preserve"> </w:t>
        </w:r>
        <w:r>
          <w:rPr>
            <w:rFonts w:ascii="Arial" w:cs="Arial" w:eastAsia="Arial" w:hAnsi="Arial"/>
            <w:sz w:val="16"/>
            <w:szCs w:val="16"/>
            <w:color w:val="000000"/>
          </w:rPr>
          <w:t>for the year ended December 31, 2022, filed with the SEC on February 23, 2023 and in subsequent filings we make with the SEC. There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have been no material changes in our risk factors from those described in our </w:t>
      </w:r>
      <w:hyperlink r:id="rId53">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the year ended December 31, 2022.</w:t>
      </w:r>
    </w:p>
    <w:p>
      <w:pPr>
        <w:spacing w:after="0" w:line="172" w:lineRule="exact"/>
        <w:rPr>
          <w:rFonts w:ascii="Arial" w:cs="Arial" w:eastAsia="Arial" w:hAnsi="Arial"/>
          <w:sz w:val="16"/>
          <w:szCs w:val="16"/>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June 30, 2023 was as follows:</w:t>
      </w:r>
    </w:p>
    <w:p>
      <w:pPr>
        <w:spacing w:after="0" w:line="27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Total Number of Units</w:t>
            </w:r>
          </w:p>
        </w:tc>
        <w:tc>
          <w:tcPr>
            <w:tcW w:w="1740" w:type="dxa"/>
            <w:vAlign w:val="bottom"/>
            <w:gridSpan w:val="2"/>
            <w:vMerge w:val="restart"/>
          </w:tcPr>
          <w:p>
            <w:pPr>
              <w:jc w:val="right"/>
              <w:ind w:right="13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Purchased</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3"/>
              <w:spacing w:after="0" w:line="216" w:lineRule="exact"/>
              <w:rPr>
                <w:sz w:val="20"/>
                <w:szCs w:val="20"/>
                <w:color w:val="auto"/>
              </w:rPr>
            </w:pPr>
            <w:r>
              <w:rPr>
                <w:rFonts w:ascii="Arial" w:cs="Arial" w:eastAsia="Arial" w:hAnsi="Arial"/>
                <w:sz w:val="16"/>
                <w:szCs w:val="16"/>
                <w:b w:val="1"/>
                <w:bCs w:val="1"/>
                <w:color w:val="auto"/>
                <w:w w:val="96"/>
              </w:rPr>
              <w:t>Per Unit</w:t>
            </w:r>
            <w:r>
              <w:rPr>
                <w:rFonts w:ascii="Arial" w:cs="Arial" w:eastAsia="Arial" w:hAnsi="Arial"/>
                <w:sz w:val="21"/>
                <w:szCs w:val="21"/>
                <w:b w:val="1"/>
                <w:bCs w:val="1"/>
                <w:color w:val="auto"/>
                <w:w w:val="96"/>
                <w:vertAlign w:val="superscript"/>
              </w:rPr>
              <w:t>(1)(3)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(2)(3)</w:t>
            </w: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2"/>
          </w:tcPr>
          <w:p>
            <w:pPr>
              <w:jc w:val="right"/>
              <w:ind w:right="454"/>
              <w:spacing w:after="0"/>
              <w:rPr>
                <w:sz w:val="20"/>
                <w:szCs w:val="20"/>
                <w:color w:val="auto"/>
              </w:rPr>
            </w:pPr>
            <w:r>
              <w:rPr>
                <w:rFonts w:ascii="Arial" w:cs="Arial" w:eastAsia="Arial" w:hAnsi="Arial"/>
                <w:sz w:val="16"/>
                <w:szCs w:val="16"/>
                <w:b w:val="1"/>
                <w:bCs w:val="1"/>
                <w:color w:val="auto"/>
                <w:w w:val="98"/>
              </w:rPr>
              <w:t>(In thousands, except unit amounts)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493,700</w:t>
            </w:r>
          </w:p>
        </w:tc>
        <w:tc>
          <w:tcPr>
            <w:tcW w:w="0" w:type="dxa"/>
            <w:vAlign w:val="bottom"/>
          </w:tcPr>
          <w:p>
            <w:pPr>
              <w:spacing w:after="0"/>
              <w:rPr>
                <w:sz w:val="1"/>
                <w:szCs w:val="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379,500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26.91</w:t>
            </w:r>
          </w:p>
        </w:tc>
        <w:tc>
          <w:tcPr>
            <w:tcW w:w="1860" w:type="dxa"/>
            <w:vAlign w:val="bottom"/>
          </w:tcPr>
          <w:p>
            <w:pPr>
              <w:jc w:val="right"/>
              <w:spacing w:after="0"/>
              <w:rPr>
                <w:sz w:val="20"/>
                <w:szCs w:val="20"/>
                <w:color w:val="auto"/>
              </w:rPr>
            </w:pPr>
            <w:r>
              <w:rPr>
                <w:rFonts w:ascii="Arial" w:cs="Arial" w:eastAsia="Arial" w:hAnsi="Arial"/>
                <w:sz w:val="18"/>
                <w:szCs w:val="18"/>
                <w:color w:val="auto"/>
              </w:rPr>
              <w:t>379,500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483,487</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430,500</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25.71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472,420</w:t>
            </w:r>
          </w:p>
        </w:tc>
        <w:tc>
          <w:tcPr>
            <w:tcW w:w="0" w:type="dxa"/>
            <w:vAlign w:val="bottom"/>
          </w:tcPr>
          <w:p>
            <w:pPr>
              <w:spacing w:after="0"/>
              <w:rPr>
                <w:sz w:val="1"/>
                <w:szCs w:val="1"/>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26.61</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912,000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26, 2022, the board of directors of our General Partner increased the authorization under our then-in-effect common unit repurchase program from $250.0 million to $750.0 million, excluding excise tax. This repurchase program has no expiration date and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1"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184" w:lineRule="exact"/>
        <w:rPr>
          <w:rFonts w:ascii="Arial" w:cs="Arial" w:eastAsia="Arial" w:hAnsi="Arial"/>
          <w:sz w:val="16"/>
          <w:szCs w:val="16"/>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rFonts w:ascii="Arial" w:cs="Arial" w:eastAsia="Arial" w:hAnsi="Arial"/>
          <w:sz w:val="16"/>
          <w:szCs w:val="16"/>
          <w:color w:val="auto"/>
        </w:rPr>
      </w:pPr>
    </w:p>
    <w:p>
      <w:pPr>
        <w:ind w:firstLine="648"/>
        <w:spacing w:after="0" w:line="277" w:lineRule="auto"/>
        <w:rPr>
          <w:sz w:val="20"/>
          <w:szCs w:val="20"/>
          <w:color w:val="auto"/>
        </w:rPr>
      </w:pPr>
      <w:r>
        <w:rPr>
          <w:rFonts w:ascii="Arial" w:cs="Arial" w:eastAsia="Arial" w:hAnsi="Arial"/>
          <w:sz w:val="18"/>
          <w:szCs w:val="18"/>
          <w:color w:val="auto"/>
        </w:rPr>
        <w:t>None of the directors or officers of our General Partner adopted or terminated a Rule 10b5-1 trading arrangement or a non-Rule 10b5-1 trading arrangement during our fiscal quarter ended June 30, 2023.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Exhibit 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5"/>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4"/>
        </w:trPr>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20" w:type="dxa"/>
            <w:vAlign w:val="bottom"/>
            <w:gridSpan w:val="15"/>
            <w:shd w:val="clear" w:color="auto" w:fill="CCEEFF"/>
          </w:tcPr>
          <w:p>
            <w:pPr>
              <w:spacing w:after="0" w:line="182" w:lineRule="exact"/>
              <w:rPr>
                <w:rFonts w:ascii="Arial" w:cs="Arial" w:eastAsia="Arial" w:hAnsi="Arial"/>
                <w:sz w:val="18"/>
                <w:szCs w:val="18"/>
                <w:color w:val="0000FF"/>
                <w:w w:val="98"/>
              </w:rPr>
            </w:pPr>
            <w:hyperlink r:id="rId58">
              <w:r>
                <w:rPr>
                  <w:rFonts w:ascii="Arial" w:cs="Arial" w:eastAsia="Arial" w:hAnsi="Arial"/>
                  <w:sz w:val="18"/>
                  <w:szCs w:val="18"/>
                  <w:color w:val="0000FF"/>
                  <w:w w:val="98"/>
                </w:rPr>
                <w:t>Purchase and Sale Agreement dated August 6, 2021 by and among Swallowtail Royalties LLC, Swallowtail Royalties II LLC</w:t>
              </w:r>
            </w:hyperlink>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0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(collectively, as seller), Viper Energy Partners LLC (as buyer) and Viper Energy Partners LP (as parent, and collectively with Viper</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00" w:type="dxa"/>
            <w:vAlign w:val="bottom"/>
            <w:tcBorders>
              <w:bottom w:val="single" w:sz="8" w:color="0000FF"/>
            </w:tcBorders>
            <w:gridSpan w:val="14"/>
            <w:shd w:val="clear" w:color="auto" w:fill="CCEEFF"/>
          </w:tcPr>
          <w:p>
            <w:pPr>
              <w:spacing w:after="0" w:line="15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Energy Partners LLC, as buyer parties) (incorporated by reference to Exhibit 2.1 of the Partnership’s Current Report on Form 8-K</w:t>
              </w:r>
            </w:hyperlink>
          </w:p>
        </w:tc>
        <w:tc>
          <w:tcPr>
            <w:tcW w:w="20" w:type="dxa"/>
            <w:vAlign w:val="bottom"/>
            <w:tcBorders>
              <w:bottom w:val="single" w:sz="8" w:color="CCEEFF"/>
            </w:tcBorders>
            <w:shd w:val="clear" w:color="auto" w:fill="CCEEFF"/>
          </w:tcPr>
          <w:p>
            <w:pPr>
              <w:spacing w:after="0"/>
              <w:rPr>
                <w:sz w:val="13"/>
                <w:szCs w:val="13"/>
                <w:color w:val="auto"/>
              </w:rPr>
            </w:pPr>
          </w:p>
        </w:tc>
      </w:tr>
      <w:tr>
        <w:trPr>
          <w:trHeight w:val="189"/>
        </w:trPr>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0000FF"/>
            </w:tcBorders>
            <w:gridSpan w:val="7"/>
            <w:shd w:val="clear" w:color="auto" w:fill="CCEEFF"/>
          </w:tcPr>
          <w:p>
            <w:pPr>
              <w:spacing w:after="0" w:line="169"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(File 001-36505) filed on August 12, 2021).</w:t>
              </w:r>
            </w:hyperlink>
          </w:p>
        </w:tc>
        <w:tc>
          <w:tcPr>
            <w:tcW w:w="654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Certificate of Limited Partnership of Viper Energy Partners LP (incorporated by reference to Exhibit 3.1 of the Partnership’s</w:t>
              </w:r>
            </w:hyperlink>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Registration Statement on Form S-1 (File 333-195769) filed on May 7, 2014).</w:t>
              </w:r>
            </w:hyperlink>
          </w:p>
        </w:tc>
        <w:tc>
          <w:tcPr>
            <w:tcW w:w="60" w:type="dxa"/>
            <w:vAlign w:val="bottom"/>
            <w:gridSpan w:val="2"/>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10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2460" w:type="dxa"/>
            <w:vAlign w:val="bottom"/>
            <w:tcBorders>
              <w:top w:val="single" w:sz="8" w:color="0000FF"/>
            </w:tcBorders>
          </w:tcPr>
          <w:p>
            <w:pPr>
              <w:spacing w:after="0"/>
              <w:rPr>
                <w:sz w:val="5"/>
                <w:szCs w:val="5"/>
                <w:color w:val="auto"/>
              </w:rPr>
            </w:pPr>
          </w:p>
        </w:tc>
        <w:tc>
          <w:tcPr>
            <w:tcW w:w="2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Second Amended and Restated Agreement of Limited Partnership of Viper Energy Partners LP, dated as of May 9, 2018 (incorporated</w:t>
              </w:r>
            </w:hyperlink>
          </w:p>
        </w:tc>
      </w:tr>
      <w:tr>
        <w:trPr>
          <w:trHeight w:val="169"/>
        </w:trPr>
        <w:tc>
          <w:tcPr>
            <w:tcW w:w="1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4"/>
            <w:shd w:val="clear" w:color="auto" w:fill="CCEEFF"/>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First Amendment to Second Amended and Restated Agreement of Limited Partnership of Viper Energy Partners LP, dated as of May</w:t>
              </w:r>
            </w:hyperlink>
          </w:p>
        </w:tc>
      </w:tr>
      <w:tr>
        <w:trPr>
          <w:trHeight w:val="155"/>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10, 2018. (incorporated by reference to Exhibit 3.2 of the Partnership’s Current Report on Form 8-K (File 001-36505) filed on May</w:t>
              </w:r>
            </w:hyperlink>
          </w:p>
        </w:tc>
        <w:tc>
          <w:tcPr>
            <w:tcW w:w="20" w:type="dxa"/>
            <w:vAlign w:val="bottom"/>
          </w:tcPr>
          <w:p>
            <w:pPr>
              <w:spacing w:after="0"/>
              <w:rPr>
                <w:sz w:val="13"/>
                <w:szCs w:val="13"/>
                <w:color w:val="auto"/>
              </w:rPr>
            </w:pPr>
          </w:p>
        </w:tc>
      </w:tr>
      <w:tr>
        <w:trPr>
          <w:trHeight w:val="169"/>
        </w:trPr>
        <w:tc>
          <w:tcPr>
            <w:tcW w:w="14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40" w:type="dxa"/>
            <w:vAlign w:val="bottom"/>
            <w:gridSpan w:val="3"/>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15, 2018).</w:t>
              </w:r>
            </w:hyperlink>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Second Amended and Restated Limited Liability Company Agreement of Viper Energy Partners LLC, dated as of May 9, 2018.</w:t>
              </w:r>
            </w:hyperlink>
          </w:p>
        </w:tc>
      </w:tr>
      <w:tr>
        <w:trPr>
          <w:trHeight w:val="190"/>
        </w:trPr>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2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(incorporated by reference to Exhibit 3.3 of the Partnership’s Current Report on Form 8-K (File 001-36505) filed on May 15, 2018).</w:t>
              </w:r>
            </w:hyperlink>
          </w:p>
        </w:tc>
        <w:tc>
          <w:tcPr>
            <w:tcW w:w="1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First Amendment to Second Amended and Restated Limited Liability Company Agreement of Viper Energy Partners LLC, dated as of</w:t>
              </w:r>
            </w:hyperlink>
          </w:p>
        </w:tc>
      </w:tr>
      <w:tr>
        <w:trPr>
          <w:trHeight w:val="155"/>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March 30, 2020 (incorporated by reference to Exhibit 3.1 of the Partnership’s Current Report on Form 8-K (File 001-36505) filed on</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14"/>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March 31, 2020).</w:t>
              </w:r>
            </w:hyperlink>
          </w:p>
        </w:tc>
        <w:tc>
          <w:tcPr>
            <w:tcW w:w="20" w:type="dxa"/>
            <w:vAlign w:val="bottom"/>
          </w:tcPr>
          <w:p>
            <w:pPr>
              <w:spacing w:after="0"/>
              <w:rPr>
                <w:sz w:val="13"/>
                <w:szCs w:val="13"/>
                <w:color w:val="auto"/>
              </w:rPr>
            </w:pPr>
          </w:p>
        </w:tc>
      </w:tr>
      <w:tr>
        <w:trPr>
          <w:trHeight w:val="34"/>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Second Amendment to the Second Amended and Restated Limited Liability Company Agreement of Viper Energy Partners LLC,</w:t>
              </w:r>
            </w:hyperlink>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0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dated as of December 27, 2021 (incorporated by reference to Exhibit 3.1 of the Partnership’s Current Report on Form 8-K (File 001-</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0000FF"/>
            </w:tcBorders>
            <w:gridSpan w:val="6"/>
            <w:shd w:val="clear" w:color="auto" w:fill="CCEEFF"/>
          </w:tcPr>
          <w:p>
            <w:pPr>
              <w:spacing w:after="0" w:line="15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36505) filed on December 28, 2021).</w:t>
              </w:r>
            </w:hyperlink>
          </w:p>
        </w:tc>
        <w:tc>
          <w:tcPr>
            <w:tcW w:w="7020" w:type="dxa"/>
            <w:vAlign w:val="bottom"/>
            <w:tcBorders>
              <w:bottom w:val="single" w:sz="8" w:color="CCEEFF"/>
            </w:tcBorders>
            <w:gridSpan w:val="8"/>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Amended and Restated Registration Rights Agreement, dated as of May 9, 2018, by and between Viper Energy Partners LP and</w:t>
              </w:r>
            </w:hyperlink>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Diamondback Energy, Inc. (incorporated by reference to Exhibit 4.1 of the Partnership’s Current Report on Form 8-K (File 001-</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14"/>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36505) filed on May 15, 2018).</w:t>
              </w:r>
            </w:hyperlink>
          </w:p>
        </w:tc>
        <w:tc>
          <w:tcPr>
            <w:tcW w:w="20" w:type="dxa"/>
            <w:vAlign w:val="bottom"/>
          </w:tcPr>
          <w:p>
            <w:pPr>
              <w:spacing w:after="0"/>
              <w:rPr>
                <w:sz w:val="13"/>
                <w:szCs w:val="13"/>
                <w:color w:val="auto"/>
              </w:rPr>
            </w:pPr>
          </w:p>
        </w:tc>
      </w:tr>
      <w:tr>
        <w:trPr>
          <w:trHeight w:val="34"/>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Registration Rights Agreement, dated as of October 1, 2021, by and among Viper Energy Partners LP, Swallowtail Royalties LLC and</w:t>
              </w:r>
            </w:hyperlink>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0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Swallowtail Royalties II LLC (incorporated by reference to Exhibit 4.1 of the Partnership’s Current Report on Form 8-K (File 001-</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700" w:type="dxa"/>
            <w:vAlign w:val="bottom"/>
            <w:gridSpan w:val="14"/>
            <w:shd w:val="clear" w:color="auto" w:fill="CCEEFF"/>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36505) filed on October 7, 2021).</w:t>
              </w:r>
            </w:hyperlink>
          </w:p>
        </w:tc>
        <w:tc>
          <w:tcPr>
            <w:tcW w:w="20" w:type="dxa"/>
            <w:vAlign w:val="bottom"/>
            <w:shd w:val="clear" w:color="auto" w:fill="CCEEFF"/>
          </w:tcPr>
          <w:p>
            <w:pPr>
              <w:spacing w:after="0"/>
              <w:rPr>
                <w:sz w:val="13"/>
                <w:szCs w:val="13"/>
                <w:color w:val="auto"/>
              </w:rPr>
            </w:pPr>
          </w:p>
        </w:tc>
      </w:tr>
      <w:tr>
        <w:trPr>
          <w:trHeight w:val="34"/>
        </w:trPr>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Tenth Amendment to Amended and Restated Senior Secured Revolving Credit Agreement and Second Amendment to Guaranty and</w:t>
              </w:r>
            </w:hyperlink>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Collateral Agreement, dated as of May 31, 2023, by and among Viper Energy Partners LLC, as borrower, Viper Energy Partners LP, as</w:t>
              </w:r>
            </w:hyperlink>
          </w:p>
        </w:tc>
        <w:tc>
          <w:tcPr>
            <w:tcW w:w="20" w:type="dxa"/>
            <w:vAlign w:val="bottom"/>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bottom w:val="single" w:sz="8" w:color="0000FF"/>
            </w:tcBorders>
            <w:gridSpan w:val="14"/>
          </w:tcPr>
          <w:p>
            <w:pPr>
              <w:spacing w:after="0" w:line="156"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parent guarantor, Wells Fargo Bank, National Association, as administrative agent, and the lenders party thereto (incorporated by</w:t>
              </w:r>
            </w:hyperlink>
          </w:p>
        </w:tc>
        <w:tc>
          <w:tcPr>
            <w:tcW w:w="20" w:type="dxa"/>
            <w:vAlign w:val="bottom"/>
          </w:tcPr>
          <w:p>
            <w:pPr>
              <w:spacing w:after="0"/>
              <w:rPr>
                <w:sz w:val="13"/>
                <w:szCs w:val="13"/>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14"/>
          </w:tcPr>
          <w:p>
            <w:pPr>
              <w:spacing w:after="0" w:line="169" w:lineRule="exact"/>
              <w:rPr>
                <w:rFonts w:ascii="Arial" w:cs="Arial" w:eastAsia="Arial" w:hAnsi="Arial"/>
                <w:sz w:val="18"/>
                <w:szCs w:val="18"/>
                <w:color w:val="0000FF"/>
              </w:rPr>
            </w:pPr>
            <w:hyperlink r:id="rId67">
              <w:r>
                <w:rPr>
                  <w:rFonts w:ascii="Arial" w:cs="Arial" w:eastAsia="Arial" w:hAnsi="Arial"/>
                  <w:sz w:val="18"/>
                  <w:szCs w:val="18"/>
                  <w:color w:val="0000FF"/>
                </w:rPr>
                <w:t>reference to Exhibit 10.1 of the Partnership's Current Report on Form 8-K (File No. 001-36505) filed on June 6, 2023).</w:t>
              </w:r>
            </w:hyperlink>
          </w:p>
        </w:tc>
        <w:tc>
          <w:tcPr>
            <w:tcW w:w="20" w:type="dxa"/>
            <w:vAlign w:val="bottom"/>
          </w:tcPr>
          <w:p>
            <w:pPr>
              <w:spacing w:after="0"/>
              <w:rPr>
                <w:sz w:val="14"/>
                <w:szCs w:val="14"/>
                <w:color w:val="auto"/>
              </w:rPr>
            </w:pPr>
          </w:p>
        </w:tc>
      </w:tr>
      <w:tr>
        <w:trPr>
          <w:trHeight w:val="21"/>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6"/>
              </w:rPr>
              <w:t>Certification of Chief Executive Officer pursuant to Rule 13a-14(a) promulgated under the Securities Exchange Act of 1934, as</w:t>
            </w:r>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amended.</w:t>
            </w:r>
          </w:p>
        </w:tc>
        <w:tc>
          <w:tcPr>
            <w:tcW w:w="60" w:type="dxa"/>
            <w:vAlign w:val="bottom"/>
            <w:tcBorders>
              <w:top w:val="single" w:sz="8" w:color="CCEEFF"/>
            </w:tcBorders>
            <w:gridSpan w:val="2"/>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5"/>
          </w:tcPr>
          <w:p>
            <w:pPr>
              <w:spacing w:after="0" w:line="189" w:lineRule="exact"/>
              <w:rPr>
                <w:sz w:val="20"/>
                <w:szCs w:val="20"/>
                <w:color w:val="auto"/>
              </w:rPr>
            </w:pPr>
            <w:r>
              <w:rPr>
                <w:rFonts w:ascii="Arial" w:cs="Arial" w:eastAsia="Arial" w:hAnsi="Arial"/>
                <w:sz w:val="18"/>
                <w:szCs w:val="18"/>
                <w:color w:val="0000FF"/>
                <w:w w:val="97"/>
              </w:rPr>
              <w:t>Certification of Chief Financial Officer pursuant to Rule 13a-14(a) promulgated under the Securities Exchange Act of 1934, as</w:t>
            </w: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amended.</w:t>
            </w:r>
          </w:p>
        </w:tc>
        <w:tc>
          <w:tcPr>
            <w:tcW w:w="60" w:type="dxa"/>
            <w:vAlign w:val="bottom"/>
            <w:gridSpan w:val="2"/>
          </w:tcPr>
          <w:p>
            <w:pPr>
              <w:spacing w:after="0"/>
              <w:rPr>
                <w:sz w:val="14"/>
                <w:szCs w:val="14"/>
                <w:color w:val="auto"/>
              </w:rPr>
            </w:pPr>
          </w:p>
        </w:tc>
      </w:tr>
      <w:tr>
        <w:trPr>
          <w:trHeight w:val="61"/>
        </w:trPr>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7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Chief Executive Officer and Chief Financial Officer pursuant to Rule 13a-14(b) promulgated under the Securities</w:t>
            </w:r>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Exchange Act of 1934, as amended, and Section 1350 of Chapter 63 of Title 18 of the United States Code.</w:t>
            </w:r>
          </w:p>
        </w:tc>
        <w:tc>
          <w:tcPr>
            <w:tcW w:w="60" w:type="dxa"/>
            <w:vAlign w:val="bottom"/>
            <w:tcBorders>
              <w:top w:val="single" w:sz="8" w:color="CCEEFF"/>
            </w:tcBorders>
            <w:gridSpan w:val="2"/>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102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2460" w:type="dxa"/>
            <w:vAlign w:val="bottom"/>
            <w:tcBorders>
              <w:top w:val="single" w:sz="8" w:color="0000FF"/>
            </w:tcBorders>
            <w:shd w:val="clear" w:color="auto" w:fill="CCEEFF"/>
          </w:tcPr>
          <w:p>
            <w:pPr>
              <w:spacing w:after="0"/>
              <w:rPr>
                <w:sz w:val="5"/>
                <w:szCs w:val="5"/>
                <w:color w:val="auto"/>
              </w:rPr>
            </w:pPr>
          </w:p>
        </w:tc>
        <w:tc>
          <w:tcPr>
            <w:tcW w:w="20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jc w:val="both"/>
        <w:ind w:left="1520" w:right="60" w:hanging="1494"/>
        <w:spacing w:after="0" w:line="241" w:lineRule="auto"/>
        <w:tabs>
          <w:tab w:leader="none" w:pos="1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June 30, 2023, formatted in Inline XBRL: (i) Condensed Consolidated Balance Sheets, (ii) Condensed Consolidated Statements of Operations, (iii) Condensed Consolidated Statement of Changes in Unitholders’ Equity, (iv) Condensed Consolidated Statements of Cash Flows and</w:t>
      </w:r>
    </w:p>
    <w:p>
      <w:pPr>
        <w:ind w:left="1520"/>
        <w:spacing w:after="0"/>
        <w:rPr>
          <w:rFonts w:ascii="Arial" w:cs="Arial" w:eastAsia="Arial" w:hAnsi="Arial"/>
          <w:sz w:val="16"/>
          <w:szCs w:val="16"/>
          <w:color w:val="auto"/>
        </w:rPr>
      </w:pPr>
      <w:r>
        <w:rPr>
          <w:rFonts w:ascii="Arial" w:cs="Arial" w:eastAsia="Arial" w:hAnsi="Arial"/>
          <w:sz w:val="18"/>
          <w:szCs w:val="18"/>
          <w:color w:val="auto"/>
        </w:rPr>
        <w:t>(v)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tabs>
          <w:tab w:leader="none" w:pos="15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43" w:lineRule="exact"/>
        <w:rPr>
          <w:sz w:val="20"/>
          <w:szCs w:val="20"/>
          <w:color w:val="auto"/>
        </w:rPr>
      </w:pPr>
    </w:p>
    <w:p>
      <w:pPr>
        <w:ind w:left="520" w:hanging="494"/>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20" w:right="20" w:hanging="494"/>
        <w:spacing w:after="0" w:line="229"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43"/>
        </w:trPr>
        <w:tc>
          <w:tcPr>
            <w:tcW w:w="5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2023</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9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2023</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August 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9"/>
        </w:trPr>
        <w:tc>
          <w:tcPr>
            <w:tcW w:w="6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43"/>
        </w:trPr>
        <w:tc>
          <w:tcPr>
            <w:tcW w:w="6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8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August 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4"/>
        </w:trPr>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41"/>
        </w:trPr>
        <w:tc>
          <w:tcPr>
            <w:tcW w:w="6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0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42"/>
        </w:trPr>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4"/>
        </w:trPr>
        <w:tc>
          <w:tcPr>
            <w:tcW w:w="60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41"/>
        </w:trPr>
        <w:tc>
          <w:tcPr>
            <w:tcW w:w="6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lowerRoman"/>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16" Type="http://schemas.openxmlformats.org/officeDocument/2006/relationships/hyperlink" Target="https://www.sec.gov/ix?doc=/Archives/edgar/data/1602065/000160206523000007/vnom-20221231.htm#i014aed5382dd45488e402459c1f9d159_25" TargetMode="External"/><Relationship Id="rId24" Type="http://schemas.openxmlformats.org/officeDocument/2006/relationships/hyperlink" Target="https://www.sec.gov/ix?doc=/Archives/edgar/data/1602065/000160206523000007/vnom-20221231.htm" TargetMode="External"/><Relationship Id="rId29" Type="http://schemas.openxmlformats.org/officeDocument/2006/relationships/hyperlink" Target="https://www.sec.gov/ix?doc=/Archives/edgar/data/1602065/000160206523000007/vnom-20221231.htm#i014aed5382dd45488e402459c1f9d159_142" TargetMode="External"/><Relationship Id="rId53" Type="http://schemas.openxmlformats.org/officeDocument/2006/relationships/hyperlink" Target="https://www.sec.gov/ix?doc=/Archives/edgar/data/1602065/000160206523000007/vnom-20221231.htm#" TargetMode="External"/><Relationship Id="rId58" Type="http://schemas.openxmlformats.org/officeDocument/2006/relationships/hyperlink" Target="http://www.sec.gov/Archives/edgar/data/1602065/000160206521000048/viperex21-8621.htm" TargetMode="External"/><Relationship Id="rId59" Type="http://schemas.openxmlformats.org/officeDocument/2006/relationships/hyperlink" Target="http://www.sec.gov/Archives/edgar/data/1602065/000119312514187469/d673207dex31.htm" TargetMode="External"/><Relationship Id="rId60" Type="http://schemas.openxmlformats.org/officeDocument/2006/relationships/hyperlink" Target="http://www.sec.gov/Archives/edgar/data/1602065/000160206518000017/viperex31-5x15x18.htm" TargetMode="External"/><Relationship Id="rId61" Type="http://schemas.openxmlformats.org/officeDocument/2006/relationships/hyperlink" Target="http://www.sec.gov/Archives/edgar/data/1602065/000160206518000017/viperex32-5x15x18.htm" TargetMode="External"/><Relationship Id="rId62" Type="http://schemas.openxmlformats.org/officeDocument/2006/relationships/hyperlink" Target="http://www.sec.gov/Archives/edgar/data/1602065/000160206518000017/viperex33-5x15x18.htm" TargetMode="External"/><Relationship Id="rId63" Type="http://schemas.openxmlformats.org/officeDocument/2006/relationships/hyperlink" Target="http://www.sec.gov/Archives/edgar/data/1602065/000160206520000014/viperex31-33120.htm" TargetMode="External"/><Relationship Id="rId64" Type="http://schemas.openxmlformats.org/officeDocument/2006/relationships/hyperlink" Target="https://www.sec.gov/Archives/edgar/data/1602065/000119312521367951/d249385dex31.htm" TargetMode="External"/><Relationship Id="rId65" Type="http://schemas.openxmlformats.org/officeDocument/2006/relationships/hyperlink" Target="http://www.sec.gov/Archives/edgar/data/1602065/000160206518000017/viperex41-5x15x18.htm" TargetMode="External"/><Relationship Id="rId66" Type="http://schemas.openxmlformats.org/officeDocument/2006/relationships/hyperlink" Target="http://www.sec.gov/Archives/edgar/data/1602065/000160206521000051/viperex41-10x1x21.htm" TargetMode="External"/><Relationship Id="rId67" Type="http://schemas.openxmlformats.org/officeDocument/2006/relationships/hyperlink" Target="https://www.sec.gov/Archives/edgar/data/1602065/000160206523000024/viperex101-6x6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2023-08-03T15:45:48Z</dcterms:created>
  <dcterms:modified xsi:type="dcterms:W3CDTF">2023-08-03T15:45:48Z</dcterms:modified>
</cp:coreProperties>
</file>