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60325</wp:posOffset>
            </wp:positionV>
            <wp:extent cx="26142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108585</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0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8"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SECURITIES EXCHANGE ACT OF 1934</w:t>
      </w:r>
    </w:p>
    <w:p>
      <w:pPr>
        <w:spacing w:after="0" w:line="108"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123190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Viper Energy Partners LP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73025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56" w:lineRule="exact"/>
        <w:rPr>
          <w:sz w:val="24"/>
          <w:szCs w:val="24"/>
          <w:color w:val="auto"/>
        </w:rPr>
      </w:pPr>
    </w:p>
    <w:tbl>
      <w:tblPr>
        <w:tblLayout w:type="fixed"/>
        <w:tblInd w:w="1980" w:type="dxa"/>
        <w:tblCellMar>
          <w:top w:w="0" w:type="dxa"/>
          <w:left w:w="0" w:type="dxa"/>
          <w:bottom w:w="0" w:type="dxa"/>
          <w:right w:w="0" w:type="dxa"/>
        </w:tblCellMar>
      </w:tblPr>
      <w:tr>
        <w:trPr>
          <w:trHeight w:val="186"/>
        </w:trPr>
        <w:tc>
          <w:tcPr>
            <w:tcW w:w="3780" w:type="dxa"/>
            <w:vAlign w:val="bottom"/>
          </w:tcPr>
          <w:p>
            <w:pPr>
              <w:jc w:val="center"/>
              <w:ind w:right="748"/>
              <w:spacing w:after="0"/>
              <w:rPr>
                <w:sz w:val="20"/>
                <w:szCs w:val="20"/>
                <w:color w:val="auto"/>
              </w:rPr>
            </w:pPr>
            <w:r>
              <w:rPr>
                <w:rFonts w:ascii="Arial" w:cs="Arial" w:eastAsia="Arial" w:hAnsi="Arial"/>
                <w:sz w:val="14"/>
                <w:szCs w:val="14"/>
                <w:b w:val="1"/>
                <w:bCs w:val="1"/>
                <w:color w:val="auto"/>
              </w:rPr>
              <w:t>DE</w:t>
            </w:r>
          </w:p>
        </w:tc>
        <w:tc>
          <w:tcPr>
            <w:tcW w:w="3340" w:type="dxa"/>
            <w:vAlign w:val="bottom"/>
          </w:tcPr>
          <w:p>
            <w:pPr>
              <w:jc w:val="right"/>
              <w:ind w:right="828"/>
              <w:spacing w:after="0"/>
              <w:rPr>
                <w:sz w:val="20"/>
                <w:szCs w:val="20"/>
                <w:color w:val="auto"/>
              </w:rPr>
            </w:pPr>
            <w:r>
              <w:rPr>
                <w:rFonts w:ascii="Arial" w:cs="Arial" w:eastAsia="Arial" w:hAnsi="Arial"/>
                <w:sz w:val="14"/>
                <w:szCs w:val="14"/>
                <w:b w:val="1"/>
                <w:bCs w:val="1"/>
                <w:color w:val="auto"/>
              </w:rPr>
              <w:t>46-5001985</w:t>
            </w:r>
          </w:p>
        </w:tc>
      </w:tr>
      <w:tr>
        <w:trPr>
          <w:trHeight w:val="377"/>
        </w:trPr>
        <w:tc>
          <w:tcPr>
            <w:tcW w:w="3780" w:type="dxa"/>
            <w:vAlign w:val="bottom"/>
          </w:tcPr>
          <w:p>
            <w:pPr>
              <w:jc w:val="center"/>
              <w:ind w:right="768"/>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3340" w:type="dxa"/>
            <w:vAlign w:val="bottom"/>
          </w:tcPr>
          <w:p>
            <w:pPr>
              <w:jc w:val="center"/>
              <w:ind w:left="768"/>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186"/>
        </w:trPr>
        <w:tc>
          <w:tcPr>
            <w:tcW w:w="3780" w:type="dxa"/>
            <w:vAlign w:val="bottom"/>
          </w:tcPr>
          <w:p>
            <w:pPr>
              <w:jc w:val="center"/>
              <w:ind w:right="768"/>
              <w:spacing w:after="0"/>
              <w:rPr>
                <w:sz w:val="20"/>
                <w:szCs w:val="20"/>
                <w:color w:val="auto"/>
              </w:rPr>
            </w:pPr>
            <w:r>
              <w:rPr>
                <w:rFonts w:ascii="Arial" w:cs="Arial" w:eastAsia="Arial" w:hAnsi="Arial"/>
                <w:sz w:val="14"/>
                <w:szCs w:val="14"/>
                <w:b w:val="1"/>
                <w:bCs w:val="1"/>
                <w:color w:val="auto"/>
                <w:w w:val="95"/>
              </w:rPr>
              <w:t>Organization)</w:t>
            </w:r>
          </w:p>
        </w:tc>
        <w:tc>
          <w:tcPr>
            <w:tcW w:w="3340" w:type="dxa"/>
            <w:vAlign w:val="bottom"/>
          </w:tcPr>
          <w:p>
            <w:pPr>
              <w:spacing w:after="0"/>
              <w:rPr>
                <w:sz w:val="16"/>
                <w:szCs w:val="16"/>
                <w:color w:val="auto"/>
              </w:rPr>
            </w:pPr>
          </w:p>
        </w:tc>
      </w:tr>
      <w:tr>
        <w:trPr>
          <w:trHeight w:val="423"/>
        </w:trPr>
        <w:tc>
          <w:tcPr>
            <w:tcW w:w="3780" w:type="dxa"/>
            <w:vAlign w:val="bottom"/>
          </w:tcPr>
          <w:p>
            <w:pPr>
              <w:jc w:val="center"/>
              <w:ind w:right="748"/>
              <w:spacing w:after="0"/>
              <w:rPr>
                <w:sz w:val="20"/>
                <w:szCs w:val="20"/>
                <w:color w:val="auto"/>
              </w:rPr>
            </w:pPr>
            <w:r>
              <w:rPr>
                <w:rFonts w:ascii="Arial" w:cs="Arial" w:eastAsia="Arial" w:hAnsi="Arial"/>
                <w:sz w:val="14"/>
                <w:szCs w:val="14"/>
                <w:b w:val="1"/>
                <w:bCs w:val="1"/>
                <w:color w:val="auto"/>
                <w:w w:val="89"/>
              </w:rPr>
              <w:t>500 West Texas Ave.</w:t>
            </w:r>
          </w:p>
        </w:tc>
        <w:tc>
          <w:tcPr>
            <w:tcW w:w="3340" w:type="dxa"/>
            <w:vAlign w:val="bottom"/>
          </w:tcPr>
          <w:p>
            <w:pPr>
              <w:spacing w:after="0"/>
              <w:rPr>
                <w:sz w:val="24"/>
                <w:szCs w:val="24"/>
                <w:color w:val="auto"/>
              </w:rPr>
            </w:pPr>
          </w:p>
        </w:tc>
      </w:tr>
      <w:tr>
        <w:trPr>
          <w:trHeight w:val="203"/>
        </w:trPr>
        <w:tc>
          <w:tcPr>
            <w:tcW w:w="3780" w:type="dxa"/>
            <w:vAlign w:val="bottom"/>
          </w:tcPr>
          <w:p>
            <w:pPr>
              <w:jc w:val="center"/>
              <w:ind w:right="768"/>
              <w:spacing w:after="0"/>
              <w:rPr>
                <w:sz w:val="20"/>
                <w:szCs w:val="20"/>
                <w:color w:val="auto"/>
              </w:rPr>
            </w:pPr>
            <w:r>
              <w:rPr>
                <w:rFonts w:ascii="Arial" w:cs="Arial" w:eastAsia="Arial" w:hAnsi="Arial"/>
                <w:sz w:val="14"/>
                <w:szCs w:val="14"/>
                <w:b w:val="1"/>
                <w:bCs w:val="1"/>
                <w:color w:val="auto"/>
                <w:w w:val="94"/>
              </w:rPr>
              <w:t>Suite 100</w:t>
            </w:r>
          </w:p>
        </w:tc>
        <w:tc>
          <w:tcPr>
            <w:tcW w:w="3340" w:type="dxa"/>
            <w:vAlign w:val="bottom"/>
          </w:tcPr>
          <w:p>
            <w:pPr>
              <w:spacing w:after="0"/>
              <w:rPr>
                <w:sz w:val="17"/>
                <w:szCs w:val="17"/>
                <w:color w:val="auto"/>
              </w:rPr>
            </w:pPr>
          </w:p>
        </w:tc>
      </w:tr>
      <w:tr>
        <w:trPr>
          <w:trHeight w:val="203"/>
        </w:trPr>
        <w:tc>
          <w:tcPr>
            <w:tcW w:w="3780" w:type="dxa"/>
            <w:vAlign w:val="bottom"/>
          </w:tcPr>
          <w:p>
            <w:pPr>
              <w:jc w:val="center"/>
              <w:ind w:right="748"/>
              <w:spacing w:after="0"/>
              <w:rPr>
                <w:sz w:val="20"/>
                <w:szCs w:val="20"/>
                <w:color w:val="auto"/>
              </w:rPr>
            </w:pPr>
            <w:r>
              <w:rPr>
                <w:rFonts w:ascii="Arial" w:cs="Arial" w:eastAsia="Arial" w:hAnsi="Arial"/>
                <w:sz w:val="14"/>
                <w:szCs w:val="14"/>
                <w:b w:val="1"/>
                <w:bCs w:val="1"/>
                <w:color w:val="auto"/>
              </w:rPr>
              <w:t>Midland, TX</w:t>
            </w:r>
          </w:p>
        </w:tc>
        <w:tc>
          <w:tcPr>
            <w:tcW w:w="3340" w:type="dxa"/>
            <w:vAlign w:val="bottom"/>
          </w:tcPr>
          <w:p>
            <w:pPr>
              <w:jc w:val="right"/>
              <w:ind w:right="1008"/>
              <w:spacing w:after="0"/>
              <w:rPr>
                <w:sz w:val="20"/>
                <w:szCs w:val="20"/>
                <w:color w:val="auto"/>
              </w:rPr>
            </w:pPr>
            <w:r>
              <w:rPr>
                <w:rFonts w:ascii="Arial" w:cs="Arial" w:eastAsia="Arial" w:hAnsi="Arial"/>
                <w:sz w:val="14"/>
                <w:szCs w:val="14"/>
                <w:b w:val="1"/>
                <w:bCs w:val="1"/>
                <w:color w:val="auto"/>
              </w:rPr>
              <w:t>79701</w:t>
            </w:r>
          </w:p>
        </w:tc>
      </w:tr>
      <w:tr>
        <w:trPr>
          <w:trHeight w:val="203"/>
        </w:trPr>
        <w:tc>
          <w:tcPr>
            <w:tcW w:w="3780" w:type="dxa"/>
            <w:vAlign w:val="bottom"/>
          </w:tcPr>
          <w:p>
            <w:pPr>
              <w:jc w:val="center"/>
              <w:ind w:right="7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768"/>
              <w:spacing w:after="0"/>
              <w:rPr>
                <w:sz w:val="20"/>
                <w:szCs w:val="20"/>
                <w:color w:val="auto"/>
              </w:rPr>
            </w:pPr>
            <w:r>
              <w:rPr>
                <w:rFonts w:ascii="Arial" w:cs="Arial" w:eastAsia="Arial" w:hAnsi="Arial"/>
                <w:sz w:val="14"/>
                <w:szCs w:val="14"/>
                <w:b w:val="1"/>
                <w:bCs w:val="1"/>
                <w:color w:val="auto"/>
                <w:w w:val="92"/>
              </w:rPr>
              <w:t>(Zip code)</w:t>
            </w:r>
          </w:p>
        </w:tc>
      </w:tr>
    </w:tbl>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(432) 221-7400</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pacing w:after="0" w:line="142" w:lineRule="exact"/>
        <w:rPr>
          <w:sz w:val="24"/>
          <w:szCs w:val="24"/>
          <w:color w:val="auto"/>
        </w:rPr>
      </w:pPr>
    </w:p>
    <w:tbl>
      <w:tblPr>
        <w:tblLayout w:type="fixed"/>
        <w:tblInd w:w="2880" w:type="dxa"/>
        <w:tblCellMar>
          <w:top w:w="0" w:type="dxa"/>
          <w:left w:w="0" w:type="dxa"/>
          <w:bottom w:w="0" w:type="dxa"/>
          <w:right w:w="0" w:type="dxa"/>
        </w:tblCellMar>
      </w:tblPr>
      <w:tr>
        <w:trPr>
          <w:trHeight w:val="161"/>
        </w:trPr>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Title of each class</w:t>
            </w:r>
          </w:p>
        </w:tc>
        <w:tc>
          <w:tcPr>
            <w:tcW w:w="202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2"/>
              </w:rPr>
              <w:t>Trading Symbol(s)</w:t>
            </w:r>
          </w:p>
        </w:tc>
        <w:tc>
          <w:tcPr>
            <w:tcW w:w="306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1"/>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Common Units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VNOM</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203"/>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6"/>
              </w:rPr>
              <w:t>(NASDAQ Global Select Market)</w:t>
            </w:r>
          </w:p>
        </w:tc>
      </w:tr>
    </w:tbl>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right="20"/>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ind w:right="20"/>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3"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6"/>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2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10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4" w:lineRule="exact"/>
        <w:rPr>
          <w:sz w:val="24"/>
          <w:szCs w:val="24"/>
          <w:color w:val="auto"/>
        </w:rPr>
      </w:pPr>
    </w:p>
    <w:p>
      <w:pPr>
        <w:spacing w:after="0" w:line="19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3"/>
          <w:szCs w:val="13"/>
          <w:color w:val="auto"/>
        </w:rPr>
        <w:t>As of November 3, 2023, the registrant had outstanding 87,144,273 common units representing limited partner interests and 90,709,946 Class B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2023</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5"/>
              </w:rPr>
              <w:t>Page</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0000FF"/>
            </w:tcBorders>
            <w:gridSpan w:val="9"/>
            <w:shd w:val="clear" w:color="auto" w:fill="CCEEFF"/>
          </w:tcPr>
          <w:p>
            <w:pPr>
              <w:spacing w:after="0" w:line="149" w:lineRule="exact"/>
              <w:rPr>
                <w:sz w:val="20"/>
                <w:szCs w:val="20"/>
                <w:color w:val="auto"/>
              </w:rPr>
            </w:pPr>
            <w:r>
              <w:rPr>
                <w:rFonts w:ascii="Arial" w:cs="Arial" w:eastAsia="Arial" w:hAnsi="Arial"/>
                <w:sz w:val="17"/>
                <w:szCs w:val="17"/>
                <w:color w:val="0000FF"/>
                <w:w w:val="95"/>
              </w:rPr>
              <w:t>Glossary of Oil and Natural Gas Terms</w:t>
            </w:r>
          </w:p>
        </w:tc>
        <w:tc>
          <w:tcPr>
            <w:tcW w:w="7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center"/>
              <w:ind w:right="280"/>
              <w:spacing w:after="0" w:line="169" w:lineRule="exact"/>
              <w:rPr>
                <w:sz w:val="20"/>
                <w:szCs w:val="20"/>
                <w:color w:val="auto"/>
              </w:rPr>
            </w:pPr>
            <w:r>
              <w:rPr>
                <w:rFonts w:ascii="Arial" w:cs="Arial" w:eastAsia="Arial" w:hAnsi="Arial"/>
                <w:sz w:val="18"/>
                <w:szCs w:val="18"/>
                <w:color w:val="0000FF"/>
              </w:rPr>
              <w:t>ii</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40" w:type="dxa"/>
            <w:vAlign w:val="bottom"/>
            <w:gridSpan w:val="24"/>
          </w:tcPr>
          <w:p>
            <w:pPr>
              <w:spacing w:after="0" w:line="183" w:lineRule="exact"/>
              <w:rPr>
                <w:sz w:val="20"/>
                <w:szCs w:val="20"/>
                <w:color w:val="auto"/>
              </w:rPr>
            </w:pPr>
            <w:r>
              <w:rPr>
                <w:rFonts w:ascii="Arial" w:cs="Arial" w:eastAsia="Arial" w:hAnsi="Arial"/>
                <w:sz w:val="18"/>
                <w:szCs w:val="18"/>
                <w:color w:val="0000FF"/>
              </w:rPr>
              <w:t>Glossary of Certain Other Terms</w:t>
            </w:r>
          </w:p>
        </w:tc>
        <w:tc>
          <w:tcPr>
            <w:tcW w:w="280" w:type="dxa"/>
            <w:vAlign w:val="bottom"/>
          </w:tcPr>
          <w:p>
            <w:pPr>
              <w:spacing w:after="0"/>
              <w:rPr>
                <w:sz w:val="15"/>
                <w:szCs w:val="15"/>
                <w:color w:val="auto"/>
              </w:rPr>
            </w:pPr>
          </w:p>
        </w:tc>
        <w:tc>
          <w:tcPr>
            <w:tcW w:w="380" w:type="dxa"/>
            <w:vAlign w:val="bottom"/>
            <w:gridSpan w:val="2"/>
          </w:tcPr>
          <w:p>
            <w:pPr>
              <w:jc w:val="center"/>
              <w:ind w:right="260"/>
              <w:spacing w:after="0" w:line="183" w:lineRule="exact"/>
              <w:rPr>
                <w:sz w:val="20"/>
                <w:szCs w:val="20"/>
                <w:color w:val="auto"/>
              </w:rPr>
            </w:pPr>
            <w:r>
              <w:rPr>
                <w:rFonts w:ascii="Arial" w:cs="Arial" w:eastAsia="Arial" w:hAnsi="Arial"/>
                <w:sz w:val="18"/>
                <w:szCs w:val="18"/>
                <w:color w:val="0000FF"/>
                <w:w w:val="99"/>
              </w:rPr>
              <w:t>iii</w:t>
            </w: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Cautionary Statement Regarding Forward-Looking Statements</w:t>
            </w:r>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center"/>
              <w:ind w:right="260"/>
              <w:spacing w:after="0" w:line="189" w:lineRule="exact"/>
              <w:rPr>
                <w:sz w:val="20"/>
                <w:szCs w:val="20"/>
                <w:color w:val="auto"/>
              </w:rPr>
            </w:pPr>
            <w:r>
              <w:rPr>
                <w:rFonts w:ascii="Arial" w:cs="Arial" w:eastAsia="Arial" w:hAnsi="Arial"/>
                <w:sz w:val="18"/>
                <w:szCs w:val="18"/>
                <w:color w:val="0000FF"/>
                <w:w w:val="91"/>
              </w:rPr>
              <w:t>iv</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960" w:type="dxa"/>
            <w:vAlign w:val="bottom"/>
            <w:gridSpan w:val="14"/>
            <w:shd w:val="clear" w:color="auto" w:fill="CCEEFF"/>
          </w:tcPr>
          <w:p>
            <w:pPr>
              <w:jc w:val="center"/>
              <w:ind w:right="2940"/>
              <w:spacing w:after="0" w:line="189" w:lineRule="exact"/>
              <w:rPr>
                <w:sz w:val="20"/>
                <w:szCs w:val="20"/>
                <w:color w:val="auto"/>
              </w:rPr>
            </w:pPr>
            <w:r>
              <w:rPr>
                <w:rFonts w:ascii="Arial" w:cs="Arial" w:eastAsia="Arial" w:hAnsi="Arial"/>
                <w:sz w:val="18"/>
                <w:szCs w:val="18"/>
                <w:b w:val="1"/>
                <w:bCs w:val="1"/>
                <w:color w:val="0000FF"/>
              </w:rPr>
              <w:t>PART I. FINANCIAL INFORMATION</w:t>
            </w: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Item 1. Condensed Consolidated Financial Statements (Unaudited)</w:t>
            </w:r>
          </w:p>
        </w:tc>
        <w:tc>
          <w:tcPr>
            <w:tcW w:w="420" w:type="dxa"/>
            <w:vAlign w:val="bottom"/>
            <w:gridSpan w:val="2"/>
          </w:tcPr>
          <w:p>
            <w:pPr>
              <w:jc w:val="center"/>
              <w:ind w:left="130"/>
              <w:spacing w:after="0" w:line="189" w:lineRule="exact"/>
              <w:rPr>
                <w:sz w:val="20"/>
                <w:szCs w:val="20"/>
                <w:color w:val="auto"/>
              </w:rPr>
            </w:pPr>
            <w:r>
              <w:rPr>
                <w:rFonts w:ascii="Arial" w:cs="Arial" w:eastAsia="Arial" w:hAnsi="Arial"/>
                <w:sz w:val="18"/>
                <w:szCs w:val="18"/>
                <w:color w:val="0000FF"/>
                <w:w w:val="79"/>
              </w:rPr>
              <w:t>1</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0000FF"/>
            </w:tcBorders>
            <w:gridSpan w:val="9"/>
            <w:shd w:val="clear" w:color="auto" w:fill="CCEEFF"/>
          </w:tcPr>
          <w:p>
            <w:pPr>
              <w:spacing w:after="0" w:line="182" w:lineRule="exact"/>
              <w:rPr>
                <w:sz w:val="20"/>
                <w:szCs w:val="20"/>
                <w:color w:val="auto"/>
              </w:rPr>
            </w:pPr>
            <w:r>
              <w:rPr>
                <w:rFonts w:ascii="Arial" w:cs="Arial" w:eastAsia="Arial" w:hAnsi="Arial"/>
                <w:sz w:val="18"/>
                <w:szCs w:val="18"/>
                <w:color w:val="0000FF"/>
                <w:w w:val="87"/>
              </w:rPr>
              <w:t>Condensed Consolidated Balance Sheets</w:t>
            </w:r>
          </w:p>
        </w:tc>
        <w:tc>
          <w:tcPr>
            <w:tcW w:w="6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gridSpan w:val="2"/>
            <w:shd w:val="clear" w:color="auto" w:fill="CCEEFF"/>
          </w:tcPr>
          <w:p>
            <w:pPr>
              <w:spacing w:after="0"/>
              <w:rPr>
                <w:sz w:val="19"/>
                <w:szCs w:val="19"/>
                <w:color w:val="auto"/>
              </w:rPr>
            </w:pPr>
          </w:p>
        </w:tc>
        <w:tc>
          <w:tcPr>
            <w:tcW w:w="420" w:type="dxa"/>
            <w:vAlign w:val="bottom"/>
            <w:tcBorders>
              <w:bottom w:val="single" w:sz="8" w:color="CCEEFF"/>
              <w:right w:val="single" w:sz="8" w:color="CCEEFF"/>
            </w:tcBorders>
            <w:gridSpan w:val="2"/>
            <w:shd w:val="clear" w:color="auto" w:fill="CCEEFF"/>
          </w:tcPr>
          <w:p>
            <w:pPr>
              <w:jc w:val="center"/>
              <w:ind w:left="130"/>
              <w:spacing w:after="0" w:line="196" w:lineRule="exact"/>
              <w:rPr>
                <w:sz w:val="20"/>
                <w:szCs w:val="20"/>
                <w:color w:val="auto"/>
              </w:rPr>
            </w:pPr>
            <w:r>
              <w:rPr>
                <w:rFonts w:ascii="Arial" w:cs="Arial" w:eastAsia="Arial" w:hAnsi="Arial"/>
                <w:sz w:val="18"/>
                <w:szCs w:val="18"/>
                <w:color w:val="0000FF"/>
                <w:w w:val="79"/>
              </w:rPr>
              <w:t>1</w:t>
            </w:r>
          </w:p>
        </w:tc>
        <w:tc>
          <w:tcPr>
            <w:tcW w:w="240" w:type="dxa"/>
            <w:vAlign w:val="bottom"/>
            <w:tcBorders>
              <w:bottom w:val="single" w:sz="8" w:color="CCEEFF"/>
            </w:tcBorders>
            <w:shd w:val="clear" w:color="auto" w:fill="CCEEFF"/>
          </w:tcPr>
          <w:p>
            <w:pPr>
              <w:spacing w:after="0"/>
              <w:rPr>
                <w:sz w:val="19"/>
                <w:szCs w:val="19"/>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0000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80" w:type="dxa"/>
            <w:vAlign w:val="bottom"/>
            <w:gridSpan w:val="23"/>
          </w:tcPr>
          <w:p>
            <w:pPr>
              <w:spacing w:after="0" w:line="189" w:lineRule="exact"/>
              <w:rPr>
                <w:sz w:val="20"/>
                <w:szCs w:val="20"/>
                <w:color w:val="auto"/>
              </w:rPr>
            </w:pPr>
            <w:r>
              <w:rPr>
                <w:rFonts w:ascii="Arial" w:cs="Arial" w:eastAsia="Arial" w:hAnsi="Arial"/>
                <w:sz w:val="18"/>
                <w:szCs w:val="18"/>
                <w:color w:val="0000FF"/>
              </w:rPr>
              <w:t>Condensed Consolidated Statements of Operations</w:t>
            </w:r>
          </w:p>
        </w:tc>
        <w:tc>
          <w:tcPr>
            <w:tcW w:w="420" w:type="dxa"/>
            <w:vAlign w:val="bottom"/>
            <w:gridSpan w:val="2"/>
          </w:tcPr>
          <w:p>
            <w:pPr>
              <w:jc w:val="center"/>
              <w:ind w:left="130"/>
              <w:spacing w:after="0" w:line="189" w:lineRule="exact"/>
              <w:rPr>
                <w:sz w:val="20"/>
                <w:szCs w:val="20"/>
                <w:color w:val="auto"/>
              </w:rPr>
            </w:pPr>
            <w:r>
              <w:rPr>
                <w:rFonts w:ascii="Arial" w:cs="Arial" w:eastAsia="Arial" w:hAnsi="Arial"/>
                <w:sz w:val="18"/>
                <w:szCs w:val="18"/>
                <w:color w:val="0000FF"/>
                <w:w w:val="79"/>
              </w:rPr>
              <w:t>2</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8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Changes to Unitholders’ Equity</w:t>
            </w:r>
          </w:p>
        </w:tc>
        <w:tc>
          <w:tcPr>
            <w:tcW w:w="420" w:type="dxa"/>
            <w:vAlign w:val="bottom"/>
            <w:tcBorders>
              <w:right w:val="single" w:sz="8" w:color="CCEEFF"/>
            </w:tcBorders>
            <w:gridSpan w:val="2"/>
            <w:shd w:val="clear" w:color="auto" w:fill="CCEEFF"/>
          </w:tcPr>
          <w:p>
            <w:pPr>
              <w:jc w:val="center"/>
              <w:ind w:left="130"/>
              <w:spacing w:after="0" w:line="189" w:lineRule="exact"/>
              <w:rPr>
                <w:sz w:val="20"/>
                <w:szCs w:val="20"/>
                <w:color w:val="auto"/>
              </w:rPr>
            </w:pPr>
            <w:r>
              <w:rPr>
                <w:rFonts w:ascii="Arial" w:cs="Arial" w:eastAsia="Arial" w:hAnsi="Arial"/>
                <w:sz w:val="18"/>
                <w:szCs w:val="18"/>
                <w:color w:val="0000FF"/>
                <w:w w:val="79"/>
              </w:rPr>
              <w:t>3</w:t>
            </w: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140" w:type="dxa"/>
            <w:vAlign w:val="bottom"/>
            <w:gridSpan w:val="19"/>
          </w:tcPr>
          <w:p>
            <w:pPr>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4740" w:type="dxa"/>
            <w:vAlign w:val="bottom"/>
            <w:gridSpan w:val="4"/>
          </w:tcPr>
          <w:p>
            <w:pPr>
              <w:spacing w:after="0"/>
              <w:rPr>
                <w:sz w:val="16"/>
                <w:szCs w:val="16"/>
                <w:color w:val="auto"/>
              </w:rPr>
            </w:pPr>
          </w:p>
        </w:tc>
        <w:tc>
          <w:tcPr>
            <w:tcW w:w="420" w:type="dxa"/>
            <w:vAlign w:val="bottom"/>
            <w:gridSpan w:val="2"/>
          </w:tcPr>
          <w:p>
            <w:pPr>
              <w:jc w:val="center"/>
              <w:ind w:left="130"/>
              <w:spacing w:after="0" w:line="189" w:lineRule="exact"/>
              <w:rPr>
                <w:sz w:val="20"/>
                <w:szCs w:val="20"/>
                <w:color w:val="auto"/>
              </w:rPr>
            </w:pPr>
            <w:r>
              <w:rPr>
                <w:rFonts w:ascii="Arial" w:cs="Arial" w:eastAsia="Arial" w:hAnsi="Arial"/>
                <w:sz w:val="18"/>
                <w:szCs w:val="18"/>
                <w:color w:val="0000FF"/>
                <w:w w:val="79"/>
              </w:rPr>
              <w:t>5</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Condensed Notes to Consolidated Financial Statements</w:t>
            </w:r>
          </w:p>
        </w:tc>
        <w:tc>
          <w:tcPr>
            <w:tcW w:w="420" w:type="dxa"/>
            <w:vAlign w:val="bottom"/>
            <w:tcBorders>
              <w:right w:val="single" w:sz="8" w:color="CCEEFF"/>
            </w:tcBorders>
            <w:gridSpan w:val="2"/>
            <w:shd w:val="clear" w:color="auto" w:fill="CCEEFF"/>
          </w:tcPr>
          <w:p>
            <w:pPr>
              <w:jc w:val="center"/>
              <w:ind w:left="130"/>
              <w:spacing w:after="0" w:line="189" w:lineRule="exact"/>
              <w:rPr>
                <w:sz w:val="20"/>
                <w:szCs w:val="20"/>
                <w:color w:val="auto"/>
              </w:rPr>
            </w:pPr>
            <w:r>
              <w:rPr>
                <w:rFonts w:ascii="Arial" w:cs="Arial" w:eastAsia="Arial" w:hAnsi="Arial"/>
                <w:sz w:val="18"/>
                <w:szCs w:val="18"/>
                <w:color w:val="0000FF"/>
                <w:w w:val="79"/>
              </w:rPr>
              <w:t>6</w:t>
            </w:r>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66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19</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90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Item 3. Quantitative and Qualitative Disclosures about Market Risk</w:t>
            </w:r>
          </w:p>
        </w:tc>
        <w:tc>
          <w:tcPr>
            <w:tcW w:w="66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30</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Item 4. Controls and Procedures</w:t>
            </w:r>
          </w:p>
        </w:tc>
        <w:tc>
          <w:tcPr>
            <w:tcW w:w="66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31</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0000FF"/>
            </w:tcBorders>
            <w:gridSpan w:val="9"/>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0000FF"/>
              </w:rPr>
              <w:t>PART II. OTHER INFORMATION</w:t>
            </w:r>
          </w:p>
        </w:tc>
        <w:tc>
          <w:tcPr>
            <w:tcW w:w="356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Item 1. Legal Proceedings</w:t>
            </w:r>
          </w:p>
        </w:tc>
        <w:tc>
          <w:tcPr>
            <w:tcW w:w="66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89"/>
              </w:rPr>
              <w:t>33</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Item 1A. Risk Factors</w:t>
            </w:r>
          </w:p>
        </w:tc>
        <w:tc>
          <w:tcPr>
            <w:tcW w:w="66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89"/>
              </w:rPr>
              <w:t>33</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66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89"/>
              </w:rPr>
              <w:t>33</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Item 5. Other Information</w:t>
            </w:r>
          </w:p>
        </w:tc>
        <w:tc>
          <w:tcPr>
            <w:tcW w:w="66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89"/>
              </w:rPr>
              <w:t>33</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Item 6. Exhibits</w:t>
            </w:r>
          </w:p>
        </w:tc>
        <w:tc>
          <w:tcPr>
            <w:tcW w:w="66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89"/>
              </w:rPr>
              <w:t>34</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Signatures</w:t>
            </w:r>
          </w:p>
        </w:tc>
        <w:tc>
          <w:tcPr>
            <w:tcW w:w="66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89"/>
              </w:rPr>
              <w:t>36</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8920" w:type="dxa"/>
            <w:vAlign w:val="bottom"/>
          </w:tcPr>
          <w:p>
            <w:pPr>
              <w:ind w:left="1240"/>
              <w:spacing w:after="0"/>
              <w:rPr>
                <w:sz w:val="20"/>
                <w:szCs w:val="20"/>
                <w:color w:val="auto"/>
              </w:rPr>
            </w:pPr>
            <w:r>
              <w:rPr>
                <w:rFonts w:ascii="Arial" w:cs="Arial" w:eastAsia="Arial" w:hAnsi="Arial"/>
                <w:sz w:val="18"/>
                <w:szCs w:val="18"/>
                <w:b w:val="1"/>
                <w:bCs w:val="1"/>
                <w:color w:val="auto"/>
              </w:rPr>
              <w:t>GLOSSARY OF OIL AND NATURAL GAS TERMS</w:t>
            </w:r>
          </w:p>
        </w:tc>
      </w:tr>
      <w:tr>
        <w:trPr>
          <w:trHeight w:val="378"/>
        </w:trPr>
        <w:tc>
          <w:tcPr>
            <w:tcW w:w="1124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natural gas terms that are used in this Quarterly Report on Form 10-Q (this “report”):</w:t>
            </w:r>
          </w:p>
        </w:tc>
      </w:tr>
      <w:tr>
        <w:trPr>
          <w:trHeight w:val="122"/>
        </w:trPr>
        <w:tc>
          <w:tcPr>
            <w:tcW w:w="232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tcPr>
          <w:p>
            <w:pPr>
              <w:spacing w:after="0"/>
              <w:rPr>
                <w:sz w:val="10"/>
                <w:szCs w:val="10"/>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Argus WTI Midland</w:t>
            </w: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Grade of oil that serves as a benchmark price for oil at Midland, Texas.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Basin</w:t>
            </w:r>
          </w:p>
        </w:tc>
        <w:tc>
          <w:tcPr>
            <w:tcW w:w="8920" w:type="dxa"/>
            <w:vAlign w:val="bottom"/>
          </w:tcPr>
          <w:p>
            <w:pPr>
              <w:ind w:left="400"/>
              <w:spacing w:after="0"/>
              <w:rPr>
                <w:sz w:val="20"/>
                <w:szCs w:val="20"/>
                <w:color w:val="auto"/>
              </w:rPr>
            </w:pPr>
            <w:r>
              <w:rPr>
                <w:rFonts w:ascii="Arial" w:cs="Arial" w:eastAsia="Arial" w:hAnsi="Arial"/>
                <w:sz w:val="16"/>
                <w:szCs w:val="16"/>
                <w:color w:val="auto"/>
              </w:rPr>
              <w:t>A large depression on the earth’s surface in which sediments accumulate.</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Bbl or barrel</w:t>
            </w: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4"/>
              </w:rPr>
              <w:t>One stock tank barrel, or 42 U.S. gallons liquid volume, used in this report in reference to crude oil or other liquid hydrocarbons.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BO</w:t>
            </w:r>
          </w:p>
        </w:tc>
        <w:tc>
          <w:tcPr>
            <w:tcW w:w="8920" w:type="dxa"/>
            <w:vAlign w:val="bottom"/>
          </w:tcPr>
          <w:p>
            <w:pPr>
              <w:ind w:left="400"/>
              <w:spacing w:after="0"/>
              <w:rPr>
                <w:sz w:val="20"/>
                <w:szCs w:val="20"/>
                <w:color w:val="auto"/>
              </w:rPr>
            </w:pPr>
            <w:r>
              <w:rPr>
                <w:rFonts w:ascii="Arial" w:cs="Arial" w:eastAsia="Arial" w:hAnsi="Arial"/>
                <w:sz w:val="16"/>
                <w:szCs w:val="16"/>
                <w:color w:val="auto"/>
              </w:rPr>
              <w:t>One barrel of oil.</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BO/d</w:t>
            </w: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BO per day.</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BOE</w:t>
            </w:r>
          </w:p>
        </w:tc>
        <w:tc>
          <w:tcPr>
            <w:tcW w:w="8920" w:type="dxa"/>
            <w:vAlign w:val="bottom"/>
          </w:tcPr>
          <w:p>
            <w:pPr>
              <w:ind w:left="400"/>
              <w:spacing w:after="0"/>
              <w:rPr>
                <w:sz w:val="20"/>
                <w:szCs w:val="20"/>
                <w:color w:val="auto"/>
              </w:rPr>
            </w:pPr>
            <w:r>
              <w:rPr>
                <w:rFonts w:ascii="Arial" w:cs="Arial" w:eastAsia="Arial" w:hAnsi="Arial"/>
                <w:sz w:val="16"/>
                <w:szCs w:val="16"/>
                <w:color w:val="auto"/>
              </w:rPr>
              <w:t>One barrel of oil equivalent, with six thousand cubic feet of natural gas being equivalent to one barrel of oil.</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BOE/d</w:t>
            </w: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BOE per day.</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British Thermal Unit or Btu</w:t>
            </w:r>
          </w:p>
        </w:tc>
        <w:tc>
          <w:tcPr>
            <w:tcW w:w="8920" w:type="dxa"/>
            <w:vAlign w:val="bottom"/>
          </w:tcPr>
          <w:p>
            <w:pPr>
              <w:ind w:left="400"/>
              <w:spacing w:after="0"/>
              <w:rPr>
                <w:sz w:val="20"/>
                <w:szCs w:val="20"/>
                <w:color w:val="auto"/>
              </w:rPr>
            </w:pPr>
            <w:r>
              <w:rPr>
                <w:rFonts w:ascii="Arial" w:cs="Arial" w:eastAsia="Arial" w:hAnsi="Arial"/>
                <w:sz w:val="16"/>
                <w:szCs w:val="16"/>
                <w:color w:val="auto"/>
              </w:rPr>
              <w:t>The quantity of heat required to raise the temperature of one pound of water by one degree Fahrenheit.</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Condensate</w:t>
            </w: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Liquid hydrocarbons associated with the production of a primarily natural gas reserve.</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Henry Hub</w:t>
            </w:r>
          </w:p>
        </w:tc>
        <w:tc>
          <w:tcPr>
            <w:tcW w:w="8920" w:type="dxa"/>
            <w:vAlign w:val="bottom"/>
          </w:tcPr>
          <w:p>
            <w:pPr>
              <w:ind w:left="400"/>
              <w:spacing w:after="0"/>
              <w:rPr>
                <w:sz w:val="20"/>
                <w:szCs w:val="20"/>
                <w:color w:val="auto"/>
              </w:rPr>
            </w:pPr>
            <w:r>
              <w:rPr>
                <w:rFonts w:ascii="Arial" w:cs="Arial" w:eastAsia="Arial" w:hAnsi="Arial"/>
                <w:sz w:val="16"/>
                <w:szCs w:val="16"/>
                <w:color w:val="auto"/>
              </w:rPr>
              <w:t>Natural gas gathering point that serves as a benchmark price for natural gas futures on the NYMEX.</w:t>
            </w: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Horizontal wells</w:t>
            </w:r>
          </w:p>
        </w:tc>
        <w:tc>
          <w:tcPr>
            <w:tcW w:w="8920" w:type="dxa"/>
            <w:vAlign w:val="bottom"/>
            <w:shd w:val="clear" w:color="auto" w:fill="CCEEFF"/>
          </w:tcPr>
          <w:p>
            <w:pPr>
              <w:ind w:left="400"/>
              <w:spacing w:after="0" w:line="169" w:lineRule="exact"/>
              <w:rPr>
                <w:sz w:val="20"/>
                <w:szCs w:val="20"/>
                <w:color w:val="auto"/>
              </w:rPr>
            </w:pPr>
            <w:r>
              <w:rPr>
                <w:rFonts w:ascii="Arial" w:cs="Arial" w:eastAsia="Arial" w:hAnsi="Arial"/>
                <w:sz w:val="16"/>
                <w:szCs w:val="16"/>
                <w:color w:val="auto"/>
                <w:w w:val="98"/>
              </w:rPr>
              <w:t>Wells drilled directionally horizontal to allow for development of structures not reachable through traditional vertical drilling</w:t>
            </w:r>
          </w:p>
        </w:tc>
      </w:tr>
      <w:tr>
        <w:trPr>
          <w:trHeight w:val="212"/>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mechanisms.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MBbls</w:t>
            </w:r>
          </w:p>
        </w:tc>
        <w:tc>
          <w:tcPr>
            <w:tcW w:w="8920" w:type="dxa"/>
            <w:vAlign w:val="bottom"/>
          </w:tcPr>
          <w:p>
            <w:pPr>
              <w:ind w:left="400"/>
              <w:spacing w:after="0"/>
              <w:rPr>
                <w:sz w:val="20"/>
                <w:szCs w:val="20"/>
                <w:color w:val="auto"/>
              </w:rPr>
            </w:pPr>
            <w:r>
              <w:rPr>
                <w:rFonts w:ascii="Arial" w:cs="Arial" w:eastAsia="Arial" w:hAnsi="Arial"/>
                <w:sz w:val="16"/>
                <w:szCs w:val="16"/>
                <w:color w:val="auto"/>
              </w:rPr>
              <w:t>Thousand barrels of crude oil or other liquid hydrocarbons.</w:t>
            </w: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MBOE</w:t>
            </w:r>
          </w:p>
        </w:tc>
        <w:tc>
          <w:tcPr>
            <w:tcW w:w="8920" w:type="dxa"/>
            <w:vAlign w:val="bottom"/>
            <w:shd w:val="clear" w:color="auto" w:fill="CCEEFF"/>
          </w:tcPr>
          <w:p>
            <w:pPr>
              <w:ind w:left="400"/>
              <w:spacing w:after="0" w:line="169" w:lineRule="exact"/>
              <w:rPr>
                <w:sz w:val="20"/>
                <w:szCs w:val="20"/>
                <w:color w:val="auto"/>
              </w:rPr>
            </w:pPr>
            <w:r>
              <w:rPr>
                <w:rFonts w:ascii="Arial" w:cs="Arial" w:eastAsia="Arial" w:hAnsi="Arial"/>
                <w:sz w:val="16"/>
                <w:szCs w:val="16"/>
                <w:color w:val="auto"/>
                <w:w w:val="92"/>
              </w:rPr>
              <w:t>One thousand barrels of crude oil equivalent, determined using a ratio of six Mcf of natural gas to one Bbl of crude oil, condensate</w:t>
            </w:r>
          </w:p>
        </w:tc>
      </w:tr>
      <w:tr>
        <w:trPr>
          <w:trHeight w:val="212"/>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or natural gas liquids.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Mcf</w:t>
            </w:r>
          </w:p>
        </w:tc>
        <w:tc>
          <w:tcPr>
            <w:tcW w:w="8920" w:type="dxa"/>
            <w:vAlign w:val="bottom"/>
          </w:tcPr>
          <w:p>
            <w:pPr>
              <w:ind w:left="400"/>
              <w:spacing w:after="0"/>
              <w:rPr>
                <w:sz w:val="20"/>
                <w:szCs w:val="20"/>
                <w:color w:val="auto"/>
              </w:rPr>
            </w:pPr>
            <w:r>
              <w:rPr>
                <w:rFonts w:ascii="Arial" w:cs="Arial" w:eastAsia="Arial" w:hAnsi="Arial"/>
                <w:sz w:val="16"/>
                <w:szCs w:val="16"/>
                <w:color w:val="auto"/>
              </w:rPr>
              <w:t>One thousand cubic feet of natural gas.</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Mineral interests</w:t>
            </w: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6"/>
              </w:rPr>
              <w:t>The interests in ownership of the resource and mineral rights, giving an owner the right to profit from the extracted resources.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MMBtu</w:t>
            </w:r>
          </w:p>
        </w:tc>
        <w:tc>
          <w:tcPr>
            <w:tcW w:w="8920" w:type="dxa"/>
            <w:vAlign w:val="bottom"/>
          </w:tcPr>
          <w:p>
            <w:pPr>
              <w:ind w:left="400"/>
              <w:spacing w:after="0"/>
              <w:rPr>
                <w:sz w:val="20"/>
                <w:szCs w:val="20"/>
                <w:color w:val="auto"/>
              </w:rPr>
            </w:pPr>
            <w:r>
              <w:rPr>
                <w:rFonts w:ascii="Arial" w:cs="Arial" w:eastAsia="Arial" w:hAnsi="Arial"/>
                <w:sz w:val="16"/>
                <w:szCs w:val="16"/>
                <w:color w:val="auto"/>
              </w:rPr>
              <w:t>One million British Thermal Units.</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MMcf</w:t>
            </w: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Million cubic feet of natural gas.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Net royalty acres</w:t>
            </w:r>
          </w:p>
        </w:tc>
        <w:tc>
          <w:tcPr>
            <w:tcW w:w="8920" w:type="dxa"/>
            <w:vAlign w:val="bottom"/>
          </w:tcPr>
          <w:p>
            <w:pPr>
              <w:ind w:left="400"/>
              <w:spacing w:after="0"/>
              <w:rPr>
                <w:sz w:val="20"/>
                <w:szCs w:val="20"/>
                <w:color w:val="auto"/>
              </w:rPr>
            </w:pPr>
            <w:r>
              <w:rPr>
                <w:rFonts w:ascii="Arial" w:cs="Arial" w:eastAsia="Arial" w:hAnsi="Arial"/>
                <w:sz w:val="16"/>
                <w:szCs w:val="16"/>
                <w:color w:val="auto"/>
              </w:rPr>
              <w:t>Net mineral acres multiplied by the average lease royalty interest and other burdens.</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natural gas properties</w:t>
            </w: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Tracts of land consisting of properties to be developed for oil and natural gas resource extraction.</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Operator</w:t>
            </w:r>
          </w:p>
        </w:tc>
        <w:tc>
          <w:tcPr>
            <w:tcW w:w="8920" w:type="dxa"/>
            <w:vAlign w:val="bottom"/>
          </w:tcPr>
          <w:p>
            <w:pPr>
              <w:ind w:left="400"/>
              <w:spacing w:after="0"/>
              <w:rPr>
                <w:sz w:val="20"/>
                <w:szCs w:val="20"/>
                <w:color w:val="auto"/>
              </w:rPr>
            </w:pPr>
            <w:r>
              <w:rPr>
                <w:rFonts w:ascii="Arial" w:cs="Arial" w:eastAsia="Arial" w:hAnsi="Arial"/>
                <w:sz w:val="16"/>
                <w:szCs w:val="16"/>
                <w:color w:val="auto"/>
              </w:rPr>
              <w:t>The individual or company responsible for the exploration and/or production of an oil or natural gas well or lease.</w:t>
            </w: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Proved reserves</w:t>
            </w:r>
          </w:p>
        </w:tc>
        <w:tc>
          <w:tcPr>
            <w:tcW w:w="8920" w:type="dxa"/>
            <w:vAlign w:val="bottom"/>
            <w:shd w:val="clear" w:color="auto" w:fill="CCEEFF"/>
          </w:tcPr>
          <w:p>
            <w:pPr>
              <w:ind w:left="400"/>
              <w:spacing w:after="0" w:line="169" w:lineRule="exact"/>
              <w:rPr>
                <w:sz w:val="20"/>
                <w:szCs w:val="20"/>
                <w:color w:val="auto"/>
              </w:rPr>
            </w:pPr>
            <w:r>
              <w:rPr>
                <w:rFonts w:ascii="Arial" w:cs="Arial" w:eastAsia="Arial" w:hAnsi="Arial"/>
                <w:sz w:val="16"/>
                <w:szCs w:val="16"/>
                <w:color w:val="auto"/>
                <w:w w:val="97"/>
              </w:rPr>
              <w:t>The estimated quantities of oil, natural gas and natural gas liquids which geological and engineering data demonstrate with</w:t>
            </w:r>
          </w:p>
        </w:tc>
      </w:tr>
      <w:tr>
        <w:trPr>
          <w:trHeight w:val="162"/>
        </w:trPr>
        <w:tc>
          <w:tcPr>
            <w:tcW w:w="2320" w:type="dxa"/>
            <w:vAlign w:val="bottom"/>
            <w:shd w:val="clear" w:color="auto" w:fill="CCEEFF"/>
          </w:tcPr>
          <w:p>
            <w:pPr>
              <w:spacing w:after="0"/>
              <w:rPr>
                <w:sz w:val="14"/>
                <w:szCs w:val="14"/>
                <w:color w:val="auto"/>
              </w:rPr>
            </w:pPr>
          </w:p>
        </w:tc>
        <w:tc>
          <w:tcPr>
            <w:tcW w:w="892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w w:val="92"/>
              </w:rPr>
              <w:t>reasonable certainty to be commercially recoverable in future years from known reservoirs under existing economic and operating</w:t>
            </w:r>
          </w:p>
        </w:tc>
      </w:tr>
      <w:tr>
        <w:trPr>
          <w:trHeight w:val="212"/>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conditions.</w:t>
            </w: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Reserves</w:t>
            </w:r>
          </w:p>
        </w:tc>
        <w:tc>
          <w:tcPr>
            <w:tcW w:w="8920" w:type="dxa"/>
            <w:vAlign w:val="bottom"/>
          </w:tcPr>
          <w:p>
            <w:pPr>
              <w:ind w:left="400"/>
              <w:spacing w:after="0" w:line="166" w:lineRule="exact"/>
              <w:rPr>
                <w:sz w:val="20"/>
                <w:szCs w:val="20"/>
                <w:color w:val="auto"/>
              </w:rPr>
            </w:pPr>
            <w:r>
              <w:rPr>
                <w:rFonts w:ascii="Arial" w:cs="Arial" w:eastAsia="Arial" w:hAnsi="Arial"/>
                <w:sz w:val="16"/>
                <w:szCs w:val="16"/>
                <w:color w:val="auto"/>
                <w:w w:val="91"/>
              </w:rPr>
              <w:t>The estimated remaining quantities of oil and natural gas and related substances anticipated to be economically producible, as of a</w:t>
            </w:r>
          </w:p>
        </w:tc>
      </w:tr>
      <w:tr>
        <w:trPr>
          <w:trHeight w:val="162"/>
        </w:trPr>
        <w:tc>
          <w:tcPr>
            <w:tcW w:w="2320" w:type="dxa"/>
            <w:vAlign w:val="bottom"/>
          </w:tcPr>
          <w:p>
            <w:pPr>
              <w:spacing w:after="0"/>
              <w:rPr>
                <w:sz w:val="14"/>
                <w:szCs w:val="14"/>
                <w:color w:val="auto"/>
              </w:rPr>
            </w:pPr>
          </w:p>
        </w:tc>
        <w:tc>
          <w:tcPr>
            <w:tcW w:w="8920" w:type="dxa"/>
            <w:vAlign w:val="bottom"/>
          </w:tcPr>
          <w:p>
            <w:pPr>
              <w:ind w:left="400"/>
              <w:spacing w:after="0" w:line="162" w:lineRule="exact"/>
              <w:rPr>
                <w:sz w:val="20"/>
                <w:szCs w:val="20"/>
                <w:color w:val="auto"/>
              </w:rPr>
            </w:pPr>
            <w:r>
              <w:rPr>
                <w:rFonts w:ascii="Arial" w:cs="Arial" w:eastAsia="Arial" w:hAnsi="Arial"/>
                <w:sz w:val="16"/>
                <w:szCs w:val="16"/>
                <w:color w:val="auto"/>
                <w:w w:val="97"/>
              </w:rPr>
              <w:t>given date, by application of development projects to known accumulations. In addition, there must exist, or there must be a</w:t>
            </w:r>
          </w:p>
        </w:tc>
      </w:tr>
      <w:tr>
        <w:trPr>
          <w:trHeight w:val="162"/>
        </w:trPr>
        <w:tc>
          <w:tcPr>
            <w:tcW w:w="2320" w:type="dxa"/>
            <w:vAlign w:val="bottom"/>
          </w:tcPr>
          <w:p>
            <w:pPr>
              <w:spacing w:after="0"/>
              <w:rPr>
                <w:sz w:val="14"/>
                <w:szCs w:val="14"/>
                <w:color w:val="auto"/>
              </w:rPr>
            </w:pPr>
          </w:p>
        </w:tc>
        <w:tc>
          <w:tcPr>
            <w:tcW w:w="8920" w:type="dxa"/>
            <w:vAlign w:val="bottom"/>
          </w:tcPr>
          <w:p>
            <w:pPr>
              <w:ind w:left="400"/>
              <w:spacing w:after="0" w:line="162" w:lineRule="exact"/>
              <w:rPr>
                <w:sz w:val="20"/>
                <w:szCs w:val="20"/>
                <w:color w:val="auto"/>
              </w:rPr>
            </w:pPr>
            <w:r>
              <w:rPr>
                <w:rFonts w:ascii="Arial" w:cs="Arial" w:eastAsia="Arial" w:hAnsi="Arial"/>
                <w:sz w:val="16"/>
                <w:szCs w:val="16"/>
                <w:color w:val="auto"/>
                <w:w w:val="94"/>
              </w:rPr>
              <w:t>reasonable expectation that there will exist, the legal right to produce or a revenue interest in the production, installed means of</w:t>
            </w:r>
          </w:p>
        </w:tc>
      </w:tr>
      <w:tr>
        <w:trPr>
          <w:trHeight w:val="162"/>
        </w:trPr>
        <w:tc>
          <w:tcPr>
            <w:tcW w:w="2320" w:type="dxa"/>
            <w:vAlign w:val="bottom"/>
          </w:tcPr>
          <w:p>
            <w:pPr>
              <w:spacing w:after="0"/>
              <w:rPr>
                <w:sz w:val="14"/>
                <w:szCs w:val="14"/>
                <w:color w:val="auto"/>
              </w:rPr>
            </w:pPr>
          </w:p>
        </w:tc>
        <w:tc>
          <w:tcPr>
            <w:tcW w:w="8920" w:type="dxa"/>
            <w:vAlign w:val="bottom"/>
          </w:tcPr>
          <w:p>
            <w:pPr>
              <w:ind w:left="400"/>
              <w:spacing w:after="0" w:line="162" w:lineRule="exact"/>
              <w:rPr>
                <w:sz w:val="20"/>
                <w:szCs w:val="20"/>
                <w:color w:val="auto"/>
              </w:rPr>
            </w:pPr>
            <w:r>
              <w:rPr>
                <w:rFonts w:ascii="Arial" w:cs="Arial" w:eastAsia="Arial" w:hAnsi="Arial"/>
                <w:sz w:val="16"/>
                <w:szCs w:val="16"/>
                <w:color w:val="auto"/>
                <w:w w:val="93"/>
              </w:rPr>
              <w:t>delivering oil and natural gas or related substances to the market and all permits and financing required to implement the project.</w:t>
            </w:r>
          </w:p>
        </w:tc>
      </w:tr>
      <w:tr>
        <w:trPr>
          <w:trHeight w:val="162"/>
        </w:trPr>
        <w:tc>
          <w:tcPr>
            <w:tcW w:w="2320" w:type="dxa"/>
            <w:vAlign w:val="bottom"/>
          </w:tcPr>
          <w:p>
            <w:pPr>
              <w:spacing w:after="0"/>
              <w:rPr>
                <w:sz w:val="14"/>
                <w:szCs w:val="14"/>
                <w:color w:val="auto"/>
              </w:rPr>
            </w:pPr>
          </w:p>
        </w:tc>
        <w:tc>
          <w:tcPr>
            <w:tcW w:w="8920" w:type="dxa"/>
            <w:vAlign w:val="bottom"/>
          </w:tcPr>
          <w:p>
            <w:pPr>
              <w:ind w:left="400"/>
              <w:spacing w:after="0" w:line="162" w:lineRule="exact"/>
              <w:rPr>
                <w:sz w:val="20"/>
                <w:szCs w:val="20"/>
                <w:color w:val="auto"/>
              </w:rPr>
            </w:pPr>
            <w:r>
              <w:rPr>
                <w:rFonts w:ascii="Arial" w:cs="Arial" w:eastAsia="Arial" w:hAnsi="Arial"/>
                <w:sz w:val="16"/>
                <w:szCs w:val="16"/>
                <w:color w:val="auto"/>
                <w:w w:val="92"/>
              </w:rPr>
              <w:t>Reserves are not assigned to adjacent reservoirs isolated by major, potentially sealing, faults until those reservoirs are penetrated</w:t>
            </w:r>
          </w:p>
        </w:tc>
      </w:tr>
      <w:tr>
        <w:trPr>
          <w:trHeight w:val="162"/>
        </w:trPr>
        <w:tc>
          <w:tcPr>
            <w:tcW w:w="2320" w:type="dxa"/>
            <w:vAlign w:val="bottom"/>
          </w:tcPr>
          <w:p>
            <w:pPr>
              <w:spacing w:after="0"/>
              <w:rPr>
                <w:sz w:val="14"/>
                <w:szCs w:val="14"/>
                <w:color w:val="auto"/>
              </w:rPr>
            </w:pPr>
          </w:p>
        </w:tc>
        <w:tc>
          <w:tcPr>
            <w:tcW w:w="8920" w:type="dxa"/>
            <w:vAlign w:val="bottom"/>
          </w:tcPr>
          <w:p>
            <w:pPr>
              <w:ind w:left="400"/>
              <w:spacing w:after="0" w:line="162" w:lineRule="exact"/>
              <w:rPr>
                <w:sz w:val="20"/>
                <w:szCs w:val="20"/>
                <w:color w:val="auto"/>
              </w:rPr>
            </w:pPr>
            <w:r>
              <w:rPr>
                <w:rFonts w:ascii="Arial" w:cs="Arial" w:eastAsia="Arial" w:hAnsi="Arial"/>
                <w:sz w:val="16"/>
                <w:szCs w:val="16"/>
                <w:color w:val="auto"/>
                <w:w w:val="95"/>
              </w:rPr>
              <w:t>and evaluated as economically producible. Reserves should not be assigned to areas that are clearly separated from a known</w:t>
            </w:r>
          </w:p>
        </w:tc>
      </w:tr>
      <w:tr>
        <w:trPr>
          <w:trHeight w:val="162"/>
        </w:trPr>
        <w:tc>
          <w:tcPr>
            <w:tcW w:w="2320" w:type="dxa"/>
            <w:vAlign w:val="bottom"/>
          </w:tcPr>
          <w:p>
            <w:pPr>
              <w:spacing w:after="0"/>
              <w:rPr>
                <w:sz w:val="14"/>
                <w:szCs w:val="14"/>
                <w:color w:val="auto"/>
              </w:rPr>
            </w:pPr>
          </w:p>
        </w:tc>
        <w:tc>
          <w:tcPr>
            <w:tcW w:w="8920" w:type="dxa"/>
            <w:vAlign w:val="bottom"/>
          </w:tcPr>
          <w:p>
            <w:pPr>
              <w:ind w:left="400"/>
              <w:spacing w:after="0" w:line="162" w:lineRule="exact"/>
              <w:rPr>
                <w:sz w:val="20"/>
                <w:szCs w:val="20"/>
                <w:color w:val="auto"/>
              </w:rPr>
            </w:pPr>
            <w:r>
              <w:rPr>
                <w:rFonts w:ascii="Arial" w:cs="Arial" w:eastAsia="Arial" w:hAnsi="Arial"/>
                <w:sz w:val="16"/>
                <w:szCs w:val="16"/>
                <w:color w:val="auto"/>
                <w:w w:val="95"/>
              </w:rPr>
              <w:t>accumulation by a non-productive reservoir (i.e., absence of reservoir, structurally low reservoir or negative test results). Such</w:t>
            </w:r>
          </w:p>
        </w:tc>
      </w:tr>
      <w:tr>
        <w:trPr>
          <w:trHeight w:val="209"/>
        </w:trPr>
        <w:tc>
          <w:tcPr>
            <w:tcW w:w="23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6"/>
                <w:szCs w:val="16"/>
                <w:color w:val="auto"/>
              </w:rPr>
              <w:t>areas may contain prospective resources (i.e., potentially recoverable resources from undiscovered accumulations).</w:t>
            </w: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Reservoir</w:t>
            </w:r>
          </w:p>
        </w:tc>
        <w:tc>
          <w:tcPr>
            <w:tcW w:w="8920" w:type="dxa"/>
            <w:vAlign w:val="bottom"/>
            <w:shd w:val="clear" w:color="auto" w:fill="CCEEFF"/>
          </w:tcPr>
          <w:p>
            <w:pPr>
              <w:ind w:left="400"/>
              <w:spacing w:after="0" w:line="169" w:lineRule="exact"/>
              <w:rPr>
                <w:sz w:val="20"/>
                <w:szCs w:val="20"/>
                <w:color w:val="auto"/>
              </w:rPr>
            </w:pPr>
            <w:r>
              <w:rPr>
                <w:rFonts w:ascii="Arial" w:cs="Arial" w:eastAsia="Arial" w:hAnsi="Arial"/>
                <w:sz w:val="16"/>
                <w:szCs w:val="16"/>
                <w:color w:val="auto"/>
                <w:w w:val="93"/>
              </w:rPr>
              <w:t>A porous and permeable underground formation containing a natural accumulation of producible natural gas and/or crude oil that</w:t>
            </w:r>
          </w:p>
        </w:tc>
      </w:tr>
      <w:tr>
        <w:trPr>
          <w:trHeight w:val="212"/>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is confined by impermeable rock or water barriers and is separate from other reservoirs.</w:t>
            </w: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Royalty interest</w:t>
            </w:r>
          </w:p>
        </w:tc>
        <w:tc>
          <w:tcPr>
            <w:tcW w:w="8920" w:type="dxa"/>
            <w:vAlign w:val="bottom"/>
          </w:tcPr>
          <w:p>
            <w:pPr>
              <w:ind w:left="400"/>
              <w:spacing w:after="0" w:line="166" w:lineRule="exact"/>
              <w:rPr>
                <w:sz w:val="20"/>
                <w:szCs w:val="20"/>
                <w:color w:val="auto"/>
              </w:rPr>
            </w:pPr>
            <w:r>
              <w:rPr>
                <w:rFonts w:ascii="Arial" w:cs="Arial" w:eastAsia="Arial" w:hAnsi="Arial"/>
                <w:sz w:val="16"/>
                <w:szCs w:val="16"/>
                <w:color w:val="auto"/>
                <w:w w:val="96"/>
              </w:rPr>
              <w:t>An interest that gives an owner the right to receive a portion of the resources or revenues without having to carry any costs of</w:t>
            </w:r>
          </w:p>
        </w:tc>
      </w:tr>
      <w:tr>
        <w:trPr>
          <w:trHeight w:val="209"/>
        </w:trPr>
        <w:tc>
          <w:tcPr>
            <w:tcW w:w="23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6"/>
                <w:szCs w:val="16"/>
                <w:color w:val="auto"/>
              </w:rPr>
              <w:t>development, which may be subject to expiration.</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Spud</w:t>
            </w: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Commencement of actual drilling operations.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Waha Hub</w:t>
            </w:r>
          </w:p>
        </w:tc>
        <w:tc>
          <w:tcPr>
            <w:tcW w:w="8920" w:type="dxa"/>
            <w:vAlign w:val="bottom"/>
          </w:tcPr>
          <w:p>
            <w:pPr>
              <w:ind w:left="400"/>
              <w:spacing w:after="0"/>
              <w:rPr>
                <w:sz w:val="20"/>
                <w:szCs w:val="20"/>
                <w:color w:val="auto"/>
              </w:rPr>
            </w:pPr>
            <w:r>
              <w:rPr>
                <w:rFonts w:ascii="Arial" w:cs="Arial" w:eastAsia="Arial" w:hAnsi="Arial"/>
                <w:sz w:val="16"/>
                <w:szCs w:val="16"/>
                <w:color w:val="auto"/>
              </w:rPr>
              <w:t>Natural gas gathering point that serves as a benchmark price for natural gas at western Texas and New Mexico.</w:t>
            </w: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WTI</w:t>
            </w:r>
          </w:p>
        </w:tc>
        <w:tc>
          <w:tcPr>
            <w:tcW w:w="8920" w:type="dxa"/>
            <w:vAlign w:val="bottom"/>
            <w:shd w:val="clear" w:color="auto" w:fill="CCEEFF"/>
          </w:tcPr>
          <w:p>
            <w:pPr>
              <w:ind w:left="400"/>
              <w:spacing w:after="0" w:line="169" w:lineRule="exact"/>
              <w:rPr>
                <w:sz w:val="20"/>
                <w:szCs w:val="20"/>
                <w:color w:val="auto"/>
              </w:rPr>
            </w:pPr>
            <w:r>
              <w:rPr>
                <w:rFonts w:ascii="Arial" w:cs="Arial" w:eastAsia="Arial" w:hAnsi="Arial"/>
                <w:sz w:val="16"/>
                <w:szCs w:val="16"/>
                <w:color w:val="auto"/>
                <w:w w:val="95"/>
              </w:rPr>
              <w:t>West Texas Intermediate, a light sweet blend of oil produced from fields in western Texas and is a grade of oil that serves as a</w:t>
            </w:r>
          </w:p>
        </w:tc>
      </w:tr>
      <w:tr>
        <w:trPr>
          <w:trHeight w:val="212"/>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benchmark for oil on the NYMEX.</w:t>
            </w:r>
          </w:p>
        </w:tc>
      </w:tr>
      <w:tr>
        <w:trPr>
          <w:trHeight w:val="213"/>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WTI Cushing</w:t>
            </w:r>
          </w:p>
        </w:tc>
        <w:tc>
          <w:tcPr>
            <w:tcW w:w="892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Grade of oil that serves as a benchmark price for oil at Cushing, Oklahoma.</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9160" w:type="dxa"/>
            <w:vAlign w:val="bottom"/>
          </w:tcPr>
          <w:p>
            <w:pPr>
              <w:ind w:left="180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08"/>
        </w:trPr>
        <w:tc>
          <w:tcPr>
            <w:tcW w:w="2060" w:type="dxa"/>
            <w:vAlign w:val="bottom"/>
            <w:tcBorders>
              <w:bottom w:val="single" w:sz="8" w:color="auto"/>
            </w:tcBorders>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ASU</w:t>
            </w:r>
          </w:p>
        </w:tc>
        <w:tc>
          <w:tcPr>
            <w:tcW w:w="91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Accounting Standards Update.</w:t>
            </w:r>
          </w:p>
        </w:tc>
      </w:tr>
      <w:tr>
        <w:trPr>
          <w:trHeight w:val="223"/>
        </w:trPr>
        <w:tc>
          <w:tcPr>
            <w:tcW w:w="2060" w:type="dxa"/>
            <w:vAlign w:val="bottom"/>
          </w:tcPr>
          <w:p>
            <w:pPr>
              <w:ind w:left="20"/>
              <w:spacing w:after="0"/>
              <w:rPr>
                <w:sz w:val="20"/>
                <w:szCs w:val="20"/>
                <w:color w:val="auto"/>
              </w:rPr>
            </w:pPr>
            <w:r>
              <w:rPr>
                <w:rFonts w:ascii="Arial" w:cs="Arial" w:eastAsia="Arial" w:hAnsi="Arial"/>
                <w:sz w:val="17"/>
                <w:szCs w:val="17"/>
                <w:color w:val="auto"/>
              </w:rPr>
              <w:t>Exchange Act</w:t>
            </w:r>
          </w:p>
        </w:tc>
        <w:tc>
          <w:tcPr>
            <w:tcW w:w="9160" w:type="dxa"/>
            <w:vAlign w:val="bottom"/>
          </w:tcPr>
          <w:p>
            <w:pPr>
              <w:ind w:left="660"/>
              <w:spacing w:after="0"/>
              <w:rPr>
                <w:sz w:val="20"/>
                <w:szCs w:val="20"/>
                <w:color w:val="auto"/>
              </w:rPr>
            </w:pPr>
            <w:r>
              <w:rPr>
                <w:rFonts w:ascii="Arial" w:cs="Arial" w:eastAsia="Arial" w:hAnsi="Arial"/>
                <w:sz w:val="17"/>
                <w:szCs w:val="17"/>
                <w:color w:val="auto"/>
              </w:rPr>
              <w:t>The Securities Exchange Act of 1934, as amended.</w:t>
            </w:r>
          </w:p>
        </w:tc>
      </w:tr>
      <w:tr>
        <w:trPr>
          <w:trHeight w:val="23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w:t>
            </w:r>
          </w:p>
        </w:tc>
        <w:tc>
          <w:tcPr>
            <w:tcW w:w="91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Accounting principles generally accepted in the United States.</w:t>
            </w:r>
          </w:p>
        </w:tc>
      </w:tr>
      <w:tr>
        <w:trPr>
          <w:trHeight w:val="223"/>
        </w:trPr>
        <w:tc>
          <w:tcPr>
            <w:tcW w:w="2060" w:type="dxa"/>
            <w:vAlign w:val="bottom"/>
          </w:tcPr>
          <w:p>
            <w:pPr>
              <w:ind w:left="20"/>
              <w:spacing w:after="0"/>
              <w:rPr>
                <w:sz w:val="20"/>
                <w:szCs w:val="20"/>
                <w:color w:val="auto"/>
              </w:rPr>
            </w:pPr>
            <w:r>
              <w:rPr>
                <w:rFonts w:ascii="Arial" w:cs="Arial" w:eastAsia="Arial" w:hAnsi="Arial"/>
                <w:sz w:val="17"/>
                <w:szCs w:val="17"/>
                <w:color w:val="auto"/>
              </w:rPr>
              <w:t>LTIP</w:t>
            </w:r>
          </w:p>
        </w:tc>
        <w:tc>
          <w:tcPr>
            <w:tcW w:w="9160" w:type="dxa"/>
            <w:vAlign w:val="bottom"/>
          </w:tcPr>
          <w:p>
            <w:pPr>
              <w:ind w:left="660"/>
              <w:spacing w:after="0"/>
              <w:rPr>
                <w:sz w:val="20"/>
                <w:szCs w:val="20"/>
                <w:color w:val="auto"/>
              </w:rPr>
            </w:pPr>
            <w:r>
              <w:rPr>
                <w:rFonts w:ascii="Arial" w:cs="Arial" w:eastAsia="Arial" w:hAnsi="Arial"/>
                <w:sz w:val="17"/>
                <w:szCs w:val="17"/>
                <w:color w:val="auto"/>
              </w:rPr>
              <w:t>Viper Energy Partners LP Long Term Incentive Plan.</w:t>
            </w:r>
          </w:p>
        </w:tc>
      </w:tr>
      <w:tr>
        <w:trPr>
          <w:trHeight w:val="23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Nasdaq</w:t>
            </w:r>
          </w:p>
        </w:tc>
        <w:tc>
          <w:tcPr>
            <w:tcW w:w="91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The Nasdaq Global Select Market.</w:t>
            </w:r>
          </w:p>
        </w:tc>
      </w:tr>
      <w:tr>
        <w:trPr>
          <w:trHeight w:val="223"/>
        </w:trPr>
        <w:tc>
          <w:tcPr>
            <w:tcW w:w="2060" w:type="dxa"/>
            <w:vAlign w:val="bottom"/>
          </w:tcPr>
          <w:p>
            <w:pPr>
              <w:ind w:left="20"/>
              <w:spacing w:after="0"/>
              <w:rPr>
                <w:sz w:val="20"/>
                <w:szCs w:val="20"/>
                <w:color w:val="auto"/>
              </w:rPr>
            </w:pPr>
            <w:r>
              <w:rPr>
                <w:rFonts w:ascii="Arial" w:cs="Arial" w:eastAsia="Arial" w:hAnsi="Arial"/>
                <w:sz w:val="17"/>
                <w:szCs w:val="17"/>
                <w:color w:val="auto"/>
              </w:rPr>
              <w:t>NYMEX</w:t>
            </w:r>
          </w:p>
        </w:tc>
        <w:tc>
          <w:tcPr>
            <w:tcW w:w="9160" w:type="dxa"/>
            <w:vAlign w:val="bottom"/>
          </w:tcPr>
          <w:p>
            <w:pPr>
              <w:ind w:left="660"/>
              <w:spacing w:after="0"/>
              <w:rPr>
                <w:sz w:val="20"/>
                <w:szCs w:val="20"/>
                <w:color w:val="auto"/>
              </w:rPr>
            </w:pPr>
            <w:r>
              <w:rPr>
                <w:rFonts w:ascii="Arial" w:cs="Arial" w:eastAsia="Arial" w:hAnsi="Arial"/>
                <w:sz w:val="17"/>
                <w:szCs w:val="17"/>
                <w:color w:val="auto"/>
              </w:rPr>
              <w:t>New York Mercantile Exchange.</w:t>
            </w:r>
          </w:p>
        </w:tc>
      </w:tr>
      <w:tr>
        <w:trPr>
          <w:trHeight w:val="23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OPEC</w:t>
            </w:r>
          </w:p>
        </w:tc>
        <w:tc>
          <w:tcPr>
            <w:tcW w:w="91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Organization of the Petroleum Exporting Countries.</w:t>
            </w:r>
          </w:p>
        </w:tc>
      </w:tr>
      <w:tr>
        <w:trPr>
          <w:trHeight w:val="171"/>
        </w:trPr>
        <w:tc>
          <w:tcPr>
            <w:tcW w:w="2060" w:type="dxa"/>
            <w:vAlign w:val="bottom"/>
          </w:tcPr>
          <w:p>
            <w:pPr>
              <w:ind w:left="20"/>
              <w:spacing w:after="0" w:line="172" w:lineRule="exact"/>
              <w:rPr>
                <w:sz w:val="20"/>
                <w:szCs w:val="20"/>
                <w:color w:val="auto"/>
              </w:rPr>
            </w:pPr>
            <w:r>
              <w:rPr>
                <w:rFonts w:ascii="Arial" w:cs="Arial" w:eastAsia="Arial" w:hAnsi="Arial"/>
                <w:sz w:val="17"/>
                <w:szCs w:val="17"/>
                <w:color w:val="auto"/>
              </w:rPr>
              <w:t>Operating Company</w:t>
            </w:r>
          </w:p>
        </w:tc>
        <w:tc>
          <w:tcPr>
            <w:tcW w:w="9160" w:type="dxa"/>
            <w:vAlign w:val="bottom"/>
          </w:tcPr>
          <w:p>
            <w:pPr>
              <w:ind w:left="660"/>
              <w:spacing w:after="0" w:line="172" w:lineRule="exact"/>
              <w:rPr>
                <w:sz w:val="20"/>
                <w:szCs w:val="20"/>
                <w:color w:val="auto"/>
              </w:rPr>
            </w:pPr>
            <w:r>
              <w:rPr>
                <w:rFonts w:ascii="Arial" w:cs="Arial" w:eastAsia="Arial" w:hAnsi="Arial"/>
                <w:sz w:val="17"/>
                <w:szCs w:val="17"/>
                <w:color w:val="auto"/>
                <w:w w:val="94"/>
              </w:rPr>
              <w:t>Viper Energy Partners LLC, a Delaware limited liability company and a consolidated subsidiary of Viper Energy Partners</w:t>
            </w:r>
          </w:p>
        </w:tc>
      </w:tr>
      <w:tr>
        <w:trPr>
          <w:trHeight w:val="218"/>
        </w:trPr>
        <w:tc>
          <w:tcPr>
            <w:tcW w:w="2060" w:type="dxa"/>
            <w:vAlign w:val="bottom"/>
          </w:tcPr>
          <w:p>
            <w:pPr>
              <w:spacing w:after="0"/>
              <w:rPr>
                <w:sz w:val="18"/>
                <w:szCs w:val="18"/>
                <w:color w:val="auto"/>
              </w:rPr>
            </w:pPr>
          </w:p>
        </w:tc>
        <w:tc>
          <w:tcPr>
            <w:tcW w:w="9160" w:type="dxa"/>
            <w:vAlign w:val="bottom"/>
          </w:tcPr>
          <w:p>
            <w:pPr>
              <w:ind w:left="660"/>
              <w:spacing w:after="0"/>
              <w:rPr>
                <w:sz w:val="20"/>
                <w:szCs w:val="20"/>
                <w:color w:val="auto"/>
              </w:rPr>
            </w:pPr>
            <w:r>
              <w:rPr>
                <w:rFonts w:ascii="Arial" w:cs="Arial" w:eastAsia="Arial" w:hAnsi="Arial"/>
                <w:sz w:val="17"/>
                <w:szCs w:val="17"/>
                <w:color w:val="auto"/>
              </w:rPr>
              <w:t>LP.</w:t>
            </w:r>
          </w:p>
        </w:tc>
      </w:tr>
      <w:tr>
        <w:trPr>
          <w:trHeight w:val="231"/>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w:t>
            </w:r>
          </w:p>
        </w:tc>
        <w:tc>
          <w:tcPr>
            <w:tcW w:w="91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United States Securities and Exchange Commission.</w:t>
            </w:r>
          </w:p>
        </w:tc>
      </w:tr>
      <w:tr>
        <w:trPr>
          <w:trHeight w:val="223"/>
        </w:trPr>
        <w:tc>
          <w:tcPr>
            <w:tcW w:w="2060" w:type="dxa"/>
            <w:vAlign w:val="bottom"/>
          </w:tcPr>
          <w:p>
            <w:pPr>
              <w:ind w:left="20"/>
              <w:spacing w:after="0"/>
              <w:rPr>
                <w:sz w:val="20"/>
                <w:szCs w:val="20"/>
                <w:color w:val="auto"/>
              </w:rPr>
            </w:pPr>
            <w:r>
              <w:rPr>
                <w:rFonts w:ascii="Arial" w:cs="Arial" w:eastAsia="Arial" w:hAnsi="Arial"/>
                <w:sz w:val="17"/>
                <w:szCs w:val="17"/>
                <w:color w:val="auto"/>
              </w:rPr>
              <w:t>SOFR</w:t>
            </w:r>
          </w:p>
        </w:tc>
        <w:tc>
          <w:tcPr>
            <w:tcW w:w="9160" w:type="dxa"/>
            <w:vAlign w:val="bottom"/>
          </w:tcPr>
          <w:p>
            <w:pPr>
              <w:ind w:left="660"/>
              <w:spacing w:after="0"/>
              <w:rPr>
                <w:sz w:val="20"/>
                <w:szCs w:val="20"/>
                <w:color w:val="auto"/>
              </w:rPr>
            </w:pPr>
            <w:r>
              <w:rPr>
                <w:rFonts w:ascii="Arial" w:cs="Arial" w:eastAsia="Arial" w:hAnsi="Arial"/>
                <w:sz w:val="17"/>
                <w:szCs w:val="17"/>
                <w:color w:val="auto"/>
              </w:rPr>
              <w:t>The secured overnight financing rate.</w:t>
            </w:r>
          </w:p>
        </w:tc>
      </w:tr>
      <w:tr>
        <w:trPr>
          <w:trHeight w:val="230"/>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91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The 5.375% Senior Notes due 2027 issued on October 16,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33" w:lineRule="exact"/>
        <w:rPr>
          <w:sz w:val="20"/>
          <w:szCs w:val="20"/>
          <w:color w:val="auto"/>
        </w:rPr>
      </w:pPr>
    </w:p>
    <w:p>
      <w:pPr>
        <w:jc w:val="both"/>
        <w:ind w:firstLine="648"/>
        <w:spacing w:after="0" w:line="250" w:lineRule="auto"/>
        <w:rPr>
          <w:rFonts w:ascii="Arial" w:cs="Arial" w:eastAsia="Arial" w:hAnsi="Arial"/>
          <w:sz w:val="17"/>
          <w:szCs w:val="17"/>
          <w:color w:val="0000FF"/>
        </w:rPr>
      </w:pPr>
      <w:r>
        <w:rPr>
          <w:rFonts w:ascii="Arial" w:cs="Arial" w:eastAsia="Arial" w:hAnsi="Arial"/>
          <w:sz w:val="17"/>
          <w:szCs w:val="17"/>
          <w:color w:val="auto"/>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our intent to convert into a corporate structure and expectations regarding the timing of such conversion, potential inclusion into certain indices and benchmarks, trading liquidity, tax treatment for our public unitholders post-conversion and related statements; anticipated benefits other of strategic transactions (including acquisitions and divestitures); and plans and objectives of management (including Diamondback’s plans for developing our acreage and our cash distribution policy and repurchases of our common units and/or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In particular, the factors discussed in this report and detailed under </w:t>
      </w:r>
      <w:r>
        <w:rPr>
          <w:rFonts w:ascii="Arial" w:cs="Arial" w:eastAsia="Arial" w:hAnsi="Arial"/>
          <w:sz w:val="17"/>
          <w:szCs w:val="17"/>
          <w:u w:val="single" w:color="auto"/>
          <w:color w:val="0000FF"/>
        </w:rPr>
        <w:t>Part II. Item 1A.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Risk Factors</w:t>
      </w:r>
      <w:r>
        <w:rPr>
          <w:rFonts w:ascii="Arial" w:cs="Arial" w:eastAsia="Arial" w:hAnsi="Arial"/>
          <w:sz w:val="17"/>
          <w:szCs w:val="17"/>
          <w:color w:val="000000"/>
        </w:rPr>
        <w:t>, and our</w:t>
      </w:r>
      <w:r>
        <w:rPr>
          <w:rFonts w:ascii="Arial" w:cs="Arial" w:eastAsia="Arial" w:hAnsi="Arial"/>
          <w:sz w:val="17"/>
          <w:szCs w:val="17"/>
          <w:color w:val="0000FF"/>
        </w:rPr>
        <w:t xml:space="preserve"> </w:t>
      </w:r>
      <w:hyperlink r:id="rId16">
        <w:r>
          <w:rPr>
            <w:rFonts w:ascii="Arial" w:cs="Arial" w:eastAsia="Arial" w:hAnsi="Arial"/>
            <w:sz w:val="17"/>
            <w:szCs w:val="17"/>
            <w:u w:val="single" w:color="auto"/>
            <w:color w:val="0000FF"/>
          </w:rPr>
          <w:t xml:space="preserve">Annual Report on Form 10-K </w:t>
        </w:r>
      </w:hyperlink>
      <w:r>
        <w:rPr>
          <w:rFonts w:ascii="Arial" w:cs="Arial" w:eastAsia="Arial" w:hAnsi="Arial"/>
          <w:sz w:val="17"/>
          <w:szCs w:val="17"/>
          <w:color w:val="000000"/>
        </w:rPr>
        <w:t>for</w:t>
      </w:r>
      <w:r>
        <w:rPr>
          <w:rFonts w:ascii="Arial" w:cs="Arial" w:eastAsia="Arial" w:hAnsi="Arial"/>
          <w:sz w:val="17"/>
          <w:szCs w:val="17"/>
          <w:color w:val="0000FF"/>
        </w:rPr>
        <w:t xml:space="preserve"> </w:t>
      </w:r>
      <w:r>
        <w:rPr>
          <w:rFonts w:ascii="Arial" w:cs="Arial" w:eastAsia="Arial" w:hAnsi="Arial"/>
          <w:sz w:val="17"/>
          <w:szCs w:val="17"/>
          <w:color w:val="000000"/>
        </w:rPr>
        <w:t>the year ended December 31, 2022, could affect our actual results and cause our actual results to</w:t>
      </w:r>
      <w:r>
        <w:rPr>
          <w:rFonts w:ascii="Arial" w:cs="Arial" w:eastAsia="Arial" w:hAnsi="Arial"/>
          <w:sz w:val="17"/>
          <w:szCs w:val="17"/>
          <w:color w:val="0000FF"/>
        </w:rPr>
        <w:t xml:space="preserve"> </w:t>
      </w:r>
      <w:r>
        <w:rPr>
          <w:rFonts w:ascii="Arial" w:cs="Arial" w:eastAsia="Arial" w:hAnsi="Arial"/>
          <w:sz w:val="17"/>
          <w:szCs w:val="17"/>
          <w:color w:val="000000"/>
        </w:rPr>
        <w:t>differ materially from expectations, estimates or assumptions expressed, forecasted or implied in such forward-looking statements. Unless the context requires otherwise, references to “we,” “us,” “our” or “the Partnership” are intended to mean the business and operations of the Partnership and the Operating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could cause the outcomes to differ materially include (but are not limited to) the following:</w:t>
      </w:r>
    </w:p>
    <w:p>
      <w:pPr>
        <w:spacing w:after="0" w:line="239" w:lineRule="exact"/>
        <w:rPr>
          <w:sz w:val="20"/>
          <w:szCs w:val="20"/>
          <w:color w:val="auto"/>
        </w:rPr>
      </w:pPr>
    </w:p>
    <w:p>
      <w:pPr>
        <w:ind w:left="1220" w:hanging="321"/>
        <w:spacing w:after="0" w:line="261"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spacing w:after="0" w:line="49"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public health crises, including epidemic or pandemic diseases and any related company or government policies or actions;</w:t>
      </w:r>
    </w:p>
    <w:p>
      <w:pPr>
        <w:spacing w:after="0" w:line="126" w:lineRule="exact"/>
        <w:rPr>
          <w:rFonts w:ascii="Arial" w:cs="Arial" w:eastAsia="Arial" w:hAnsi="Arial"/>
          <w:sz w:val="16"/>
          <w:szCs w:val="16"/>
          <w:color w:val="auto"/>
        </w:rPr>
      </w:pPr>
    </w:p>
    <w:p>
      <w:pPr>
        <w:ind w:left="1220" w:hanging="321"/>
        <w:spacing w:after="0" w:line="261"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spacing w:after="0" w:line="49" w:lineRule="exact"/>
        <w:rPr>
          <w:rFonts w:ascii="Arial" w:cs="Arial" w:eastAsia="Arial" w:hAnsi="Arial"/>
          <w:sz w:val="18"/>
          <w:szCs w:val="18"/>
          <w:color w:val="auto"/>
        </w:rPr>
      </w:pPr>
    </w:p>
    <w:p>
      <w:pPr>
        <w:ind w:left="1220" w:hanging="321"/>
        <w:spacing w:after="0" w:line="261"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inflation rates, instability in the financial sector and concerns over a potential economic downturn or recession;</w:t>
      </w:r>
    </w:p>
    <w:p>
      <w:pPr>
        <w:spacing w:after="0" w:line="62" w:lineRule="exact"/>
        <w:rPr>
          <w:rFonts w:ascii="Arial" w:cs="Arial" w:eastAsia="Arial" w:hAnsi="Arial"/>
          <w:sz w:val="18"/>
          <w:szCs w:val="18"/>
          <w:color w:val="auto"/>
        </w:rPr>
      </w:pPr>
    </w:p>
    <w:p>
      <w:pPr>
        <w:ind w:left="1220" w:hanging="321"/>
        <w:spacing w:after="0" w:line="24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75" w:lineRule="exact"/>
        <w:rPr>
          <w:rFonts w:ascii="Arial" w:cs="Arial" w:eastAsia="Arial" w:hAnsi="Arial"/>
          <w:sz w:val="18"/>
          <w:szCs w:val="18"/>
          <w:color w:val="auto"/>
        </w:rPr>
      </w:pPr>
    </w:p>
    <w:p>
      <w:pPr>
        <w:ind w:left="1220" w:right="20" w:hanging="321"/>
        <w:spacing w:after="0" w:line="261"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49"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physical and transition risks relating to climate change;</w:t>
      </w:r>
    </w:p>
    <w:p>
      <w:pPr>
        <w:spacing w:after="0" w:line="103" w:lineRule="exact"/>
        <w:rPr>
          <w:rFonts w:ascii="Arial" w:cs="Arial" w:eastAsia="Arial" w:hAnsi="Arial"/>
          <w:sz w:val="18"/>
          <w:szCs w:val="18"/>
          <w:color w:val="auto"/>
        </w:rPr>
      </w:pPr>
    </w:p>
    <w:p>
      <w:pPr>
        <w:ind w:left="1220" w:hanging="321"/>
        <w:spacing w:after="0" w:line="307" w:lineRule="auto"/>
        <w:tabs>
          <w:tab w:leader="none" w:pos="1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28" w:lineRule="exact"/>
        <w:rPr>
          <w:rFonts w:ascii="Arial" w:cs="Arial" w:eastAsia="Arial" w:hAnsi="Arial"/>
          <w:sz w:val="16"/>
          <w:szCs w:val="16"/>
          <w:color w:val="auto"/>
        </w:rPr>
      </w:pPr>
    </w:p>
    <w:p>
      <w:pPr>
        <w:ind w:left="1220" w:hanging="321"/>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declines in prices for oil, natural gas, or natural gas liquids, which could require recognition of significant impairment charges;</w:t>
      </w:r>
    </w:p>
    <w:p>
      <w:pPr>
        <w:spacing w:after="0" w:line="126" w:lineRule="exact"/>
        <w:rPr>
          <w:rFonts w:ascii="Arial" w:cs="Arial" w:eastAsia="Arial" w:hAnsi="Arial"/>
          <w:sz w:val="16"/>
          <w:szCs w:val="16"/>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90" w:lineRule="exact"/>
        <w:rPr>
          <w:rFonts w:ascii="Arial" w:cs="Arial" w:eastAsia="Arial" w:hAnsi="Arial"/>
          <w:sz w:val="18"/>
          <w:szCs w:val="18"/>
          <w:color w:val="auto"/>
        </w:rPr>
      </w:pPr>
    </w:p>
    <w:p>
      <w:pPr>
        <w:ind w:left="1220" w:right="20" w:hanging="321"/>
        <w:spacing w:after="0" w:line="291" w:lineRule="auto"/>
        <w:tabs>
          <w:tab w:leader="none" w:pos="1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conditions in the capital, financial and credit markets, including the availability and pricing of capital for drilling and development by our operators and environmental and social responsibility projects undertaken by Diamondback and our other operators;</w:t>
      </w:r>
    </w:p>
    <w:p>
      <w:pPr>
        <w:spacing w:after="0" w:line="38" w:lineRule="exact"/>
        <w:rPr>
          <w:rFonts w:ascii="Arial" w:cs="Arial" w:eastAsia="Arial" w:hAnsi="Arial"/>
          <w:sz w:val="17"/>
          <w:szCs w:val="17"/>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availability or cost of rigs, equipment, raw materials, supplies and oilfield services impacting our operators;</w:t>
      </w:r>
    </w:p>
    <w:p>
      <w:pPr>
        <w:spacing w:after="0" w:line="90" w:lineRule="exact"/>
        <w:rPr>
          <w:rFonts w:ascii="Arial" w:cs="Arial" w:eastAsia="Arial" w:hAnsi="Arial"/>
          <w:sz w:val="18"/>
          <w:szCs w:val="18"/>
          <w:color w:val="auto"/>
        </w:rPr>
      </w:pPr>
    </w:p>
    <w:p>
      <w:pPr>
        <w:ind w:left="1220" w:hanging="321"/>
        <w:spacing w:after="0" w:line="261"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impacting us or our operators (including those addressing air emissions, water management, or the impact of global climate change);</w:t>
      </w:r>
    </w:p>
    <w:p>
      <w:pPr>
        <w:spacing w:after="0" w:line="62" w:lineRule="exact"/>
        <w:rPr>
          <w:rFonts w:ascii="Arial" w:cs="Arial" w:eastAsia="Arial" w:hAnsi="Arial"/>
          <w:sz w:val="18"/>
          <w:szCs w:val="18"/>
          <w:color w:val="auto"/>
        </w:rPr>
      </w:pPr>
    </w:p>
    <w:p>
      <w:pPr>
        <w:ind w:left="1220" w:hanging="321"/>
        <w:spacing w:after="0" w:line="274" w:lineRule="auto"/>
        <w:tabs>
          <w:tab w:leader="none" w:pos="1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threats, including cybersecurity threats and disruptions to our business from breaches of our information technology systems, or from breaches of information technology systems of our operators or third parties with whom we transact business;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hanging="321"/>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lack of, or disruption in, access to adequate and reliable transportation, processing, storage, and other facilities impacting our operators;</w:t>
      </w:r>
    </w:p>
    <w:p>
      <w:pPr>
        <w:spacing w:after="0" w:line="126" w:lineRule="exact"/>
        <w:rPr>
          <w:rFonts w:ascii="Arial" w:cs="Arial" w:eastAsia="Arial" w:hAnsi="Arial"/>
          <w:sz w:val="16"/>
          <w:szCs w:val="16"/>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90"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103"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the credit agreement and hedging contracts of our operating subsidiary;</w:t>
      </w:r>
    </w:p>
    <w:p>
      <w:pPr>
        <w:spacing w:after="0" w:line="103"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90"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disclosed in this report.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360" w:type="dxa"/>
            <w:vAlign w:val="bottom"/>
          </w:tcPr>
          <w:p>
            <w:pPr>
              <w:jc w:val="right"/>
              <w:ind w:right="235"/>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9"/>
        </w:trPr>
        <w:tc>
          <w:tcPr>
            <w:tcW w:w="7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4"/>
          </w:tcPr>
          <w:p>
            <w:pPr>
              <w:jc w:val="right"/>
              <w:ind w:right="315"/>
              <w:spacing w:after="0"/>
              <w:rPr>
                <w:sz w:val="20"/>
                <w:szCs w:val="20"/>
                <w:color w:val="auto"/>
              </w:rPr>
            </w:pPr>
            <w:r>
              <w:rPr>
                <w:rFonts w:ascii="Arial" w:cs="Arial" w:eastAsia="Arial" w:hAnsi="Arial"/>
                <w:sz w:val="16"/>
                <w:szCs w:val="16"/>
                <w:b w:val="1"/>
                <w:bCs w:val="1"/>
                <w:color w:val="auto"/>
                <w:w w:val="96"/>
              </w:rPr>
              <w:t>(In thousands, except unit amounts)</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378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18,179</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7"/>
                <w:szCs w:val="17"/>
                <w:color w:val="auto"/>
              </w:rPr>
              <w:t>Royalty income receivable (net of allowance for credit losses)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103,804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81,657</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Royalty income receivable—related party</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6,260</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7"/>
                <w:szCs w:val="17"/>
                <w:color w:val="auto"/>
              </w:rPr>
              <w:t>Derivative instruments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9,328</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3,196</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262,130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118,620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360"/>
              <w:spacing w:after="0" w:line="162" w:lineRule="exact"/>
              <w:rPr>
                <w:sz w:val="20"/>
                <w:szCs w:val="20"/>
                <w:color w:val="auto"/>
              </w:rPr>
            </w:pPr>
            <w:r>
              <w:rPr>
                <w:rFonts w:ascii="Arial" w:cs="Arial" w:eastAsia="Arial" w:hAnsi="Arial"/>
                <w:sz w:val="17"/>
                <w:szCs w:val="17"/>
                <w:color w:val="auto"/>
                <w:w w:val="97"/>
              </w:rPr>
              <w:t>Oil and natural gas interests, full cost method of accounting ($1,151,711 and $1,297,221 excluded from</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3,592,768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3,464,819</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7"/>
                <w:szCs w:val="17"/>
                <w:color w:val="auto"/>
              </w:rPr>
              <w:t>depletion at September 30, 2023 and December 31, 2022, respectively)</w:t>
            </w: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Land</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Accumulated depletion and impairment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(821,565)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(720,234)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Property,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2,776,891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2,750,273</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Funds held in escrow</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Deferred income taxes (net of allowances)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48,768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49,656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0" w:type="dxa"/>
            <w:vAlign w:val="bottom"/>
          </w:tcPr>
          <w:p>
            <w:pPr>
              <w:spacing w:after="0"/>
              <w:rPr>
                <w:sz w:val="1"/>
                <w:szCs w:val="1"/>
                <w:color w:val="auto"/>
              </w:rPr>
            </w:pPr>
          </w:p>
        </w:tc>
      </w:tr>
      <w:tr>
        <w:trPr>
          <w:trHeight w:val="230"/>
        </w:trPr>
        <w:tc>
          <w:tcPr>
            <w:tcW w:w="7980" w:type="dxa"/>
            <w:vAlign w:val="bottom"/>
          </w:tcPr>
          <w:p>
            <w:pPr>
              <w:ind w:left="68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3,143,366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2,920,373</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80" w:type="dxa"/>
            <w:vAlign w:val="bottom"/>
            <w:shd w:val="clear" w:color="auto" w:fill="CCEEFF"/>
          </w:tcPr>
          <w:p>
            <w:pPr>
              <w:ind w:left="2780"/>
              <w:spacing w:after="0"/>
              <w:rPr>
                <w:sz w:val="20"/>
                <w:szCs w:val="20"/>
                <w:color w:val="auto"/>
              </w:rPr>
            </w:pPr>
            <w:r>
              <w:rPr>
                <w:rFonts w:ascii="Arial" w:cs="Arial" w:eastAsia="Arial" w:hAnsi="Arial"/>
                <w:sz w:val="16"/>
                <w:szCs w:val="16"/>
                <w:b w:val="1"/>
                <w:bCs w:val="1"/>
                <w:color w:val="auto"/>
              </w:rPr>
              <w:t>Liabilities and Unitholders’ Equity</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7"/>
                <w:szCs w:val="17"/>
                <w:color w:val="auto"/>
              </w:rPr>
              <w:t>Accounts payable—related party</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Accrued liabilities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19,600</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7"/>
                <w:szCs w:val="17"/>
                <w:color w:val="auto"/>
              </w:rPr>
              <w:t>Derivative instruments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9,284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taxes payable</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16"/>
        </w:trPr>
        <w:tc>
          <w:tcPr>
            <w:tcW w:w="7980" w:type="dxa"/>
            <w:vAlign w:val="bottom"/>
          </w:tcPr>
          <w:p>
            <w:pPr>
              <w:ind w:left="680"/>
              <w:spacing w:after="0"/>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47,491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21,946</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net</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675,681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576,895</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Derivative instruments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724,791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598,848</w:t>
            </w:r>
          </w:p>
        </w:tc>
        <w:tc>
          <w:tcPr>
            <w:tcW w:w="0" w:type="dxa"/>
            <w:vAlign w:val="bottom"/>
          </w:tcPr>
          <w:p>
            <w:pPr>
              <w:spacing w:after="0"/>
              <w:rPr>
                <w:sz w:val="1"/>
                <w:szCs w:val="1"/>
                <w:color w:val="auto"/>
              </w:rPr>
            </w:pPr>
          </w:p>
        </w:tc>
      </w:tr>
      <w:tr>
        <w:trPr>
          <w:trHeight w:val="203"/>
        </w:trPr>
        <w:tc>
          <w:tcPr>
            <w:tcW w:w="7980" w:type="dxa"/>
            <w:vAlign w:val="bottom"/>
          </w:tcPr>
          <w:p>
            <w:pPr>
              <w:ind w:left="20"/>
              <w:spacing w:after="0"/>
              <w:rPr>
                <w:sz w:val="20"/>
                <w:szCs w:val="20"/>
                <w:color w:val="auto"/>
              </w:rPr>
            </w:pPr>
            <w:r>
              <w:rPr>
                <w:rFonts w:ascii="Arial" w:cs="Arial" w:eastAsia="Arial" w:hAnsi="Arial"/>
                <w:sz w:val="17"/>
                <w:szCs w:val="17"/>
                <w:color w:val="auto"/>
              </w:rPr>
              <w:t>Commitments and contingencies (Note 12)</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Unitholders’ equity:</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7"/>
                <w:szCs w:val="17"/>
                <w:color w:val="auto"/>
              </w:rPr>
              <w:t>General Partner</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169"/>
        </w:trPr>
        <w:tc>
          <w:tcPr>
            <w:tcW w:w="7980" w:type="dxa"/>
            <w:vAlign w:val="bottom"/>
            <w:shd w:val="clear" w:color="auto" w:fill="CCEEFF"/>
          </w:tcPr>
          <w:p>
            <w:pPr>
              <w:ind w:left="360"/>
              <w:spacing w:after="0" w:line="169" w:lineRule="exact"/>
              <w:rPr>
                <w:sz w:val="20"/>
                <w:szCs w:val="20"/>
                <w:color w:val="auto"/>
              </w:rPr>
            </w:pPr>
            <w:r>
              <w:rPr>
                <w:rFonts w:ascii="Arial" w:cs="Arial" w:eastAsia="Arial" w:hAnsi="Arial"/>
                <w:sz w:val="17"/>
                <w:szCs w:val="17"/>
                <w:color w:val="auto"/>
                <w:w w:val="90"/>
              </w:rPr>
              <w:t>Common units (70,861,557 units issued and outstanding as of September 30, 2023 and 73,229,645 units issued</w:t>
            </w: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712,728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689,178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and outstanding as of December 31, 2022)</w:t>
            </w:r>
          </w:p>
        </w:tc>
        <w:tc>
          <w:tcPr>
            <w:tcW w:w="2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w w:val="94"/>
              </w:rPr>
              <w:t>Class B units (90,709,946 units issued and outstanding as of September 30, 2023 and December 31, 2022)</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Viper Energy Partners LP unitholders’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714,074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690,659</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1,704,501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1,630,866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2,418,575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2,321,525</w:t>
            </w:r>
          </w:p>
        </w:tc>
        <w:tc>
          <w:tcPr>
            <w:tcW w:w="0" w:type="dxa"/>
            <w:vAlign w:val="bottom"/>
          </w:tcPr>
          <w:p>
            <w:pPr>
              <w:spacing w:after="0"/>
              <w:rPr>
                <w:sz w:val="1"/>
                <w:szCs w:val="1"/>
                <w:color w:val="auto"/>
              </w:rPr>
            </w:pPr>
          </w:p>
        </w:tc>
      </w:tr>
      <w:tr>
        <w:trPr>
          <w:trHeight w:val="230"/>
        </w:trPr>
        <w:tc>
          <w:tcPr>
            <w:tcW w:w="7980" w:type="dxa"/>
            <w:vAlign w:val="bottom"/>
          </w:tcPr>
          <w:p>
            <w:pPr>
              <w:ind w:left="680"/>
              <w:spacing w:after="0"/>
              <w:rPr>
                <w:sz w:val="20"/>
                <w:szCs w:val="20"/>
                <w:color w:val="auto"/>
              </w:rPr>
            </w:pPr>
            <w:r>
              <w:rPr>
                <w:rFonts w:ascii="Arial" w:cs="Arial" w:eastAsia="Arial" w:hAnsi="Arial"/>
                <w:sz w:val="17"/>
                <w:szCs w:val="17"/>
                <w:color w:val="auto"/>
              </w:rPr>
              <w:t>Total liabilities and unitholders’ equity</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3,143,366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2,920,373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2022</w:t>
            </w:r>
          </w:p>
        </w:tc>
      </w:tr>
      <w:tr>
        <w:trPr>
          <w:trHeight w:val="210"/>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6"/>
          </w:tcPr>
          <w:p>
            <w:pPr>
              <w:spacing w:after="0"/>
              <w:rPr>
                <w:sz w:val="20"/>
                <w:szCs w:val="20"/>
                <w:color w:val="auto"/>
              </w:rPr>
            </w:pPr>
            <w:r>
              <w:rPr>
                <w:rFonts w:ascii="Arial" w:cs="Arial" w:eastAsia="Arial" w:hAnsi="Arial"/>
                <w:sz w:val="16"/>
                <w:szCs w:val="16"/>
                <w:b w:val="1"/>
                <w:bCs w:val="1"/>
                <w:color w:val="auto"/>
                <w:w w:val="93"/>
              </w:rPr>
              <w:t>(In thousands, except per unit amounts)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Royalty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195,614</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219,909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514,896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651,828</w:t>
            </w: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income—related party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Lease bonus income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3,856</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income</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23"/>
        </w:trPr>
        <w:tc>
          <w:tcPr>
            <w:tcW w:w="5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662,842</w:t>
            </w:r>
          </w:p>
        </w:tc>
      </w:tr>
      <w:tr>
        <w:trPr>
          <w:trHeight w:val="19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45,547</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Depletion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89,833</w:t>
            </w:r>
          </w:p>
        </w:tc>
      </w:tr>
      <w:tr>
        <w:trPr>
          <w:trHeight w:val="229"/>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w:t>
            </w:r>
          </w:p>
        </w:tc>
      </w:tr>
      <w:tr>
        <w:trPr>
          <w:trHeight w:val="223"/>
        </w:trPr>
        <w:tc>
          <w:tcPr>
            <w:tcW w:w="5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141,352</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242,794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477,208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521,490</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(30,158)</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w:t>
            </w:r>
          </w:p>
        </w:tc>
      </w:tr>
      <w:tr>
        <w:trPr>
          <w:trHeight w:val="230"/>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5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(49,324)</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229,092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415,145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472,166</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(37,597)</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207,213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210,102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375,410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509,763</w:t>
            </w: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379,796</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78,599</w:t>
            </w:r>
          </w:p>
        </w:tc>
        <w:tc>
          <w:tcPr>
            <w:tcW w:w="1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129,967</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common limited partner units: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56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common limited partner units outstanding:</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70,925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71,803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76,215</w:t>
            </w: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to Unitholders'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4"/>
            <w:vMerge w:val="restart"/>
          </w:tcPr>
          <w:p>
            <w:pPr>
              <w:ind w:left="260"/>
              <w:spacing w:after="0"/>
              <w:rPr>
                <w:sz w:val="20"/>
                <w:szCs w:val="20"/>
                <w:color w:val="auto"/>
              </w:rPr>
            </w:pPr>
            <w:r>
              <w:rPr>
                <w:rFonts w:ascii="Arial" w:cs="Arial" w:eastAsia="Arial" w:hAnsi="Arial"/>
                <w:sz w:val="16"/>
                <w:szCs w:val="16"/>
                <w:b w:val="1"/>
                <w:bCs w:val="1"/>
                <w:color w:val="auto"/>
              </w:rPr>
              <w:t>Limited Partners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General</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Partner</w:t>
            </w: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00" w:type="dxa"/>
            <w:vAlign w:val="bottom"/>
          </w:tcPr>
          <w:p>
            <w:pPr>
              <w:spacing w:after="0"/>
              <w:rPr>
                <w:sz w:val="20"/>
                <w:szCs w:val="20"/>
                <w:color w:val="auto"/>
              </w:rPr>
            </w:pPr>
          </w:p>
        </w:tc>
        <w:tc>
          <w:tcPr>
            <w:tcW w:w="1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5"/>
              </w:rPr>
              <w:t>Class B</w:t>
            </w: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2"/>
                <w:szCs w:val="22"/>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4"/>
              </w:rPr>
              <w:t>Units</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w w:val="88"/>
              </w:rPr>
              <w:t>(In thousands)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689,178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1,630,866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2,321,525</w:t>
            </w: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restricted 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(35,253)</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(35,253)</w:t>
            </w: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(49,366)</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200" w:type="dxa"/>
            <w:vAlign w:val="bottom"/>
          </w:tcPr>
          <w:p>
            <w:pPr>
              <w:ind w:left="220"/>
              <w:spacing w:after="0" w:line="176" w:lineRule="exact"/>
              <w:rPr>
                <w:sz w:val="20"/>
                <w:szCs w:val="20"/>
                <w:color w:val="auto"/>
              </w:rPr>
            </w:pPr>
            <w:r>
              <w:rPr>
                <w:rFonts w:ascii="Arial" w:cs="Arial" w:eastAsia="Arial" w:hAnsi="Arial"/>
                <w:sz w:val="18"/>
                <w:szCs w:val="18"/>
                <w:color w:val="auto"/>
              </w:rPr>
              <w:t>Change in ownership of consolidated</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11,449</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(33,022)</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(33,022)</w:t>
            </w: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33,967</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88,266</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666,259</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1,624,733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2,292,428</w:t>
            </w: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(23,513)</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(23,513)</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(38,363)</w:t>
            </w: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Change in ownership of consolidated</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200" w:type="dxa"/>
            <w:vAlign w:val="bottom"/>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(24,509)</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(24,509)</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71,207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665,511</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1,619,268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2,286,170</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Vesting of restricted stock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(25,252)</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(25,252)</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Change in ownership of consolidated</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200" w:type="dxa"/>
            <w:vAlign w:val="bottom"/>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(9,650)</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78,599</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207,213</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70,862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712,728</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1,704,501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2,418,575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to Unitholders' 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Limited Partners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General</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Partner</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20" w:type="dxa"/>
            <w:vAlign w:val="bottom"/>
          </w:tcPr>
          <w:p>
            <w:pPr>
              <w:spacing w:after="0"/>
              <w:rPr>
                <w:sz w:val="20"/>
                <w:szCs w:val="20"/>
                <w:color w:val="auto"/>
              </w:rPr>
            </w:pPr>
          </w:p>
        </w:tc>
        <w:tc>
          <w:tcPr>
            <w:tcW w:w="1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Class B</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220" w:type="dxa"/>
            <w:vAlign w:val="bottom"/>
          </w:tcPr>
          <w:p>
            <w:pPr>
              <w:spacing w:after="0"/>
              <w:rPr>
                <w:sz w:val="22"/>
                <w:szCs w:val="22"/>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Units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w w:val="99"/>
              </w:rPr>
              <w:t>(In 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813,161</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1,418,007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2,232,828</w:t>
            </w:r>
          </w:p>
        </w:tc>
        <w:tc>
          <w:tcPr>
            <w:tcW w:w="0" w:type="dxa"/>
            <w:vAlign w:val="bottom"/>
          </w:tcPr>
          <w:p>
            <w:pPr>
              <w:spacing w:after="0"/>
              <w:rPr>
                <w:sz w:val="1"/>
                <w:szCs w:val="1"/>
                <w:color w:val="auto"/>
              </w:rPr>
            </w:pPr>
          </w:p>
        </w:tc>
      </w:tr>
      <w:tr>
        <w:trPr>
          <w:trHeight w:val="229"/>
        </w:trPr>
        <w:tc>
          <w:tcPr>
            <w:tcW w:w="322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Distribution equivalent rights payments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3220" w:type="dxa"/>
            <w:vAlign w:val="bottom"/>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(35,830)</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(35,830)</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w:t>
            </w:r>
          </w:p>
        </w:tc>
        <w:tc>
          <w:tcPr>
            <w:tcW w:w="0" w:type="dxa"/>
            <w:vAlign w:val="bottom"/>
          </w:tcPr>
          <w:p>
            <w:pPr>
              <w:spacing w:after="0"/>
              <w:rPr>
                <w:sz w:val="1"/>
                <w:szCs w:val="1"/>
                <w:color w:val="auto"/>
              </w:rPr>
            </w:pPr>
          </w:p>
        </w:tc>
      </w:tr>
      <w:tr>
        <w:trPr>
          <w:trHeight w:val="230"/>
        </w:trPr>
        <w:tc>
          <w:tcPr>
            <w:tcW w:w="3220" w:type="dxa"/>
            <w:vAlign w:val="bottom"/>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Change in ownership of consolidated</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220" w:type="dxa"/>
            <w:vAlign w:val="bottom"/>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(39,260)</w:t>
            </w:r>
          </w:p>
        </w:tc>
        <w:tc>
          <w:tcPr>
            <w:tcW w:w="1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(39,260)</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128,041</w:t>
            </w:r>
          </w:p>
        </w:tc>
        <w:tc>
          <w:tcPr>
            <w:tcW w:w="0" w:type="dxa"/>
            <w:vAlign w:val="bottom"/>
          </w:tcPr>
          <w:p>
            <w:pPr>
              <w:spacing w:after="0"/>
              <w:rPr>
                <w:sz w:val="1"/>
                <w:szCs w:val="1"/>
                <w:color w:val="auto"/>
              </w:rPr>
            </w:pPr>
          </w:p>
        </w:tc>
      </w:tr>
      <w:tr>
        <w:trPr>
          <w:trHeight w:val="223"/>
        </w:trPr>
        <w:tc>
          <w:tcPr>
            <w:tcW w:w="322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76,966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768,747</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1,472,614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2,242,976</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3220" w:type="dxa"/>
            <w:vAlign w:val="bottom"/>
          </w:tcPr>
          <w:p>
            <w:pPr>
              <w:ind w:left="220"/>
              <w:spacing w:after="0"/>
              <w:rPr>
                <w:sz w:val="20"/>
                <w:szCs w:val="20"/>
                <w:color w:val="auto"/>
              </w:rPr>
            </w:pPr>
            <w:r>
              <w:rPr>
                <w:rFonts w:ascii="Arial" w:cs="Arial" w:eastAsia="Arial" w:hAnsi="Arial"/>
                <w:sz w:val="18"/>
                <w:szCs w:val="18"/>
                <w:color w:val="auto"/>
                <w:w w:val="96"/>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(51,077)</w:t>
            </w:r>
          </w:p>
        </w:tc>
        <w:tc>
          <w:tcPr>
            <w:tcW w:w="0" w:type="dxa"/>
            <w:vAlign w:val="bottom"/>
          </w:tcPr>
          <w:p>
            <w:pPr>
              <w:spacing w:after="0"/>
              <w:rPr>
                <w:sz w:val="1"/>
                <w:szCs w:val="1"/>
                <w:color w:val="auto"/>
              </w:rPr>
            </w:pPr>
          </w:p>
        </w:tc>
      </w:tr>
      <w:tr>
        <w:trPr>
          <w:trHeight w:val="229"/>
        </w:trPr>
        <w:tc>
          <w:tcPr>
            <w:tcW w:w="322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(64,012)</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220" w:type="dxa"/>
            <w:vAlign w:val="bottom"/>
          </w:tcPr>
          <w:p>
            <w:pPr>
              <w:ind w:left="220"/>
              <w:spacing w:after="0" w:line="176" w:lineRule="exact"/>
              <w:rPr>
                <w:sz w:val="20"/>
                <w:szCs w:val="20"/>
                <w:color w:val="auto"/>
              </w:rPr>
            </w:pPr>
            <w:r>
              <w:rPr>
                <w:rFonts w:ascii="Arial" w:cs="Arial" w:eastAsia="Arial" w:hAnsi="Arial"/>
                <w:sz w:val="18"/>
                <w:szCs w:val="18"/>
                <w:color w:val="auto"/>
              </w:rPr>
              <w:t>Change in ownership of consolidated</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2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11,523</w:t>
            </w:r>
          </w:p>
        </w:tc>
        <w:tc>
          <w:tcPr>
            <w:tcW w:w="1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(28,949)</w:t>
            </w:r>
          </w:p>
        </w:tc>
        <w:tc>
          <w:tcPr>
            <w:tcW w:w="0" w:type="dxa"/>
            <w:vAlign w:val="bottom"/>
          </w:tcPr>
          <w:p>
            <w:pPr>
              <w:spacing w:after="0"/>
              <w:rPr>
                <w:sz w:val="1"/>
                <w:szCs w:val="1"/>
                <w:color w:val="auto"/>
              </w:rPr>
            </w:pPr>
          </w:p>
        </w:tc>
      </w:tr>
      <w:tr>
        <w:trPr>
          <w:trHeight w:val="230"/>
        </w:trPr>
        <w:tc>
          <w:tcPr>
            <w:tcW w:w="32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34,022</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171,620</w:t>
            </w:r>
          </w:p>
        </w:tc>
        <w:tc>
          <w:tcPr>
            <w:tcW w:w="0" w:type="dxa"/>
            <w:vAlign w:val="bottom"/>
          </w:tcPr>
          <w:p>
            <w:pPr>
              <w:spacing w:after="0"/>
              <w:rPr>
                <w:sz w:val="1"/>
                <w:szCs w:val="1"/>
                <w:color w:val="auto"/>
              </w:rPr>
            </w:pPr>
          </w:p>
        </w:tc>
      </w:tr>
      <w:tr>
        <w:trPr>
          <w:trHeight w:val="223"/>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733,998</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1,535,192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2,270,760</w:t>
            </w:r>
          </w:p>
        </w:tc>
        <w:tc>
          <w:tcPr>
            <w:tcW w:w="0" w:type="dxa"/>
            <w:vAlign w:val="bottom"/>
          </w:tcPr>
          <w:p>
            <w:pPr>
              <w:spacing w:after="0"/>
              <w:rPr>
                <w:sz w:val="1"/>
                <w:szCs w:val="1"/>
                <w:color w:val="auto"/>
              </w:rPr>
            </w:pPr>
          </w:p>
        </w:tc>
      </w:tr>
      <w:tr>
        <w:trPr>
          <w:trHeight w:val="230"/>
        </w:trPr>
        <w:tc>
          <w:tcPr>
            <w:tcW w:w="322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restricted 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tcPr>
          <w:p>
            <w:pPr>
              <w:ind w:left="220"/>
              <w:spacing w:after="0"/>
              <w:rPr>
                <w:sz w:val="20"/>
                <w:szCs w:val="20"/>
                <w:color w:val="auto"/>
              </w:rPr>
            </w:pPr>
            <w:r>
              <w:rPr>
                <w:rFonts w:ascii="Arial" w:cs="Arial" w:eastAsia="Arial" w:hAnsi="Arial"/>
                <w:sz w:val="18"/>
                <w:szCs w:val="18"/>
                <w:color w:val="auto"/>
                <w:w w:val="96"/>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(59,901)</w:t>
            </w:r>
          </w:p>
        </w:tc>
        <w:tc>
          <w:tcPr>
            <w:tcW w:w="0" w:type="dxa"/>
            <w:vAlign w:val="bottom"/>
          </w:tcPr>
          <w:p>
            <w:pPr>
              <w:spacing w:after="0"/>
              <w:rPr>
                <w:sz w:val="1"/>
                <w:szCs w:val="1"/>
                <w:color w:val="auto"/>
              </w:rPr>
            </w:pPr>
          </w:p>
        </w:tc>
      </w:tr>
      <w:tr>
        <w:trPr>
          <w:trHeight w:val="230"/>
        </w:trPr>
        <w:tc>
          <w:tcPr>
            <w:tcW w:w="322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(79,535)</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220" w:type="dxa"/>
            <w:vAlign w:val="bottom"/>
          </w:tcPr>
          <w:p>
            <w:pPr>
              <w:ind w:left="220"/>
              <w:spacing w:after="0" w:line="176" w:lineRule="exact"/>
              <w:rPr>
                <w:sz w:val="20"/>
                <w:szCs w:val="20"/>
                <w:color w:val="auto"/>
              </w:rPr>
            </w:pPr>
            <w:r>
              <w:rPr>
                <w:rFonts w:ascii="Arial" w:cs="Arial" w:eastAsia="Arial" w:hAnsi="Arial"/>
                <w:sz w:val="18"/>
                <w:szCs w:val="18"/>
                <w:color w:val="auto"/>
              </w:rPr>
              <w:t>Change in ownership of consolidated</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2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20,046</w:t>
            </w:r>
          </w:p>
        </w:tc>
        <w:tc>
          <w:tcPr>
            <w:tcW w:w="1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(50,723)</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(50,723)</w:t>
            </w:r>
          </w:p>
        </w:tc>
        <w:tc>
          <w:tcPr>
            <w:tcW w:w="0" w:type="dxa"/>
            <w:vAlign w:val="bottom"/>
          </w:tcPr>
          <w:p>
            <w:pPr>
              <w:spacing w:after="0"/>
              <w:rPr>
                <w:sz w:val="1"/>
                <w:szCs w:val="1"/>
                <w:color w:val="auto"/>
              </w:rPr>
            </w:pPr>
          </w:p>
        </w:tc>
      </w:tr>
      <w:tr>
        <w:trPr>
          <w:trHeight w:val="230"/>
        </w:trPr>
        <w:tc>
          <w:tcPr>
            <w:tcW w:w="32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79,340</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210,102</w:t>
            </w:r>
          </w:p>
        </w:tc>
        <w:tc>
          <w:tcPr>
            <w:tcW w:w="0" w:type="dxa"/>
            <w:vAlign w:val="bottom"/>
          </w:tcPr>
          <w:p>
            <w:pPr>
              <w:spacing w:after="0"/>
              <w:rPr>
                <w:sz w:val="1"/>
                <w:szCs w:val="1"/>
                <w:color w:val="auto"/>
              </w:rPr>
            </w:pPr>
          </w:p>
        </w:tc>
      </w:tr>
      <w:tr>
        <w:trPr>
          <w:trHeight w:val="248"/>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2,290,913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7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2022</w:t>
            </w:r>
          </w:p>
        </w:tc>
      </w:tr>
      <w:tr>
        <w:trPr>
          <w:trHeight w:val="210"/>
        </w:trPr>
        <w:tc>
          <w:tcPr>
            <w:tcW w:w="7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18"/>
                <w:szCs w:val="18"/>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375,410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509,763</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Provision for (benefit from) deferred income taxes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(49,656)</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Depletion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89,833</w:t>
            </w:r>
          </w:p>
        </w:tc>
      </w:tr>
      <w:tr>
        <w:trPr>
          <w:trHeight w:val="230"/>
        </w:trPr>
        <w:tc>
          <w:tcPr>
            <w:tcW w:w="7820" w:type="dxa"/>
            <w:vAlign w:val="bottom"/>
          </w:tcPr>
          <w:p>
            <w:pPr>
              <w:ind w:left="680"/>
              <w:spacing w:after="0"/>
              <w:rPr>
                <w:sz w:val="20"/>
                <w:szCs w:val="20"/>
                <w:color w:val="auto"/>
              </w:rPr>
            </w:pPr>
            <w:r>
              <w:rPr>
                <w:rFonts w:ascii="Arial" w:cs="Arial" w:eastAsia="Arial" w:hAnsi="Arial"/>
                <w:sz w:val="18"/>
                <w:szCs w:val="18"/>
                <w:color w:val="auto"/>
              </w:rPr>
              <w:t>(Gain) loss on derivative instruments,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19,366</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receipts (payments) on derivatives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(27,292)</w:t>
            </w:r>
          </w:p>
        </w:tc>
      </w:tr>
      <w:tr>
        <w:trPr>
          <w:trHeight w:val="230"/>
        </w:trPr>
        <w:tc>
          <w:tcPr>
            <w:tcW w:w="7820" w:type="dxa"/>
            <w:vAlign w:val="bottom"/>
          </w:tcPr>
          <w:p>
            <w:pPr>
              <w:ind w:left="6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4,372</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Royalty income receivable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(25,647)</w:t>
            </w:r>
          </w:p>
        </w:tc>
      </w:tr>
      <w:tr>
        <w:trPr>
          <w:trHeight w:val="230"/>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Royalty income receivable—related party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3,612</w:t>
            </w:r>
          </w:p>
        </w:tc>
      </w:tr>
      <w:tr>
        <w:trPr>
          <w:trHeight w:val="230"/>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payable—related party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Income tax payable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492,397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513,241</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Acquisitions of oil and natural gas interests—related party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oil and natural gas interests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(38,334)</w:t>
            </w:r>
          </w:p>
        </w:tc>
      </w:tr>
      <w:tr>
        <w:trPr>
          <w:trHeight w:val="230"/>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from sale of oil and natural gas interests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57,945</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(176,749)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19,611</w:t>
            </w:r>
          </w:p>
        </w:tc>
      </w:tr>
      <w:tr>
        <w:trPr>
          <w:trHeight w:val="210"/>
        </w:trPr>
        <w:tc>
          <w:tcPr>
            <w:tcW w:w="78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borrowings under credit facility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229,000</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Repayment on credit facility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(288,000)</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senior notes</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(48,963)</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Repurchased units as part of unit buyback</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(118,932)</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public</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(147,117)</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Distributions to Diamondback</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(127,929)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(186,550)</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(187,013)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(560,684)</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(27,832)</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39,448</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Viper Energy Partners LP (the “Partnership”) is a publicly traded Delaware limited partnership focused on owning and acquiring mineral interests and royalty interests in oil and natural gas properties primarily in the Permian Basin.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2023, Viper Energy Partners GP LLC (the “General Partner”) held a 100% general partner interest in the Partnership and Diamondback Energy, Inc. and its subsidiary, Diamondback E&amp;P LLC (collectively, “Diamondback”) beneficially owned approximately 57% of the Partnership’s total limited partner units outstanding. Diamondback owns and controls the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accompanying condensed consolidated financial statements and related notes thereto were prepared in accordance with GAAP. All material intercompany balances and transactions have been eliminated upon consolidation. We report our operations in one reportable segment.</w:t>
      </w:r>
    </w:p>
    <w:p>
      <w:pPr>
        <w:spacing w:after="0" w:line="173"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These condensed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report should be read in conjunction with the Partnership’s most recent </w:t>
      </w:r>
      <w:hyperlink r:id="rId24">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2022, which contains a summary of the Partnership’s significant accounting policies and other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as of the date of the financial statements.</w:t>
      </w:r>
    </w:p>
    <w:p>
      <w:pPr>
        <w:spacing w:after="0" w:line="21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Making accurate estimates and assumptions is particularly difficult in the oil and natural gas industry given the challenges resulting from volatility in oil and natural gas prices. For instance, the war in Ukraine and the Israel-Hamas war, rising interest rates, global supply chain disruptions, concerns about a potential economic downturn or recession, and measures to combat persistent inflation and instability in the financial sector have contributed to recent pricing and economic volatility. The financial results of companies in the oil and natural gas industry have been and may continue to be impacted materially as a result of changing market conditions. Such circumstances generally increase uncertainty in the Partnership’s accounting estimates, particularly those involving financial forecasts.</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reserves and related present value estimates of future net cash flows therefrom, the carrying value of oil and natural gas interests, estimates of third party operated royalty income related to expected sales volumes and prices, the recoverability of costs of unevaluated properties, the fair value determination of assets and liabilities, including those acquired by the Partnership, fair value estimates of commodity derivatives and estimates of income taxes, including deferred tax valuation allowances.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Royalty Income Receivable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2023 and December 31, 2022, Diamondback, either directly or through its consolidated subsidiaries, owed the Partnership $7.4 million and $6.3 million, respectively, for royalty income received from third parties for the Partnership’s production, which had not yet been remitted to the Partnership.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 Bonus Income</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and nine months ended September 30, 2023 and 2022, Diamondback paid the Partnership $97.2 million, $105.6 million, $0.4 million and $6.7 million, respectively, of lease bonus income primarily related to new leases in the Permian Basin. Lease bonus income for the three and nine months ended September 30, 2023 includes a lease bonus payment of $95.8 million to the Operating Company from a lease agreement with a subsidiary of Diamondback covering certain Permian Basin acreage on terms substantially identical to the Operating Company’s other lease arrangements with Diamondback. This transaction was considered and approved by the conflicts committee of the board of directors of the General Partner. Subsequent to September 30, 2023, we used $95.8 million in lease bonus proceeds to reduce amounts outstanding under the Operating Company’s revolving credit facility.</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See Note 4—</w:t>
      </w:r>
      <w:r>
        <w:rPr>
          <w:rFonts w:ascii="Arial" w:cs="Arial" w:eastAsia="Arial" w:hAnsi="Arial"/>
          <w:sz w:val="18"/>
          <w:szCs w:val="18"/>
          <w:u w:val="single" w:color="auto"/>
          <w:color w:val="0000FF"/>
        </w:rPr>
        <w:t>Acquisitions and Divestitures</w:t>
      </w:r>
      <w:r>
        <w:rPr>
          <w:rFonts w:ascii="Arial" w:cs="Arial" w:eastAsia="Arial" w:hAnsi="Arial"/>
          <w:sz w:val="18"/>
          <w:szCs w:val="18"/>
          <w:color w:val="auto"/>
        </w:rPr>
        <w:t xml:space="preserve"> for significant related party acquisitions of oil and natural gas interests. All other significant related party transactions with Diamondback or its affiliates have been stated on the face of the condensed consolidated financial statements as of September 30, 2023 and for the three and nine months ended September 30, 2023 and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20" w:type="dxa"/>
            <w:vAlign w:val="bottom"/>
          </w:tcPr>
          <w:p>
            <w:pPr>
              <w:jc w:val="right"/>
              <w:ind w:right="213"/>
              <w:spacing w:after="0"/>
              <w:rPr>
                <w:sz w:val="20"/>
                <w:szCs w:val="20"/>
                <w:color w:val="auto"/>
              </w:rPr>
            </w:pPr>
            <w:r>
              <w:rPr>
                <w:rFonts w:ascii="Arial" w:cs="Arial" w:eastAsia="Arial" w:hAnsi="Arial"/>
                <w:sz w:val="16"/>
                <w:szCs w:val="16"/>
                <w:b w:val="1"/>
                <w:bCs w:val="1"/>
                <w:color w:val="auto"/>
                <w:w w:val="96"/>
              </w:rPr>
              <w:t>December 31,</w:t>
            </w:r>
          </w:p>
        </w:tc>
      </w:tr>
      <w:tr>
        <w:trPr>
          <w:trHeight w:val="219"/>
        </w:trPr>
        <w:tc>
          <w:tcPr>
            <w:tcW w:w="8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r>
      <w:tr>
        <w:trPr>
          <w:trHeight w:val="210"/>
        </w:trPr>
        <w:tc>
          <w:tcPr>
            <w:tcW w:w="8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4"/>
          </w:tcPr>
          <w:p>
            <w:pPr>
              <w:jc w:val="right"/>
              <w:ind w:right="99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12,492</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instruments payable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r>
      <w:tr>
        <w:trPr>
          <w:trHeight w:val="248"/>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considers the applicability and impact of all ASUs. There are no recent accounting pronouncements not yet adopted that are expected to have a material effect on the Partnership upon adoption, as applicable.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Partnership’s total royalty income by product type: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09"/>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gridSpan w:val="5"/>
          </w:tcPr>
          <w:p>
            <w:pPr>
              <w:ind w:left="5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443,927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514,180</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Natural gas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67,621</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70,027</w:t>
            </w:r>
          </w:p>
        </w:tc>
      </w:tr>
      <w:tr>
        <w:trPr>
          <w:trHeight w:val="223"/>
        </w:trPr>
        <w:tc>
          <w:tcPr>
            <w:tcW w:w="5640" w:type="dxa"/>
            <w:vAlign w:val="bottom"/>
          </w:tcPr>
          <w:p>
            <w:pPr>
              <w:ind w:left="360"/>
              <w:spacing w:after="0"/>
              <w:rPr>
                <w:sz w:val="20"/>
                <w:szCs w:val="20"/>
                <w:color w:val="auto"/>
              </w:rPr>
            </w:pPr>
            <w:r>
              <w:rPr>
                <w:rFonts w:ascii="Arial" w:cs="Arial" w:eastAsia="Arial" w:hAnsi="Arial"/>
                <w:sz w:val="18"/>
                <w:szCs w:val="18"/>
                <w:color w:val="auto"/>
              </w:rPr>
              <w:t>Total royalty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219,909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514,896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651,828</w:t>
            </w:r>
          </w:p>
        </w:tc>
      </w:tr>
      <w:tr>
        <w:trPr>
          <w:trHeight w:val="21"/>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Activity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Drop Down Transaction</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8, 2023, the Partnership completed the acquisition of certain mineral and royalty interests from subsidiaries of Diamondback for approximately $74.5 million in cash, including customary post-closing adjustments for net title benefits (the ‘‘Drop Down’’). The mineral and royalty interests acquired in the Drop Down represent approximately 660 net royalty acres in Ward County in the Southern Delaware Basin, 100% of which are operated by Diamondback, and have an average net royalty interest of approximately 7.2% and current production of approximately 300 BO/d. The Partnership funded the Drop Down through a combination of cash on hand and borrowings under the Operating Company’s revolving credit facility. The Drop Down was accounted for as a transaction between entities under common control with the properties acquired recorded at Diamondback’s historical carrying value in the Partnership’s condensed consolidated balance sheet. The historical carrying value of the properties approximated the Drop Down purchase price.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 months ended September 30, 2023, the Partnership acquired, in individually insignificant transactions from unrelated third-party sellers, mineral and royalty interests representing 213 net royalty acres in the Permian Basin for an aggregate purchase price of approximately $48.9 million, subject to customary post-closing adjustments. The Partnership funded these acquisitions with cash on hand and borrowings under the Operating Company’s revolving credit facility.</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Upon entering into an agreement for the Acquisition (as further discussed and defined in Note 13—</w:t>
      </w:r>
      <w:r>
        <w:rPr>
          <w:rFonts w:ascii="Arial" w:cs="Arial" w:eastAsia="Arial" w:hAnsi="Arial"/>
          <w:sz w:val="16"/>
          <w:szCs w:val="16"/>
          <w:u w:val="single" w:color="auto"/>
          <w:color w:val="0000FF"/>
        </w:rPr>
        <w:t>Subsequent Events</w:t>
      </w:r>
      <w:r>
        <w:rPr>
          <w:rFonts w:ascii="Arial" w:cs="Arial" w:eastAsia="Arial" w:hAnsi="Arial"/>
          <w:sz w:val="16"/>
          <w:szCs w:val="16"/>
          <w:color w:val="auto"/>
        </w:rPr>
        <w:t>) in September 2023, the Partnership deposited $50.0 million of the purchase price in an escrow account, which is included in the captions “Funds held in escrow” on the condensed consolidated balance sheet and “Acquisitions of oil and natural gas interest” on the condensed consolidated statement of cash flows at September 30,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Activity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2022, in individually insignificant transactions, the Partnership acquired, from unrelated third-party sellers, mineral and royalty interests representing 375 net royalty acres in the Permian Basin for an aggregate net purchase price of approximately $65.8 million, including certain customary post-closing adjustments. The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Partnership funded these acquisitions with cash on hand and borrowings under the Operating Company’s revolving credit facility.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the first quarter of 2022, the Partnership divested 325 net royalty acres of third party operated acreage located entirely in Upton and Reagan counties in the Midland Basin for an aggregate net sales price of $29.3 million, including customary closing adjustments.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third quarter of 2022, the Partnership divested 93 net royalty acres of third party operated acreage located entirely in Loving county in the Delaware Basin for an aggregate net sales price of $29.9 million, including customary closing adjustments.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fourth quarter of 2022, the Partnership divested its entire position in the Eagle Ford Shale consisting of 681 net royalty acres of third party operated acreage for an aggregate net sales price of $53.7 million, including customary closing adjustments.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OIL AND NATURAL GAS INTERESTS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Oil and natural gas interests include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6"/>
                <w:szCs w:val="16"/>
                <w:b w:val="1"/>
                <w:bCs w:val="1"/>
                <w:color w:val="auto"/>
                <w:w w:val="96"/>
              </w:rPr>
              <w:t>December 31,</w:t>
            </w:r>
          </w:p>
        </w:tc>
      </w:tr>
      <w:tr>
        <w:trPr>
          <w:trHeight w:val="219"/>
        </w:trPr>
        <w:tc>
          <w:tcPr>
            <w:tcW w:w="8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r>
      <w:tr>
        <w:trPr>
          <w:trHeight w:val="210"/>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4"/>
          </w:tcPr>
          <w:p>
            <w:pPr>
              <w:jc w:val="right"/>
              <w:ind w:right="992"/>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Subject to depletion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2,441,057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2,167,598</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 subject to depletion</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1,297,221</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Gross oil and natural gas interests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3,592,768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3,464,819</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depletion and impairment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(720,234)</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Oil and natural gas interests,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2,771,203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2,744,585</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Property, net of accumulated depletion and impairment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2,776,891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2,750,273</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2023 and December 31, 2022, the Partnership had mineral and royalty interests representing 27,189 and 26,315 net royalty acres, respectively.</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impairment expense was recorded on the Partnership’s oil and natural gas interests for the three and nine months ended September 30, 2023 and 2022 based on the results of the respective quarterly ceiling tests. In addition to commodity prices, the Partnership’s production rates, levels of proved reserves, transfers of unevaluated properties and other factors will determine its actual ceiling test limitations and impairment analysis in future periods. If the trailing 12-month commodity prices decline as compared to the commodity prices used in prior quarters, the Partnership may have material write-downs in subsequent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40" w:type="dxa"/>
            <w:vAlign w:val="bottom"/>
          </w:tcPr>
          <w:p>
            <w:pPr>
              <w:jc w:val="right"/>
              <w:ind w:right="21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r>
      <w:tr>
        <w:trPr>
          <w:trHeight w:val="210"/>
        </w:trPr>
        <w:tc>
          <w:tcPr>
            <w:tcW w:w="8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4"/>
          </w:tcPr>
          <w:p>
            <w:pPr>
              <w:jc w:val="right"/>
              <w:ind w:right="99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unsecured notes due 2027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430,350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152,000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r>
      <w:tr>
        <w:trPr>
          <w:trHeight w:val="248"/>
        </w:trPr>
        <w:tc>
          <w:tcPr>
            <w:tcW w:w="8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576,895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5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color w:val="auto"/>
        </w:rPr>
        <w:t>On September 22, 2023, the Operating Company entered into an eleventh and separately a twelfth amendment to the existing credit agreement, which among other things, (i) extended the maturity date from June 2, 2025, to September 22, 2028, (ii) maintained the maximum credit amount of $2.0 billion, (iii) increased the borrowing base from $1.0 billion to $1.3 billion upon consummation of the Acquisition (as defined in Note 13—</w:t>
      </w:r>
      <w:r>
        <w:rPr>
          <w:rFonts w:ascii="Arial" w:cs="Arial" w:eastAsia="Arial" w:hAnsi="Arial"/>
          <w:sz w:val="16"/>
          <w:szCs w:val="16"/>
          <w:u w:val="single" w:color="auto"/>
          <w:color w:val="0000FF"/>
        </w:rPr>
        <w:t>Subsequent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Events</w:t>
      </w:r>
      <w:r>
        <w:rPr>
          <w:rFonts w:ascii="Arial" w:cs="Arial" w:eastAsia="Arial" w:hAnsi="Arial"/>
          <w:sz w:val="16"/>
          <w:szCs w:val="16"/>
          <w:color w:val="000000"/>
        </w:rPr>
        <w:t>), (iv) increased the aggregate elected commitment amount from $750.0 million to $850.0 million, and (v) waived the automatic reduction of the</w:t>
      </w:r>
      <w:r>
        <w:rPr>
          <w:rFonts w:ascii="Arial" w:cs="Arial" w:eastAsia="Arial" w:hAnsi="Arial"/>
          <w:sz w:val="16"/>
          <w:szCs w:val="16"/>
          <w:color w:val="0000FF"/>
        </w:rPr>
        <w:t xml:space="preserve"> </w:t>
      </w:r>
      <w:r>
        <w:rPr>
          <w:rFonts w:ascii="Arial" w:cs="Arial" w:eastAsia="Arial" w:hAnsi="Arial"/>
          <w:sz w:val="16"/>
          <w:szCs w:val="16"/>
          <w:color w:val="000000"/>
        </w:rPr>
        <w:t>borrowing base that otherwise would have occurred upon the consummation of the issuance of the 2031 Notes (as defined in Note 13—</w:t>
      </w:r>
      <w:r>
        <w:rPr>
          <w:rFonts w:ascii="Arial" w:cs="Arial" w:eastAsia="Arial" w:hAnsi="Arial"/>
          <w:sz w:val="16"/>
          <w:szCs w:val="16"/>
          <w:u w:val="single" w:color="auto"/>
          <w:color w:val="0000FF"/>
        </w:rPr>
        <w:t>Subsequent</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Events</w:t>
      </w:r>
      <w:r>
        <w:rPr>
          <w:rFonts w:ascii="Arial" w:cs="Arial" w:eastAsia="Arial" w:hAnsi="Arial"/>
          <w:sz w:val="16"/>
          <w:szCs w:val="16"/>
          <w:color w:val="000000"/>
        </w:rPr>
        <w:t>). The borrowing base is scheduled to be redetermined semi-annually in May and November. As of September 30, 2023, the Operating Company had</w:t>
      </w:r>
      <w:r>
        <w:rPr>
          <w:rFonts w:ascii="Arial" w:cs="Arial" w:eastAsia="Arial" w:hAnsi="Arial"/>
          <w:sz w:val="16"/>
          <w:szCs w:val="16"/>
          <w:color w:val="0000FF"/>
        </w:rPr>
        <w:t xml:space="preserve"> </w:t>
      </w:r>
      <w:r>
        <w:rPr>
          <w:rFonts w:ascii="Arial" w:cs="Arial" w:eastAsia="Arial" w:hAnsi="Arial"/>
          <w:sz w:val="16"/>
          <w:szCs w:val="16"/>
          <w:color w:val="000000"/>
        </w:rPr>
        <w:t>$250.0 million of outstanding borrowings and $600.0 million available for future borrowings. During the three and nine months ended September 30, 2023 and 2022, the weighted average interest rates on the Operating Company’s revolving credit facility were 7.58%, 7.37%, 4.75% and 3.53%, respectively.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2023, the Operating Company was in compliance with the financial maintenance covenants under its credit agreement.</w:t>
      </w:r>
    </w:p>
    <w:p>
      <w:pPr>
        <w:spacing w:after="0" w:line="2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UNITHOLDERS’ EQUITY AND DISTRIBUTIONS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Partnership has General Partner and limited partner units. At September 30, 2023, the Partnership had a total of 70,861,557 common units issued and outstanding and 90,709,946 Class B units issued and outstanding, of which 731,500 common units and 90,709,946 Class B units were beneficially owned by Diamondback, representing approximately 57% of the Partnership’s total limited partner units outstanding. At September 30, 2023, Diamondback also beneficially owned 90,709,946 Operating Company units, representing a 56% non-controlling ownership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for further discussion of additional common units issued in the fourth quarter of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board of directors of the Partnership’s General Partner has approved a common unit repurchase program to acquire up to $750.0 million of the Partnership’s outstanding common units, excluding excise tax, over an indefinite period of time. The Partnership intends to purchase common units under the repurchase program opportunistically with funds from cash on hand, free cash flow from operations and potential liquidity events such as the sale of assets. This repurchase program may be suspended from time to time, modified, extended or discontinued by the board of directors of the Partnership’s General Partner at any time. During the three and nine months ended September 30, 2023 and 2022, the Partnership repurchased, excluding excise tax, approximately $9.6 million, $66.5 million, $50.7 million and $118.9 million of common units under the repurchase program, respectively. Repurchases for the nine months ended September 30, 2022 included approximately $37.3 million for the repurchase of 1.5 million common units from a significant unitholder in a privately negotiated transaction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2022. As of September 30, 2023, $462.9 million remains available under the repurchase program, excluding excise tax.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39" w:lineRule="exact"/>
        <w:rPr>
          <w:sz w:val="20"/>
          <w:szCs w:val="20"/>
          <w:color w:val="auto"/>
        </w:rPr>
      </w:pPr>
    </w:p>
    <w:p>
      <w:pPr>
        <w:jc w:val="both"/>
        <w:ind w:firstLine="648"/>
        <w:spacing w:after="0" w:line="251" w:lineRule="auto"/>
        <w:rPr>
          <w:rFonts w:ascii="Arial" w:cs="Arial" w:eastAsia="Arial" w:hAnsi="Arial"/>
          <w:sz w:val="17"/>
          <w:szCs w:val="17"/>
          <w:color w:val="0000FF"/>
        </w:rPr>
      </w:pPr>
      <w:r>
        <w:rPr>
          <w:rFonts w:ascii="Arial" w:cs="Arial" w:eastAsia="Arial" w:hAnsi="Arial"/>
          <w:sz w:val="17"/>
          <w:szCs w:val="17"/>
          <w:color w:val="auto"/>
        </w:rPr>
        <w:t xml:space="preserve">Effective with the Partnership’s distribution payable for the third quarter of 2022, the board of directors of the General Partner approved a distribution policy consisting of a base and variable distribution that takes into account capital returned to unitholders via our common unit repurchase program. The Partnership’s available cash and the available cash of the Operating Company for each quarter is determined by the board of directors of the General Partner following the end of such quarter. The cash available for distribution by the Operating Company, a non-GAAP measure, generally equals the Partnership’s consolidated Adjusted EBITDA for the applicable quarter, less cash needed for income taxes payable, debt service, contractual obligations, fixed charges and reserves for future operating or capital needs that the board of directors of the General Partner deems necessary or appropriate, lease bonus income, distribution equivalent rights payments and preferred distributions, if any. The board approved the exclusion of lease bonus income, net of applicable taxes, effective for the distribution to be paid on November 24, 2023. For a detailed description of the Partnership’s and the </w:t>
      </w:r>
      <w:hyperlink r:id="rId30">
        <w:r>
          <w:rPr>
            <w:rFonts w:ascii="Arial" w:cs="Arial" w:eastAsia="Arial" w:hAnsi="Arial"/>
            <w:sz w:val="17"/>
            <w:szCs w:val="17"/>
            <w:color w:val="auto"/>
          </w:rPr>
          <w:t xml:space="preserve">Operating Company’s distribution policy, see </w:t>
        </w:r>
        <w:r>
          <w:rPr>
            <w:rFonts w:ascii="Arial" w:cs="Arial" w:eastAsia="Arial" w:hAnsi="Arial"/>
            <w:sz w:val="17"/>
            <w:szCs w:val="17"/>
            <w:u w:val="single" w:color="auto"/>
            <w:color w:val="0000FF"/>
          </w:rPr>
          <w:t>Note 7—Unitholders’ Equity and Distributions—Cash Distributions in the Partnership's Annual Report on</w:t>
        </w:r>
      </w:hyperlink>
      <w:r>
        <w:rPr>
          <w:rFonts w:ascii="Arial" w:cs="Arial" w:eastAsia="Arial" w:hAnsi="Arial"/>
          <w:sz w:val="17"/>
          <w:szCs w:val="17"/>
          <w:color w:val="auto"/>
        </w:rPr>
        <w:t xml:space="preserve"> </w:t>
      </w:r>
      <w:hyperlink r:id="rId30">
        <w:r>
          <w:rPr>
            <w:rFonts w:ascii="Arial" w:cs="Arial" w:eastAsia="Arial" w:hAnsi="Arial"/>
            <w:sz w:val="17"/>
            <w:szCs w:val="17"/>
            <w:u w:val="single" w:color="auto"/>
            <w:color w:val="0000FF"/>
          </w:rPr>
          <w:t>Form 10-K</w:t>
        </w:r>
        <w:r>
          <w:rPr>
            <w:rFonts w:ascii="Arial" w:cs="Arial" w:eastAsia="Arial" w:hAnsi="Arial"/>
            <w:sz w:val="17"/>
            <w:szCs w:val="17"/>
            <w:color w:val="0000FF"/>
          </w:rPr>
          <w:t xml:space="preserve"> </w:t>
        </w:r>
        <w:r>
          <w:rPr>
            <w:rFonts w:ascii="Arial" w:cs="Arial" w:eastAsia="Arial" w:hAnsi="Arial"/>
            <w:sz w:val="17"/>
            <w:szCs w:val="17"/>
            <w:color w:val="000000"/>
          </w:rPr>
          <w:t>for the year ended December 31, 2022.</w:t>
        </w:r>
      </w:hyperlink>
    </w:p>
    <w:p>
      <w:pPr>
        <w:spacing w:after="0" w:line="22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The percentage of cash available for distribution pursuant to the distribution policy may change quarterly to enable the Operating Company to retain cash flow to help strengthen the Partnership’s balance sheet while also expanding the return of capital program through the Partnership’s common unit repurchase program. Effective July 25, 2023, the board of directors of the General Partner approved an increase to the Partnership’s annual base distribution to $1.08 per common unit beginning with the distribution paid for the second quarter of 2023. The Partnership is not required to pay distributions to its common unitholders on a quarterly or other basis.</w:t>
      </w:r>
    </w:p>
    <w:p>
      <w:pPr>
        <w:spacing w:after="0" w:line="2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cash distributions approved by the board of directors of the General Partner for the periods presented (in thousands, except for per unit amounts):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Amount per</w:t>
            </w: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Operating</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Distributions to</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Company</w:t>
            </w:r>
          </w:p>
        </w:tc>
        <w:tc>
          <w:tcPr>
            <w:tcW w:w="12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 per</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Unitholder Record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9"/>
              </w:rPr>
              <w:t>Operating</w:t>
            </w:r>
          </w:p>
        </w:tc>
        <w:tc>
          <w:tcPr>
            <w:tcW w:w="10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9"/>
              </w:rPr>
              <w:t>Distributions to</w:t>
            </w: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9"/>
              </w:rPr>
              <w:t>Common</w:t>
            </w:r>
          </w:p>
        </w:tc>
        <w:tc>
          <w:tcPr>
            <w:tcW w:w="18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Declaration Date</w:t>
            </w:r>
          </w:p>
        </w:tc>
        <w:tc>
          <w:tcPr>
            <w:tcW w:w="1720" w:type="dxa"/>
            <w:vAlign w:val="bottom"/>
            <w:gridSpan w:val="2"/>
            <w:vMerge w:val="continue"/>
          </w:tcPr>
          <w:p>
            <w:pPr>
              <w:spacing w:after="0"/>
              <w:rPr>
                <w:sz w:val="13"/>
                <w:szCs w:val="13"/>
                <w:color w:val="auto"/>
              </w:rPr>
            </w:pPr>
          </w:p>
        </w:tc>
        <w:tc>
          <w:tcPr>
            <w:tcW w:w="154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16"/>
        </w:trPr>
        <w:tc>
          <w:tcPr>
            <w:tcW w:w="980" w:type="dxa"/>
            <w:vAlign w:val="bottom"/>
            <w:gridSpan w:val="2"/>
            <w:vMerge w:val="continue"/>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Company Unit</w:t>
            </w: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Diamondback</w:t>
            </w:r>
          </w:p>
        </w:tc>
        <w:tc>
          <w:tcPr>
            <w:tcW w:w="12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Common Unit</w:t>
            </w:r>
          </w:p>
        </w:tc>
        <w:tc>
          <w:tcPr>
            <w:tcW w:w="100" w:type="dxa"/>
            <w:vAlign w:val="bottom"/>
          </w:tcPr>
          <w:p>
            <w:pPr>
              <w:spacing w:after="0"/>
              <w:rPr>
                <w:sz w:val="18"/>
                <w:szCs w:val="18"/>
                <w:color w:val="auto"/>
              </w:rPr>
            </w:pPr>
          </w:p>
        </w:tc>
        <w:tc>
          <w:tcPr>
            <w:tcW w:w="1280" w:type="dxa"/>
            <w:vAlign w:val="bottom"/>
            <w:gridSpan w:val="2"/>
          </w:tcPr>
          <w:p>
            <w:pPr>
              <w:jc w:val="center"/>
              <w:ind w:right="200"/>
              <w:spacing w:after="0" w:line="216" w:lineRule="exact"/>
              <w:rPr>
                <w:sz w:val="20"/>
                <w:szCs w:val="20"/>
                <w:color w:val="auto"/>
              </w:rPr>
            </w:pPr>
            <w:r>
              <w:rPr>
                <w:rFonts w:ascii="Arial" w:cs="Arial" w:eastAsia="Arial" w:hAnsi="Arial"/>
                <w:sz w:val="16"/>
                <w:szCs w:val="16"/>
                <w:b w:val="1"/>
                <w:bCs w:val="1"/>
                <w:color w:val="auto"/>
                <w:w w:val="87"/>
              </w:rPr>
              <w:t>Unitholders</w:t>
            </w:r>
            <w:r>
              <w:rPr>
                <w:rFonts w:ascii="Arial" w:cs="Arial" w:eastAsia="Arial" w:hAnsi="Arial"/>
                <w:sz w:val="20"/>
                <w:szCs w:val="20"/>
                <w:b w:val="1"/>
                <w:bCs w:val="1"/>
                <w:color w:val="auto"/>
                <w:w w:val="87"/>
                <w:vertAlign w:val="superscript"/>
              </w:rPr>
              <w:t>(1)</w:t>
            </w:r>
          </w:p>
        </w:tc>
        <w:tc>
          <w:tcPr>
            <w:tcW w:w="1860" w:type="dxa"/>
            <w:vAlign w:val="bottom"/>
            <w:gridSpan w:val="2"/>
            <w:vMerge w:val="continue"/>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Date</w:t>
            </w: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Q4 2022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15, 2023</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 2023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10, 2023</w:t>
            </w:r>
          </w:p>
        </w:tc>
        <w:tc>
          <w:tcPr>
            <w:tcW w:w="0" w:type="dxa"/>
            <w:vAlign w:val="bottom"/>
          </w:tcPr>
          <w:p>
            <w:pPr>
              <w:spacing w:after="0"/>
              <w:rPr>
                <w:sz w:val="1"/>
                <w:szCs w:val="1"/>
                <w:color w:val="auto"/>
              </w:rPr>
            </w:pPr>
          </w:p>
        </w:tc>
      </w:tr>
      <w:tr>
        <w:trPr>
          <w:trHeight w:val="230"/>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Q1 2023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38,097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23,797</w:t>
            </w:r>
          </w:p>
        </w:tc>
        <w:tc>
          <w:tcPr>
            <w:tcW w:w="100" w:type="dxa"/>
            <w:vAlign w:val="bottom"/>
          </w:tcPr>
          <w:p>
            <w:pPr>
              <w:spacing w:after="0"/>
              <w:rPr>
                <w:sz w:val="19"/>
                <w:szCs w:val="19"/>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April 26, 2023</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May 11, 2023</w:t>
            </w:r>
          </w:p>
        </w:tc>
        <w:tc>
          <w:tcPr>
            <w:tcW w:w="1540" w:type="dxa"/>
            <w:vAlign w:val="bottom"/>
          </w:tcPr>
          <w:p>
            <w:pPr>
              <w:jc w:val="right"/>
              <w:spacing w:after="0"/>
              <w:rPr>
                <w:sz w:val="20"/>
                <w:szCs w:val="20"/>
                <w:color w:val="auto"/>
              </w:rPr>
            </w:pPr>
            <w:r>
              <w:rPr>
                <w:rFonts w:ascii="Arial" w:cs="Arial" w:eastAsia="Arial" w:hAnsi="Arial"/>
                <w:sz w:val="18"/>
                <w:szCs w:val="18"/>
                <w:color w:val="auto"/>
              </w:rPr>
              <w:t>May 18, 2023</w:t>
            </w:r>
          </w:p>
        </w:tc>
        <w:tc>
          <w:tcPr>
            <w:tcW w:w="0" w:type="dxa"/>
            <w:vAlign w:val="bottom"/>
          </w:tcPr>
          <w:p>
            <w:pPr>
              <w:spacing w:after="0"/>
              <w:rPr>
                <w:sz w:val="1"/>
                <w:szCs w:val="1"/>
                <w:color w:val="auto"/>
              </w:rPr>
            </w:pPr>
          </w:p>
        </w:tc>
      </w:tr>
      <w:tr>
        <w:trPr>
          <w:trHeight w:val="230"/>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Q2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25,563</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25, 2023</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August 10, 2023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17, 2023</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77"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amounts paid to Diamondback for the 731,500 common units beneficially owned by Diamondback and distribution equivalent rights payments.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distributions will be made to the common unitholders of record on the applicable record date, generally within 60 days after the end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Non-controlling interest in the accompanying condensed consolidated financial statements represents Diamondback’s ownership in the net assets of the Operating Company. Diamondback’s relative ownership interest in the Operating Company can change due to the Partnership’s public offerings of units, issuance of units for acquisitions, issuance of unit-based compensation, repurchases of common units and distribution equivalent rights paid on the Partnership’s units. These changes in ownership percentage result in adjustments to non-controlling interest and common unitholder equity, tax effected, but do not impact earnings. The following table summarizes the changes in common unitholder equity due to changes in ownership interest during the period: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ind w:left="58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Partnership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143,116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129,967</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ownership of consolidated subsidiaries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45,764</w:t>
            </w:r>
          </w:p>
        </w:tc>
        <w:tc>
          <w:tcPr>
            <w:tcW w:w="0" w:type="dxa"/>
            <w:vAlign w:val="bottom"/>
          </w:tcPr>
          <w:p>
            <w:pPr>
              <w:spacing w:after="0"/>
              <w:rPr>
                <w:sz w:val="1"/>
                <w:szCs w:val="1"/>
                <w:color w:val="auto"/>
              </w:rPr>
            </w:pPr>
          </w:p>
        </w:tc>
      </w:tr>
      <w:tr>
        <w:trPr>
          <w:trHeight w:val="156"/>
        </w:trPr>
        <w:tc>
          <w:tcPr>
            <w:tcW w:w="56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Change from net income (loss) attributable to the Partnership's unitholders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82,068</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99,386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174,783</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175,731</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transfers to non-controlling interest</w:t>
            </w: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EARNINGS PER COMMON UNIT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income (loss) per common unit on the condensed consolidated statements of operations is based on the net income (loss) attributable to the Partnership’s common units for the three and nine months ended September 30, 2023 and 2022. The Partnership’s net income (loss) is allocated wholly to the common units, as the General Partner does not have an economic interest.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and diluted earnings per common unit is calculated using the two-class method. The two class method is an earnings allocation proportional to the respective ownership among holders of common units and participating securities. 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unit is presented in the table below:</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180" w:type="dxa"/>
            <w:vAlign w:val="bottom"/>
          </w:tcPr>
          <w:p>
            <w:pPr>
              <w:spacing w:after="0"/>
              <w:rPr>
                <w:sz w:val="17"/>
                <w:szCs w:val="17"/>
                <w:color w:val="auto"/>
              </w:rPr>
            </w:pPr>
          </w:p>
        </w:tc>
        <w:tc>
          <w:tcPr>
            <w:tcW w:w="2580" w:type="dxa"/>
            <w:vAlign w:val="bottom"/>
            <w:gridSpan w:val="4"/>
          </w:tcPr>
          <w:p>
            <w:pPr>
              <w:jc w:val="right"/>
              <w:ind w:right="156"/>
              <w:spacing w:after="0"/>
              <w:rPr>
                <w:sz w:val="20"/>
                <w:szCs w:val="20"/>
                <w:color w:val="auto"/>
              </w:rPr>
            </w:pPr>
            <w:r>
              <w:rPr>
                <w:rFonts w:ascii="Arial" w:cs="Arial" w:eastAsia="Arial" w:hAnsi="Arial"/>
                <w:sz w:val="15"/>
                <w:szCs w:val="15"/>
                <w:b w:val="1"/>
                <w:bCs w:val="1"/>
                <w:color w:val="auto"/>
                <w:w w:val="94"/>
              </w:rPr>
              <w:t>Nine Months Ended September 30,</w:t>
            </w:r>
          </w:p>
        </w:tc>
        <w:tc>
          <w:tcPr>
            <w:tcW w:w="0" w:type="dxa"/>
            <w:vAlign w:val="bottom"/>
          </w:tcPr>
          <w:p>
            <w:pPr>
              <w:spacing w:after="0"/>
              <w:rPr>
                <w:sz w:val="1"/>
                <w:szCs w:val="1"/>
                <w:color w:val="auto"/>
              </w:rPr>
            </w:pPr>
          </w:p>
        </w:tc>
      </w:tr>
      <w:tr>
        <w:trPr>
          <w:trHeight w:val="198"/>
        </w:trPr>
        <w:tc>
          <w:tcPr>
            <w:tcW w:w="56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6"/>
          </w:tcPr>
          <w:p>
            <w:pPr>
              <w:ind w:left="80"/>
              <w:spacing w:after="0"/>
              <w:rPr>
                <w:sz w:val="20"/>
                <w:szCs w:val="20"/>
                <w:color w:val="auto"/>
              </w:rPr>
            </w:pPr>
            <w:r>
              <w:rPr>
                <w:rFonts w:ascii="Arial" w:cs="Arial" w:eastAsia="Arial" w:hAnsi="Arial"/>
                <w:sz w:val="15"/>
                <w:szCs w:val="15"/>
                <w:b w:val="1"/>
                <w:bCs w:val="1"/>
                <w:color w:val="auto"/>
                <w:w w:val="96"/>
              </w:rPr>
              <w:t>(In thousands, except per unit amounts)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143,116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129,967</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line="229" w:lineRule="exact"/>
              <w:rPr>
                <w:sz w:val="20"/>
                <w:szCs w:val="20"/>
                <w:color w:val="auto"/>
              </w:rPr>
            </w:pPr>
            <w:r>
              <w:rPr>
                <w:rFonts w:ascii="Arial" w:cs="Arial" w:eastAsia="Arial" w:hAnsi="Arial"/>
                <w:sz w:val="17"/>
                <w:szCs w:val="17"/>
                <w:color w:val="auto"/>
                <w:w w:val="91"/>
              </w:rPr>
              <w:t>Less: distributed and undistributed earnings allocated to participating securities</w:t>
            </w:r>
            <w:r>
              <w:rPr>
                <w:rFonts w:ascii="Arial" w:cs="Arial" w:eastAsia="Arial" w:hAnsi="Arial"/>
                <w:sz w:val="22"/>
                <w:szCs w:val="22"/>
                <w:color w:val="auto"/>
                <w:w w:val="91"/>
                <w:vertAlign w:val="superscript"/>
              </w:rPr>
              <w:t>(1)</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common unitholders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129,658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Basic weighted average common units outstanding</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71,803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76,215</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7"/>
                <w:szCs w:val="17"/>
                <w:color w:val="auto"/>
              </w:rPr>
              <w:t>Effect of dilutive securities: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60" w:type="dxa"/>
            <w:vAlign w:val="bottom"/>
            <w:shd w:val="clear" w:color="auto" w:fill="CCEEFF"/>
          </w:tcPr>
          <w:p>
            <w:pPr>
              <w:ind w:left="680"/>
              <w:spacing w:after="0" w:line="237" w:lineRule="exact"/>
              <w:rPr>
                <w:sz w:val="20"/>
                <w:szCs w:val="20"/>
                <w:color w:val="auto"/>
              </w:rPr>
            </w:pPr>
            <w:r>
              <w:rPr>
                <w:rFonts w:ascii="Arial" w:cs="Arial" w:eastAsia="Arial" w:hAnsi="Arial"/>
                <w:sz w:val="17"/>
                <w:szCs w:val="17"/>
                <w:color w:val="auto"/>
              </w:rPr>
              <w:t>Potential common units issuable</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7"/>
                <w:szCs w:val="17"/>
                <w:color w:val="auto"/>
              </w:rPr>
              <w:t>Diluted weighted average common units outstanding</w:t>
            </w: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70,925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74,943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71,803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76,325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common unit, basic</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7"/>
                <w:szCs w:val="17"/>
                <w:color w:val="auto"/>
              </w:rPr>
              <w:t>Net income (loss) per common unit, diluted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1.99</w:t>
            </w:r>
          </w:p>
        </w:tc>
        <w:tc>
          <w:tcPr>
            <w:tcW w:w="12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58" w:lineRule="auto"/>
        <w:tabs>
          <w:tab w:leader="none" w:pos="433" w:val="left"/>
        </w:tabs>
        <w:numPr>
          <w:ilvl w:val="0"/>
          <w:numId w:val="6"/>
        </w:numPr>
        <w:rPr>
          <w:rFonts w:ascii="Arial" w:cs="Arial" w:eastAsia="Arial" w:hAnsi="Arial"/>
          <w:sz w:val="18"/>
          <w:szCs w:val="18"/>
          <w:color w:val="auto"/>
        </w:rPr>
      </w:pPr>
      <w:r>
        <w:rPr>
          <w:rFonts w:ascii="Arial" w:cs="Arial" w:eastAsia="Arial" w:hAnsi="Arial"/>
          <w:sz w:val="18"/>
          <w:szCs w:val="18"/>
          <w:color w:val="auto"/>
        </w:rPr>
        <w:t>Unvested restricted stock units that contain non-forfeitable distribution equivalent rights granted are considered participating securities and therefore are included in the earnings per unit calculation pursuant to the two-class method.</w:t>
      </w:r>
    </w:p>
    <w:p>
      <w:pPr>
        <w:spacing w:after="0" w:line="1" w:lineRule="exact"/>
        <w:rPr>
          <w:rFonts w:ascii="Arial" w:cs="Arial" w:eastAsia="Arial" w:hAnsi="Arial"/>
          <w:sz w:val="18"/>
          <w:szCs w:val="18"/>
          <w:color w:val="auto"/>
        </w:rPr>
      </w:pPr>
    </w:p>
    <w:p>
      <w:pPr>
        <w:ind w:left="340" w:hanging="332"/>
        <w:spacing w:after="0" w:line="260" w:lineRule="auto"/>
        <w:tabs>
          <w:tab w:leader="none" w:pos="43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2023 and 2022, there were no potential common units excluded from the computation of diluted earnings per common unit because their inclusion would have been anti-dilutive.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discussed further in Note 13—</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w:t>
      </w:r>
      <w:r>
        <w:rPr>
          <w:rFonts w:ascii="Arial" w:cs="Arial" w:eastAsia="Arial" w:hAnsi="Arial"/>
          <w:sz w:val="18"/>
          <w:szCs w:val="18"/>
          <w:i w:val="1"/>
          <w:iCs w:val="1"/>
          <w:color w:val="auto"/>
        </w:rPr>
        <w:t>“—Recent Acquisition,”</w:t>
      </w:r>
      <w:r>
        <w:rPr>
          <w:rFonts w:ascii="Arial" w:cs="Arial" w:eastAsia="Arial" w:hAnsi="Arial"/>
          <w:sz w:val="18"/>
          <w:szCs w:val="18"/>
          <w:color w:val="auto"/>
        </w:rPr>
        <w:t xml:space="preserve"> the Partnership issued approximately 7.22 million common units to Diamondback under the common unit purchase agreement and 9.02 million additional common units as consideration for the Acquisition in the fourth quarter of 2023.</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Partnership’s provision for (benefit from) income taxes and the effective income tax rate for the dates indicated: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4"/>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2760" w:type="dxa"/>
            <w:vAlign w:val="bottom"/>
            <w:gridSpan w:val="3"/>
          </w:tcPr>
          <w:p>
            <w:pPr>
              <w:jc w:val="right"/>
              <w:ind w:right="173"/>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r>
      <w:tr>
        <w:trPr>
          <w:trHeight w:val="209"/>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255"/>
              <w:spacing w:after="0"/>
              <w:rPr>
                <w:sz w:val="20"/>
                <w:szCs w:val="20"/>
                <w:color w:val="auto"/>
              </w:rPr>
            </w:pPr>
            <w:r>
              <w:rPr>
                <w:rFonts w:ascii="Arial" w:cs="Arial" w:eastAsia="Arial" w:hAnsi="Arial"/>
                <w:sz w:val="16"/>
                <w:szCs w:val="16"/>
                <w:b w:val="1"/>
                <w:bCs w:val="1"/>
                <w:color w:val="auto"/>
                <w:w w:val="94"/>
              </w:rPr>
              <w:t>(In thousands, except for tax rate)</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2"/>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21,879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(46,409)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39,735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(37,597)</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9.6 %</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3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Partnership’s effective income tax rate for the three and nine months ended September 30, 2023 differed from the amount computed by applying the United States federal statutory tax rate to pre-tax income for the period primarily due to net income attributable to the non-controlling interest. The Partnership’s effective income tax rate for the three and nine months ended September 30, 2022 differed from the amount computed by applying the United States federal statutory tax rate to pre-tax income for the period primarily due to net income attributable to the non-controlling interest and the impact of maintaining a valuation allowance on the Partnership’s deferred tax assets. During the three months ended September 30, 2022, the Partnership recognized a discrete income tax benefit of $49.7 million related to a partial release of its beginning-of-the-year valuation allowance, based on a change in judgment about the realizability of its deferred tax assets in future years.</w:t>
      </w:r>
    </w:p>
    <w:p>
      <w:pPr>
        <w:spacing w:after="0" w:line="22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As of September 30, 2023 and 2022, the Partnership maintained a partial valuation allowance against its deferred tax assets considered not more likely than not to be realized, based on its assessment of all available evidence, both positive and negative as required by applicable accounting standards.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Inflation Reduction Act of 2022 (“IRA”) was enacted on August 16, 2022, and imposed an excise tax of 1% on the fair market value of certain public company stock/unit repurchases for tax years beginning after December 31, 2022, and included several other provisions applicable to U.S. income taxes for corporations. The Partnership’s excise tax during the three and nine months ended September 30, 2023 was immaterial and is recognized as part of the cost basis of the units repurchased.</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DERIVATIVES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historically has used fixed price swap contracts, fixed price basis swap contracts and costless collars with corresponding put and call options to reduce price volatility associated with certain of its royalty income. At September 30, 2023, the Partnership has put options, costless collars and fixed price basis swaps outstanding.</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Partnership’s derivative contracts are based upon reported settlement prices on commodity exchanges, with put contracts for oil based on WTI Cushing and fixed price basis swaps for oil based on the spread between the WTI Cushing crude oil price and the Argus WTI Midland crude oil price. The Partnership’s fixed price basis swaps for natural gas are for the spread between the Waha Hub natural gas price and the Henry Hub natural gas price. The weighted average differential represents the amount of reduction to the WTI Cushing oil price and the Waha Hub natural gas price for the notional volumes covered by the basis swap contracts. Under the Partnership’s costless collar contracts, each collar has an established floor price and ceiling price. When the settlement price is below the floor price, the counterparty is required to make a payment to the Partnership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the settlement price is above the ceiling price, the Partnership is required to make a payment to the counterparty. When the settlement price is between the floor and the ceiling, there is no payment required.</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Operating Company; therefore, the Partnership is not required to post any collateral. The Partnership’s counterparties have been determined to have an acceptable credit risk; therefore, the Partnership does not require collateral from its counterparties.</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2023, the Partnership had the following outstanding derivative contracts. When aggregating multiple contracts, the weighted average contract price is disclosed.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Swaps</w:t>
            </w:r>
          </w:p>
        </w:tc>
        <w:tc>
          <w:tcPr>
            <w:tcW w:w="246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b w:val="1"/>
                <w:bCs w:val="1"/>
                <w:color w:val="auto"/>
              </w:rPr>
              <w:t>Collars</w:t>
            </w:r>
          </w:p>
        </w:tc>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w w:val="86"/>
              </w:rPr>
              <w:t>Puts</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Settlement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Type of</w:t>
            </w: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Bbls/MMBtu</w:t>
            </w:r>
          </w:p>
        </w:tc>
        <w:tc>
          <w:tcPr>
            <w:tcW w:w="114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2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Weighted</w:t>
            </w:r>
          </w:p>
        </w:tc>
        <w:tc>
          <w:tcPr>
            <w:tcW w:w="12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180" w:type="dxa"/>
            <w:vAlign w:val="bottom"/>
          </w:tcPr>
          <w:p>
            <w:pPr>
              <w:spacing w:after="0"/>
              <w:rPr>
                <w:sz w:val="13"/>
                <w:szCs w:val="13"/>
                <w:color w:val="auto"/>
              </w:rPr>
            </w:pPr>
          </w:p>
        </w:tc>
        <w:tc>
          <w:tcPr>
            <w:tcW w:w="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Deferred</w:t>
            </w:r>
          </w:p>
        </w:tc>
        <w:tc>
          <w:tcPr>
            <w:tcW w:w="0" w:type="dxa"/>
            <w:vAlign w:val="bottom"/>
          </w:tcPr>
          <w:p>
            <w:pPr>
              <w:spacing w:after="0"/>
              <w:rPr>
                <w:sz w:val="1"/>
                <w:szCs w:val="1"/>
                <w:color w:val="auto"/>
              </w:rPr>
            </w:pPr>
          </w:p>
        </w:tc>
      </w:tr>
      <w:tr>
        <w:trPr>
          <w:trHeight w:val="162"/>
        </w:trPr>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Settlement Month</w:t>
            </w: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Index</w:t>
            </w:r>
          </w:p>
        </w:tc>
        <w:tc>
          <w:tcPr>
            <w:tcW w:w="1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w:t>
            </w: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 Floor</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Average Ceiling</w:t>
            </w:r>
          </w:p>
        </w:tc>
        <w:tc>
          <w:tcPr>
            <w:tcW w:w="11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Strike Price</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Contract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 Day</w:t>
            </w:r>
          </w:p>
        </w:tc>
        <w:tc>
          <w:tcPr>
            <w:tcW w:w="11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Differential</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1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Premium</w:t>
            </w:r>
          </w:p>
        </w:tc>
        <w:tc>
          <w:tcPr>
            <w:tcW w:w="0" w:type="dxa"/>
            <w:vAlign w:val="bottom"/>
          </w:tcPr>
          <w:p>
            <w:pPr>
              <w:spacing w:after="0"/>
              <w:rPr>
                <w:sz w:val="1"/>
                <w:szCs w:val="1"/>
                <w:color w:val="auto"/>
              </w:rPr>
            </w:pPr>
          </w:p>
        </w:tc>
      </w:tr>
      <w:tr>
        <w:trPr>
          <w:trHeight w:val="209"/>
        </w:trPr>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OIL</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Puts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8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87"/>
              </w:rPr>
              <w:t>$56.25</w:t>
            </w:r>
          </w:p>
        </w:tc>
        <w:tc>
          <w:tcPr>
            <w:tcW w:w="86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91"/>
              </w:rPr>
              <w:t>$(1.70)</w:t>
            </w:r>
          </w:p>
        </w:tc>
        <w:tc>
          <w:tcPr>
            <w:tcW w:w="0" w:type="dxa"/>
            <w:vAlign w:val="bottom"/>
          </w:tcPr>
          <w:p>
            <w:pPr>
              <w:spacing w:after="0"/>
              <w:rPr>
                <w:sz w:val="1"/>
                <w:szCs w:val="1"/>
                <w:color w:val="auto"/>
              </w:rPr>
            </w:pPr>
          </w:p>
        </w:tc>
      </w:tr>
      <w:tr>
        <w:trPr>
          <w:trHeight w:val="229"/>
        </w:trPr>
        <w:tc>
          <w:tcPr>
            <w:tcW w:w="1480" w:type="dxa"/>
            <w:vAlign w:val="bottom"/>
          </w:tcPr>
          <w:p>
            <w:pPr>
              <w:jc w:val="center"/>
              <w:spacing w:after="0"/>
              <w:rPr>
                <w:sz w:val="20"/>
                <w:szCs w:val="20"/>
                <w:color w:val="auto"/>
              </w:rPr>
            </w:pPr>
            <w:r>
              <w:rPr>
                <w:rFonts w:ascii="Arial" w:cs="Arial" w:eastAsia="Arial" w:hAnsi="Arial"/>
                <w:sz w:val="18"/>
                <w:szCs w:val="18"/>
                <w:color w:val="auto"/>
                <w:w w:val="90"/>
              </w:rPr>
              <w:t>Jan. - Mar.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Puts</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14,000</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80" w:type="dxa"/>
            <w:vAlign w:val="bottom"/>
          </w:tcPr>
          <w:p>
            <w:pPr>
              <w:jc w:val="center"/>
              <w:ind w:right="132"/>
              <w:spacing w:after="0"/>
              <w:rPr>
                <w:sz w:val="20"/>
                <w:szCs w:val="20"/>
                <w:color w:val="auto"/>
              </w:rPr>
            </w:pPr>
            <w:r>
              <w:rPr>
                <w:rFonts w:ascii="Arial" w:cs="Arial" w:eastAsia="Arial" w:hAnsi="Arial"/>
                <w:sz w:val="18"/>
                <w:szCs w:val="18"/>
                <w:color w:val="auto"/>
                <w:w w:val="87"/>
              </w:rPr>
              <w:t>$58.57</w:t>
            </w:r>
          </w:p>
        </w:tc>
        <w:tc>
          <w:tcPr>
            <w:tcW w:w="860" w:type="dxa"/>
            <w:vAlign w:val="bottom"/>
          </w:tcPr>
          <w:p>
            <w:pPr>
              <w:jc w:val="center"/>
              <w:ind w:right="132"/>
              <w:spacing w:after="0"/>
              <w:rPr>
                <w:sz w:val="20"/>
                <w:szCs w:val="20"/>
                <w:color w:val="auto"/>
              </w:rPr>
            </w:pPr>
            <w:r>
              <w:rPr>
                <w:rFonts w:ascii="Arial" w:cs="Arial" w:eastAsia="Arial" w:hAnsi="Arial"/>
                <w:sz w:val="18"/>
                <w:szCs w:val="18"/>
                <w:color w:val="auto"/>
                <w:w w:val="91"/>
              </w:rPr>
              <w:t>$(1.54)</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 - Jun.</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Puts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8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87"/>
              </w:rPr>
              <w:t>$60.00</w:t>
            </w:r>
          </w:p>
        </w:tc>
        <w:tc>
          <w:tcPr>
            <w:tcW w:w="86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Basis Swaps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WTI Midland</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8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right="112"/>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175"/>
        </w:trPr>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Jan. - Jun.</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2024</w:t>
            </w:r>
          </w:p>
        </w:tc>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Costless</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6,000</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WTI Cushing</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w:t>
            </w:r>
          </w:p>
        </w:tc>
        <w:tc>
          <w:tcPr>
            <w:tcW w:w="12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$65.00</w:t>
            </w:r>
          </w:p>
        </w:tc>
        <w:tc>
          <w:tcPr>
            <w:tcW w:w="12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$95.55</w:t>
            </w:r>
          </w:p>
        </w:tc>
        <w:tc>
          <w:tcPr>
            <w:tcW w:w="1180" w:type="dxa"/>
            <w:vAlign w:val="bottom"/>
            <w:shd w:val="clear" w:color="auto" w:fill="CCEEFF"/>
          </w:tcPr>
          <w:p>
            <w:pPr>
              <w:jc w:val="center"/>
              <w:ind w:right="132"/>
              <w:spacing w:after="0" w:line="17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right="112"/>
              <w:spacing w:after="0" w:line="176" w:lineRule="exact"/>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43"/>
        </w:trPr>
        <w:tc>
          <w:tcPr>
            <w:tcW w:w="1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Collar</w:t>
            </w:r>
          </w:p>
        </w:tc>
        <w:tc>
          <w:tcPr>
            <w:tcW w:w="10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NATURAL GAS</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Basis Swaps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Waha Hub</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$(1.33)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8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89"/>
              </w:rPr>
              <w:t>Jan. - Dec.</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Basis Swaps</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30,000</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Waha Hub</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$(1.20)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8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right="112"/>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r>
        <w:rPr>
          <w:rFonts w:ascii="Arial" w:cs="Arial" w:eastAsia="Arial" w:hAnsi="Arial"/>
          <w:sz w:val="18"/>
          <w:szCs w:val="18"/>
          <w:u w:val="single" w:color="auto"/>
          <w:color w:val="0000FF"/>
        </w:rPr>
        <w:t>Fair Value Measurements</w:t>
      </w:r>
      <w:r>
        <w:rPr>
          <w:rFonts w:ascii="Arial" w:cs="Arial" w:eastAsia="Arial" w:hAnsi="Arial"/>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gains and losses on derivative instruments included in the condensed consolidated statements of operations and the net cash receipts (payments) on derivatives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3"/>
          </w:tcPr>
          <w:p>
            <w:pPr>
              <w:jc w:val="right"/>
              <w:ind w:right="73"/>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r>
      <w:tr>
        <w:trPr>
          <w:trHeight w:val="223"/>
        </w:trPr>
        <w:tc>
          <w:tcPr>
            <w:tcW w:w="5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00" w:type="dxa"/>
            <w:vAlign w:val="bottom"/>
            <w:gridSpan w:val="4"/>
          </w:tcPr>
          <w:p>
            <w:pPr>
              <w:jc w:val="right"/>
              <w:ind w:right="835"/>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2"/>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w:t>
            </w:r>
          </w:p>
        </w:tc>
      </w:tr>
      <w:tr>
        <w:trPr>
          <w:trHeight w:val="304"/>
        </w:trPr>
        <w:tc>
          <w:tcPr>
            <w:tcW w:w="564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(3,807)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(10,263)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(10,019)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(27,292)</w:t>
            </w:r>
          </w:p>
        </w:tc>
      </w:tr>
    </w:tbl>
    <w:p>
      <w:pPr>
        <w:spacing w:after="0" w:line="5" w:lineRule="exact"/>
        <w:rPr>
          <w:sz w:val="20"/>
          <w:szCs w:val="20"/>
          <w:color w:val="auto"/>
        </w:rPr>
      </w:pPr>
    </w:p>
    <w:p>
      <w:pPr>
        <w:ind w:left="340" w:hanging="332"/>
        <w:spacing w:after="0" w:line="277"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three and nine months ended September 30, 2022 include cash paid on commodity contracts terminated prior to their contractual maturity of $2.4 million and $6.6 million, respectively.</w:t>
      </w:r>
    </w:p>
    <w:p>
      <w:pPr>
        <w:spacing w:after="0" w:line="193"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As discussed in </w:t>
      </w:r>
      <w:hyperlink r:id="rId24">
        <w:r>
          <w:rPr>
            <w:rFonts w:ascii="Arial" w:cs="Arial" w:eastAsia="Arial" w:hAnsi="Arial"/>
            <w:sz w:val="16"/>
            <w:szCs w:val="16"/>
            <w:u w:val="single" w:color="auto"/>
            <w:color w:val="0000FF"/>
          </w:rPr>
          <w:t>Note 11—Fair Value Measurements in the Partnership's 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2022, certain assets and liabilities are reported at fair value on a recurring basis on the Partnership’s condensed consolidated balance sheets, including the Partnership’s derivative instruments.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inputs in the fair value hierarchy. The net amounts are classified as current or noncurrent based on their anticipated settlement 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ind w:right="20" w:firstLine="8"/>
        <w:spacing w:after="0" w:line="323" w:lineRule="auto"/>
        <w:tabs>
          <w:tab w:leader="none" w:pos="26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gross amounts of recognized derivative assets and liabilities, (iii) the amounts offset under master netting arrangements with counterparties, and (iv) the resulting net amounts presented in the Partnership’s condensed consolidated balance sheets as of September 30, 2023 and December 31,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As of September 30, 2023</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55"/>
              <w:spacing w:after="0"/>
              <w:rPr>
                <w:sz w:val="20"/>
                <w:szCs w:val="20"/>
                <w:color w:val="auto"/>
              </w:rPr>
            </w:pPr>
            <w:r>
              <w:rPr>
                <w:rFonts w:ascii="Arial" w:cs="Arial" w:eastAsia="Arial" w:hAnsi="Arial"/>
                <w:sz w:val="16"/>
                <w:szCs w:val="16"/>
                <w:b w:val="1"/>
                <w:bCs w:val="1"/>
                <w:color w:val="auto"/>
                <w:w w:val="92"/>
              </w:rPr>
              <w:t>Total Gross Fair</w:t>
            </w:r>
          </w:p>
        </w:tc>
        <w:tc>
          <w:tcPr>
            <w:tcW w:w="140" w:type="dxa"/>
            <w:vAlign w:val="bottom"/>
          </w:tcPr>
          <w:p>
            <w:pPr>
              <w:spacing w:after="0"/>
              <w:rPr>
                <w:sz w:val="13"/>
                <w:szCs w:val="13"/>
                <w:color w:val="auto"/>
              </w:rPr>
            </w:pPr>
          </w:p>
        </w:tc>
        <w:tc>
          <w:tcPr>
            <w:tcW w:w="140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88"/>
              </w:rPr>
              <w:t>Gross Amounts</w:t>
            </w:r>
          </w:p>
        </w:tc>
        <w:tc>
          <w:tcPr>
            <w:tcW w:w="180" w:type="dxa"/>
            <w:vAlign w:val="bottom"/>
          </w:tcPr>
          <w:p>
            <w:pPr>
              <w:spacing w:after="0"/>
              <w:rPr>
                <w:sz w:val="13"/>
                <w:szCs w:val="13"/>
                <w:color w:val="auto"/>
              </w:rPr>
            </w:pPr>
          </w:p>
        </w:tc>
        <w:tc>
          <w:tcPr>
            <w:tcW w:w="1340" w:type="dxa"/>
            <w:vAlign w:val="bottom"/>
          </w:tcPr>
          <w:p>
            <w:pPr>
              <w:jc w:val="center"/>
              <w:ind w:right="94"/>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Level 1</w:t>
            </w:r>
          </w:p>
        </w:tc>
        <w:tc>
          <w:tcPr>
            <w:tcW w:w="440" w:type="dxa"/>
            <w:vAlign w:val="bottom"/>
          </w:tcPr>
          <w:p>
            <w:pPr>
              <w:spacing w:after="0"/>
              <w:rPr>
                <w:sz w:val="14"/>
                <w:szCs w:val="14"/>
                <w:color w:val="auto"/>
              </w:rPr>
            </w:pPr>
          </w:p>
        </w:tc>
        <w:tc>
          <w:tcPr>
            <w:tcW w:w="80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8"/>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94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8"/>
              </w:rPr>
              <w:t>Value</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left="775"/>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360"/>
              <w:spacing w:after="0"/>
              <w:rPr>
                <w:sz w:val="20"/>
                <w:szCs w:val="20"/>
                <w:color w:val="auto"/>
              </w:rPr>
            </w:pPr>
            <w:r>
              <w:rPr>
                <w:rFonts w:ascii="Arial" w:cs="Arial" w:eastAsia="Arial" w:hAnsi="Arial"/>
                <w:sz w:val="18"/>
                <w:szCs w:val="18"/>
                <w:color w:val="auto"/>
              </w:rPr>
              <w:t>Current:</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Derivative instruments</w:t>
            </w:r>
          </w:p>
        </w:tc>
        <w:tc>
          <w:tcPr>
            <w:tcW w:w="7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680"/>
              <w:spacing w:after="0"/>
              <w:rPr>
                <w:sz w:val="20"/>
                <w:szCs w:val="20"/>
                <w:color w:val="auto"/>
              </w:rPr>
            </w:pPr>
            <w:r>
              <w:rPr>
                <w:rFonts w:ascii="Arial" w:cs="Arial" w:eastAsia="Arial" w:hAnsi="Arial"/>
                <w:sz w:val="18"/>
                <w:szCs w:val="18"/>
                <w:color w:val="auto"/>
              </w:rPr>
              <w:t>Derivative instruments</w:t>
            </w:r>
          </w:p>
        </w:tc>
        <w:tc>
          <w:tcPr>
            <w:tcW w:w="760" w:type="dxa"/>
            <w:vAlign w:val="bottom"/>
          </w:tcPr>
          <w:p>
            <w:pPr>
              <w:jc w:val="right"/>
              <w:ind w:right="552"/>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2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13,900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13,900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680"/>
              <w:spacing w:after="0"/>
              <w:rPr>
                <w:sz w:val="20"/>
                <w:szCs w:val="20"/>
                <w:color w:val="auto"/>
              </w:rPr>
            </w:pPr>
            <w:r>
              <w:rPr>
                <w:rFonts w:ascii="Arial" w:cs="Arial" w:eastAsia="Arial" w:hAnsi="Arial"/>
                <w:sz w:val="18"/>
                <w:szCs w:val="18"/>
                <w:color w:val="auto"/>
              </w:rPr>
              <w:t>Derivative instruments</w:t>
            </w:r>
          </w:p>
        </w:tc>
        <w:tc>
          <w:tcPr>
            <w:tcW w:w="760" w:type="dxa"/>
            <w:vAlign w:val="bottom"/>
          </w:tcPr>
          <w:p>
            <w:pPr>
              <w:jc w:val="right"/>
              <w:ind w:right="552"/>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2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1,619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1,619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As of December 31, 2022</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35"/>
              <w:spacing w:after="0"/>
              <w:rPr>
                <w:sz w:val="20"/>
                <w:szCs w:val="20"/>
                <w:color w:val="auto"/>
              </w:rPr>
            </w:pPr>
            <w:r>
              <w:rPr>
                <w:rFonts w:ascii="Arial" w:cs="Arial" w:eastAsia="Arial" w:hAnsi="Arial"/>
                <w:sz w:val="16"/>
                <w:szCs w:val="16"/>
                <w:b w:val="1"/>
                <w:bCs w:val="1"/>
                <w:color w:val="auto"/>
                <w:w w:val="91"/>
              </w:rPr>
              <w:t>Total Gross Fair</w:t>
            </w:r>
          </w:p>
        </w:tc>
        <w:tc>
          <w:tcPr>
            <w:tcW w:w="140" w:type="dxa"/>
            <w:vAlign w:val="bottom"/>
          </w:tcPr>
          <w:p>
            <w:pPr>
              <w:spacing w:after="0"/>
              <w:rPr>
                <w:sz w:val="13"/>
                <w:szCs w:val="13"/>
                <w:color w:val="auto"/>
              </w:rPr>
            </w:pPr>
          </w:p>
        </w:tc>
        <w:tc>
          <w:tcPr>
            <w:tcW w:w="1380" w:type="dxa"/>
            <w:vAlign w:val="bottom"/>
          </w:tcPr>
          <w:p>
            <w:pPr>
              <w:jc w:val="center"/>
              <w:ind w:right="54"/>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3"/>
                <w:szCs w:val="13"/>
                <w:color w:val="auto"/>
              </w:rPr>
            </w:pPr>
          </w:p>
        </w:tc>
        <w:tc>
          <w:tcPr>
            <w:tcW w:w="1340" w:type="dxa"/>
            <w:vAlign w:val="bottom"/>
          </w:tcPr>
          <w:p>
            <w:pPr>
              <w:jc w:val="right"/>
              <w:ind w:right="173"/>
              <w:spacing w:after="0" w:line="158" w:lineRule="exact"/>
              <w:rPr>
                <w:sz w:val="20"/>
                <w:szCs w:val="20"/>
                <w:color w:val="auto"/>
              </w:rPr>
            </w:pPr>
            <w:r>
              <w:rPr>
                <w:rFonts w:ascii="Arial" w:cs="Arial" w:eastAsia="Arial" w:hAnsi="Arial"/>
                <w:sz w:val="16"/>
                <w:szCs w:val="16"/>
                <w:b w:val="1"/>
                <w:bCs w:val="1"/>
                <w:color w:val="auto"/>
                <w:w w:val="99"/>
              </w:rPr>
              <w:t>Net Fair Value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Level 1</w:t>
            </w:r>
          </w:p>
        </w:tc>
        <w:tc>
          <w:tcPr>
            <w:tcW w:w="440" w:type="dxa"/>
            <w:vAlign w:val="bottom"/>
          </w:tcPr>
          <w:p>
            <w:pPr>
              <w:spacing w:after="0"/>
              <w:rPr>
                <w:sz w:val="14"/>
                <w:szCs w:val="14"/>
                <w:color w:val="auto"/>
              </w:rPr>
            </w:pPr>
          </w:p>
        </w:tc>
        <w:tc>
          <w:tcPr>
            <w:tcW w:w="80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3</w:t>
            </w:r>
          </w:p>
        </w:tc>
        <w:tc>
          <w:tcPr>
            <w:tcW w:w="94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Sheet</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left="735"/>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360"/>
              <w:spacing w:after="0"/>
              <w:rPr>
                <w:sz w:val="20"/>
                <w:szCs w:val="20"/>
                <w:color w:val="auto"/>
              </w:rPr>
            </w:pPr>
            <w:r>
              <w:rPr>
                <w:rFonts w:ascii="Arial" w:cs="Arial" w:eastAsia="Arial" w:hAnsi="Arial"/>
                <w:sz w:val="18"/>
                <w:szCs w:val="18"/>
                <w:color w:val="auto"/>
              </w:rPr>
              <w:t>Current:</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Derivative instruments</w:t>
            </w:r>
          </w:p>
        </w:tc>
        <w:tc>
          <w:tcPr>
            <w:tcW w:w="7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r>
        <w:trPr>
          <w:trHeight w:val="229"/>
        </w:trPr>
        <w:tc>
          <w:tcPr>
            <w:tcW w:w="3960" w:type="dxa"/>
            <w:vAlign w:val="bottom"/>
          </w:tcPr>
          <w:p>
            <w:pPr>
              <w:ind w:left="360"/>
              <w:spacing w:after="0"/>
              <w:rPr>
                <w:sz w:val="20"/>
                <w:szCs w:val="20"/>
                <w:color w:val="auto"/>
              </w:rPr>
            </w:pPr>
            <w:r>
              <w:rPr>
                <w:rFonts w:ascii="Arial" w:cs="Arial" w:eastAsia="Arial" w:hAnsi="Arial"/>
                <w:sz w:val="18"/>
                <w:szCs w:val="18"/>
                <w:color w:val="auto"/>
              </w:rPr>
              <w:t>Non-current:</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Derivative instruments</w:t>
            </w:r>
          </w:p>
        </w:tc>
        <w:tc>
          <w:tcPr>
            <w:tcW w:w="7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680"/>
              <w:spacing w:after="0"/>
              <w:rPr>
                <w:sz w:val="20"/>
                <w:szCs w:val="20"/>
                <w:color w:val="auto"/>
              </w:rPr>
            </w:pPr>
            <w:r>
              <w:rPr>
                <w:rFonts w:ascii="Arial" w:cs="Arial" w:eastAsia="Arial" w:hAnsi="Arial"/>
                <w:sz w:val="18"/>
                <w:szCs w:val="18"/>
                <w:color w:val="auto"/>
              </w:rPr>
              <w:t>Derivative instruments</w:t>
            </w:r>
          </w:p>
        </w:tc>
        <w:tc>
          <w:tcPr>
            <w:tcW w:w="760" w:type="dxa"/>
            <w:vAlign w:val="bottom"/>
          </w:tcPr>
          <w:p>
            <w:pPr>
              <w:jc w:val="right"/>
              <w:ind w:right="55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3,968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56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3,968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(3,968)</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680"/>
              <w:spacing w:after="0"/>
              <w:rPr>
                <w:sz w:val="20"/>
                <w:szCs w:val="20"/>
                <w:color w:val="auto"/>
              </w:rPr>
            </w:pPr>
            <w:r>
              <w:rPr>
                <w:rFonts w:ascii="Arial" w:cs="Arial" w:eastAsia="Arial" w:hAnsi="Arial"/>
                <w:sz w:val="18"/>
                <w:szCs w:val="18"/>
                <w:color w:val="auto"/>
              </w:rPr>
              <w:t>Derivative instruments</w:t>
            </w:r>
          </w:p>
        </w:tc>
        <w:tc>
          <w:tcPr>
            <w:tcW w:w="760" w:type="dxa"/>
            <w:vAlign w:val="bottom"/>
          </w:tcPr>
          <w:p>
            <w:pPr>
              <w:jc w:val="right"/>
              <w:ind w:right="55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56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(1,469)</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4"/>
          </w:tcPr>
          <w:p>
            <w:pPr>
              <w:ind w:left="80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Pr>
          <w:p>
            <w:pPr>
              <w:spacing w:after="0"/>
              <w:rPr>
                <w:sz w:val="18"/>
                <w:szCs w:val="18"/>
                <w:color w:val="auto"/>
              </w:rPr>
            </w:pPr>
          </w:p>
        </w:tc>
        <w:tc>
          <w:tcPr>
            <w:tcW w:w="316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44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3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3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Fair Value</w:t>
            </w:r>
          </w:p>
        </w:tc>
      </w:tr>
      <w:tr>
        <w:trPr>
          <w:trHeight w:val="209"/>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4"/>
          </w:tcPr>
          <w:p>
            <w:pPr>
              <w:jc w:val="right"/>
              <w:ind w:right="1095"/>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152,000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152,000</w:t>
            </w:r>
          </w:p>
        </w:tc>
      </w:tr>
      <w:tr>
        <w:trPr>
          <w:trHeight w:val="229"/>
        </w:trPr>
        <w:tc>
          <w:tcPr>
            <w:tcW w:w="4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5.375% Senior notes due 2027</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425,681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424,895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411,634</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discount.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September 30, 2023 quoted market price, a Level 1 classification 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assets and liabilities are measured at fair value on a nonrecurring basis in certain circumstances. These assets and liabilities can include mineral and royalty interests acquired in asset acquisitions and subsequent write-downs of our proved oil and natural gas interests to fair value when they are impaired or held for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Partnership has other financial instruments consisting of cash and cash equivalents, royalty income receivable, funds held in escrow, other current assets, accounts payable, accrued liabilities and income taxes payable. The carrying value of these instruments approximate their fair value because of the short-term nature of the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56" w:lineRule="exact"/>
        <w:rPr>
          <w:sz w:val="20"/>
          <w:szCs w:val="20"/>
          <w:color w:val="auto"/>
        </w:rPr>
      </w:pPr>
    </w:p>
    <w:p>
      <w:pPr>
        <w:jc w:val="both"/>
        <w:ind w:right="80" w:firstLine="648"/>
        <w:spacing w:after="0" w:line="272" w:lineRule="auto"/>
        <w:rPr>
          <w:sz w:val="20"/>
          <w:szCs w:val="20"/>
          <w:color w:val="auto"/>
        </w:rPr>
      </w:pPr>
      <w:r>
        <w:rPr>
          <w:rFonts w:ascii="Arial" w:cs="Arial" w:eastAsia="Arial" w:hAnsi="Arial"/>
          <w:sz w:val="17"/>
          <w:szCs w:val="17"/>
          <w:color w:val="auto"/>
        </w:rPr>
        <w:t>The Partnership is a party to various routine legal proceedings, disputes and claims from time to time arising in the ordinary course of its business.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20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Conversion into Corporation</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As previously reported, on July 31, 2023, the Partnership announced its intent to convert its legal status from a Delaware limited partnership into a Delaware corporation (the “Conversion”). The Conversion was unanimously approved by the board of directors of the General Partner in November 2023. On November 2, 2023, the General Partner, on behalf of the Partnership, filed the certificate of conversion and the certificate of incorporation with the Secretary of the State of Delaware and notified Nasdaq of such filings. The Partnership anticipates that the Conversion will become effective at 12:01 a.m. (Eastern Time) on November 13, 2023. See “</w:t>
      </w:r>
      <w:r>
        <w:rPr>
          <w:rFonts w:ascii="Arial" w:cs="Arial" w:eastAsia="Arial" w:hAnsi="Arial"/>
          <w:sz w:val="17"/>
          <w:szCs w:val="17"/>
          <w:u w:val="single" w:color="auto"/>
          <w:color w:val="0000FF"/>
        </w:rPr>
        <w:t>Management’s Discussion and Analysis of Financial Condition and Results of Operations—Recent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Developments</w:t>
      </w:r>
      <w:r>
        <w:rPr>
          <w:rFonts w:ascii="Arial" w:cs="Arial" w:eastAsia="Arial" w:hAnsi="Arial"/>
          <w:sz w:val="17"/>
          <w:szCs w:val="17"/>
          <w:color w:val="000000"/>
        </w:rPr>
        <w:t>—Pending Conversion into Corporation” for additional information regarding the Conversion.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2031 Notes Offering</w:t>
      </w:r>
    </w:p>
    <w:p>
      <w:pPr>
        <w:spacing w:after="0" w:line="23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October 19, 2023, the Partnership completed an offering (the “2031 Notes Offering”) of $400.0 million in aggregate principal amount of its 7.375% Senior Notes maturing on November 1, 2031 (the “2031 Notes”). The Partnership received net proceeds of approximately $394.4 million, after deducting the initial purchasers’ discount and expected transactions costs, from the 2031 Notes Offering. The Partnership loaned the gross proceeds to the Operating Company, which used the proceeds to partially fund the cash portion of the Acquisition as defined and discussed further below.</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2031 Notes are senior unsecured obligations of the Partnership, initially guaranteed on a senior unsecured basis by the Operating Company, and will pay interest semi-annually. Neither Diamondback nor the General Partner will guarantee the 2031 Notes. In the future, each of the Partnership’s restricted subsidiaries that either (i) guarantees any of its or a guarantor’s indebtedness, or (ii) is a domestic restricted subsidiary and is an obligor with respect to any indebtedness under any credit facility will be required to guarantee the 2031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 Issuance of Common Units to Diamondback</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October 31, 2023, the Partnership issued approximately 7.22 million of its common units to Diamondback at a price of $27.72 per unit for total net proceeds of approximately $200.0 million pursuant to a common unit purchase and sale agreement entered into with Diamondback on September 4, 2023. The net proceeds of this common unit issuance were used to fund a portion of the cash consideration for the Acquisition, as defined and discussed further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On November 1, 2023, the Partnership and the Operating Company acquired certain mineral and royalty interests from Royalty Asset Holdings, LP, Royalty Asset Holdings II, LP and Saxum Asset Holdings, LP (collectively, “the Sellers,” and affiliates of Warwick Capital Partners and GRP Energy Capital) pursuant to a definitive purchase and sale agreement for approximately 9.02 million common units and $750.0 million in cash, subject to customary post-closing adjustments (the “Acquisition”). The mineral and royalty interests acquired in the Acquisition represent approximately 4,600 net royalty acres in the Permian Basin, plus approximately 2,700 additional net royalty acres in other major basins. The cash consideration for the Acquisition was funded through a combination of cash on hand and held in escrow, borrowings under the Operating Company’s revolving credit facility, proceeds from the 2031 Notes Offering and proceeds from the $200.0 million common unit issuance to Diamondback. Following the completion of the Acquisition, Diamondback beneficially owned approximately 56% of the Partnership’s total limited partner units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2, 2023, the board of directors of the General Partner approved a cash distribution for the third quarter of 2023 by the Operating Company under its distribution policy of $0.70 per Operating Company unit, payable on November 24, 2023, to eligible unitholders of record at the close of business on November 16, 2023.</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 2023, the board of directors of the General Partner also approved a cash distribution for the third quarter of 2023 by the Partnership under its distribution policy of $0.57 per common unit, payable on November 24, 2023, to eligible unitholders of record at the close of business on November 16, 2023. The distribution to common unitholders consists of a base quarterly distribution of $0.27 per common unit and a variable quarterly distribution of $0.30 per common unit.</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distribution record and payment dates will occur after the effective date of the Conversion; accordingly, Viper Energy, Inc. (“Viper Inc.”) will pay the base quarterly distribution and variable quarterly distribution to holders of Class A common stock (“Class A Common Stock”) post-Conversion under the same terms as approved by the board of directors of the General Partner.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24">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 xml:space="preserve">for the year ended December 31, 2022.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r>
        <w:rPr>
          <w:rFonts w:ascii="Arial" w:cs="Arial" w:eastAsia="Arial" w:hAnsi="Arial"/>
          <w:sz w:val="17"/>
          <w:szCs w:val="17"/>
          <w:i w:val="1"/>
          <w:iCs w:val="1"/>
          <w:u w:val="single" w:color="auto"/>
          <w:color w:val="0000FF"/>
        </w:rPr>
        <w:t>Part II. Item 1A. Risk Factors</w:t>
      </w:r>
      <w:r>
        <w:rPr>
          <w:rFonts w:ascii="Arial" w:cs="Arial" w:eastAsia="Arial" w:hAnsi="Arial"/>
          <w:sz w:val="17"/>
          <w:szCs w:val="17"/>
          <w:i w:val="1"/>
          <w:iCs w:val="1"/>
          <w:color w:val="auto"/>
        </w:rPr>
        <w:t xml:space="preserve"> and </w:t>
      </w:r>
      <w:r>
        <w:rPr>
          <w:rFonts w:ascii="Arial" w:cs="Arial" w:eastAsia="Arial" w:hAnsi="Arial"/>
          <w:sz w:val="17"/>
          <w:szCs w:val="17"/>
          <w:i w:val="1"/>
          <w:iCs w:val="1"/>
          <w:u w:val="single" w:color="auto"/>
          <w:color w:val="0000FF"/>
        </w:rPr>
        <w:t>Cautionary Statement Regarding Forward-Looking Statements</w:t>
      </w:r>
      <w:r>
        <w:rPr>
          <w:rFonts w:ascii="Arial" w:cs="Arial" w:eastAsia="Arial" w:hAnsi="Arial"/>
          <w:sz w:val="17"/>
          <w:szCs w:val="17"/>
          <w:i w:val="1"/>
          <w:iCs w:val="1"/>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publicly traded Delaware limited partnership formed by Diamondback to own and acquire mineral and royalty interests in oil and natural gas properties primarily in the Permian Basin. We operate in one reportable segment. Since May 10, 2018, we have been treated as a corporation for U.S. federal income tax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Conversion into Corporation</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As previously reported, on July 31, 2023, we announced our intent to convert our legal status from a Delaware limited partnership into a Delaware corporation (the “Conversion”), which we believe would further broaden our investor base and improve our trading liquidity. The Conversion was unanimously approved by the board of directors of the General Partner on November 2, 2023. Under the limited partnership agreement of the Partnership, as amended in connection with the Conversion (the “LP Agreement”), no vote of the limited partners is required or will be sought for the Conversion. On November 2, 2023, the General Partner, on behalf of the Partnership, filed the certificate of conversion and the certificate of incorporation with the Secretary of the State of Delaware and notified Nasdaq of such filings. We anticipate that the Conversion will become effective at 12:01 a.m. (Eastern Time) on November 13, 2023 (such date and time at which the Conversion becomes effective, the “Effective Time”).</w:t>
      </w:r>
    </w:p>
    <w:p>
      <w:pPr>
        <w:spacing w:after="0" w:line="21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At the Effective Time, the Partnership will convert into a Delaware corporation pursuant to a plan of conversion (the “Plan of Conversion”) and will change its name from Viper Energy Partners LP to Viper Inc., and the certificate of incorporation and the bylaws of Viper Inc. will become effective.</w:t>
      </w:r>
    </w:p>
    <w:p>
      <w:pPr>
        <w:spacing w:after="0" w:line="1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At the Effective Time, each common unit representing limited partnership interest in the Partnership issued and outstanding immediately prior to the Effective Time will be converted, on a unit-for-unit basis, into one issued and outstanding, fully paid and nonassessable share of Class A Common Stock $0.000001 par value per share, of Viper Inc., (ii) each Class B unit representing limited partnership interest in the Partnership issued and outstanding immediately prior to the Effective Time will be converted, on a unit-for-unit basis, into one issued and outstanding, fully paid and nonassessable share of Class B common stock, $0.000001 par value per share, of Viper Inc. (“Class B Common Stock” and, together with Class A Common Stock, “Common Stock”), and (iii) the general partner interest issued and outstanding immediately prior to the Effective Time (100% owned by the General Partner) will be cancelled and no longer outstanding at the Effective Time. At the Effective Time, as a result of the Conversion, holders of common units will become holders of Class A Common Stock and holders of Class B units will become holders of Class B Common Stock. Similar to Class B units before the Conversion, each share of Class B Common Stock will be exchangeable, at the discretion of the holders of Class B Common Stock, together with one unit of the Operating Company, into one share of Class A Common Stock post-Conversion. Holders of Class B Common Stock will have the same preferred distribution and liquidation preference rights as those provided under the LP Agreement. At the Effective Time, Diamondback and its wholly owned subsidiary Diamondback E&amp;P LLC will be the only holders of the Class B Common Stock and will collectively own approximately 56% of the outstanding shares of Common Stock. As a result, Viper Inc. will be a “controlled company” within the meaning of the corporate governance standards of Nasdaq and, as a result, will qualify for certain exemptions from the corporate governance rules of Nasdaq.</w:t>
      </w:r>
    </w:p>
    <w:p>
      <w:pPr>
        <w:spacing w:after="0" w:line="19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After the Conversion, it is expected that our current limited partners will own the same percentage of Viper Inc.’s outstanding shares as they currently own of the Partnership’s outstanding equity interests.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At the Effective Time, the certificate of incorporation and bylaws of Viper Inc. will generally provide stockholders of Viper Inc. with substantially the same rights and obligations as those that limited partners had in the LP Agreement. Currently, limited partners are not generally entitled to vote with respect to governance of the Partnership under the LP Agreement, except for those few matters set forth in the LP Agreement. Following the Conversion, except as otherwise expressly provided in the Certificate of Incorporation, the holders of Common Stock will be entitled to vote on all matters on which stockholders of 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corporation are generally entitled to vote on under the Delaware General Corporation Law, including the election of the board of directors of Viper Inc.</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Effective Time, the business and affairs of Viper Inc. will be overseen by a board of directors of Viper Inc., rather than the General Partner,</w:t>
      </w:r>
    </w:p>
    <w:p>
      <w:pPr>
        <w:spacing w:after="0" w:line="5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which currently oversees the business and affairs of the Partnership, as its general partner. The directors and executive officers of the General Partner immediately prior to the Effective Time will become the directors and executive officers of Viper Inc. at the Effective Time. In addition, the audit committee of the board of directors of the General Partner, and the membership thereof, immediately prior to the Effective Time, will be replicated at Viper Inc. at the Effective time. Further, post-Conversion, Diamondback will continue to provide personnel and general and administrative services to Viper Inc., including the services of the executive officers and other employees, pursuant to the services and secondment agreement in substantially the same manner as Diamondback currently provides to the General Partner. In addition, for so long as Diamondback and any of its subsidiaries collectively beneficially own at least 25% of the outstanding common stock of Viper Inc., (i) Diamondback will have the right to designate up to three persons to serve as directors of Viper Inc. and (ii) the board of directors of Viper Inc. may not appoint any person other than a Diamondback seconded employee as an executive officer of Viper Inc. unless such appointment is approved, in advance, by either (x) Diamondback (which approval may not be unreasonably withheld or conditioned) or (y) the affirmative vote of the holders of at least 80% of the voting power of the capital stock of Viper Inc. Initially, there will be two Diamondback designees to the board of directors of Viper Inc.—Travis Stice and Kaes Van’t Hof.</w:t>
      </w:r>
    </w:p>
    <w:p>
      <w:pPr>
        <w:spacing w:after="0" w:line="20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Partnership has requested that, at the open of business on November 13, 2023, Nasdaq cease trading of the common units and commence trading of the Class A Common Stock on Nasdaq under the existing ticker symbol “VNOM.” No action by the current holders of common units is currently</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anticipated. A new CUSIP number has been issued for the Class A Common Stock, which will become effective at the Effective Time. Because the Partnership is already treated as a corporation for U.S. federal income tax purposes, we expect that the Conversion will not affect our status as a corporation for U.S. federal income tax purposes or materially impact the U.S. federal income tax treatment of our current public common unitholders.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2031 Notes Offering</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October 19, 2023, we completed the 2031 Notes Offering of $400.0 million in aggregate principal amount of our Senior Notes due November 1, 2031. We received net proceeds of approximately $394.4 million, after deducting the initial purchasers’ discount and expected transaction costs, from the 2031 Notes Offering.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of the notes to the condensed consolidated financial statements for further detail.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On November 1, 2023, we acquired certain mineral and royalty interests for approximately 9.02 million common units and $750 million in cash, subject to customary post-closing adjustments. The mineral and royalty interests acquired in the Acquisition represent approximately 4,600 net royalty acres in the Permian Basin, plus approximately 2,700 additional net royalty acres in other major basins. The cash portion of this transaction was funded through a combination of cash on hand and held in escrow, borrowings under the Operating Company’s revolving credit facility, the proceeds from the 2031 Notes Offering and $200.0 million of proceeds from the issuance of common units to Diamondback under the common unit purchase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of the notes to the condensed consolidated financial statements for further detail.</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After giving effect to the Acquisition, our footprint of mineral and royalty interests totaled approximately 34,500 net royalty acres, approximately 46% of which are operated by Diamondback.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During the nine months ended 2023 and 2022, the NYMEX WTI price averaged $77.28 and $98.25 per Bbl, respectively, and NYMEX Henry Hub price averaged $2.58 and $6.69 per MMBtu, respectively. The war in Ukraine and the Israel-Hamas war, rising interest rates, global supply chain disruptions, concerns about a potential economic downturn or recession, measures to combat persistent inflation and instability in the financial sector have contributed to recent economic and pricing volatility and may continue to impact pricing throughout 2023. Additionally, OPEC and its non-OPEC allies, known collectively as OPEC+, continues to meet regularly to evaluate the state of global oil supply, demand and inventory levels.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Operational Update</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Continuing the trend of increasing production, average oil production per day during the third quarter of 2023 was the highest in our history. As of November 1, 2023, there are 73 rigs operating on our mineral and royalty acreage, ten of which are operated by Diamondback. As a result of the continued outperformance of our production goals, as well as the Acquisition, we have increased our fourth quarter 2023 oil production guidance by approximately 11% at midpoint compared to average daily oil production in the third quarter of 2023. We expect production to decline by approximately two to three percent in the first quarter of 2024 on a pro forma basis, but to grow throughout the year with fourth quarter 2024 production ending approximately five percent higher than pro forma fourth quarter 2023.</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giving effect to the Acquisition, our gross well information as of November 1, 2023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Diamondback</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Third Party</w:t>
            </w:r>
          </w:p>
        </w:tc>
        <w:tc>
          <w:tcPr>
            <w:tcW w:w="140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78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Operated</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Operated</w:t>
            </w: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80" w:type="dxa"/>
            <w:vAlign w:val="bottom"/>
            <w:tcBorders>
              <w:top w:val="single" w:sz="8" w:color="CCEEFF"/>
            </w:tcBorders>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Horizontal wells turned to production</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678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48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0"/>
        </w:trPr>
        <w:tc>
          <w:tcPr>
            <w:tcW w:w="67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Horizontal producing well count: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29"/>
        </w:trPr>
        <w:tc>
          <w:tcPr>
            <w:tcW w:w="678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48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Horizontal active development well count</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4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48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0"/>
        </w:trPr>
        <w:tc>
          <w:tcPr>
            <w:tcW w:w="67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Line of sight wells</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4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lateral length of 10,912.</w:t>
      </w:r>
    </w:p>
    <w:p>
      <w:pPr>
        <w:spacing w:after="0" w:line="23" w:lineRule="exact"/>
        <w:rPr>
          <w:rFonts w:ascii="Arial" w:cs="Arial" w:eastAsia="Arial" w:hAnsi="Arial"/>
          <w:sz w:val="18"/>
          <w:szCs w:val="18"/>
          <w:color w:val="auto"/>
        </w:rPr>
      </w:pPr>
    </w:p>
    <w:p>
      <w:pPr>
        <w:ind w:left="260" w:hanging="252"/>
        <w:spacing w:after="0" w:line="235" w:lineRule="auto"/>
        <w:tabs>
          <w:tab w:leader="none" w:pos="2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866 gross wells currently in the process of active development are those wells that have been spud and are expected to be turned to production within approximately the next six to eight months.</w:t>
      </w:r>
    </w:p>
    <w:p>
      <w:pPr>
        <w:spacing w:after="0" w:line="1" w:lineRule="exact"/>
        <w:rPr>
          <w:rFonts w:ascii="Arial" w:cs="Arial" w:eastAsia="Arial" w:hAnsi="Arial"/>
          <w:sz w:val="18"/>
          <w:szCs w:val="18"/>
          <w:color w:val="auto"/>
        </w:rPr>
      </w:pPr>
    </w:p>
    <w:p>
      <w:pPr>
        <w:jc w:val="both"/>
        <w:ind w:left="260" w:hanging="252"/>
        <w:spacing w:after="0" w:line="242" w:lineRule="auto"/>
        <w:tabs>
          <w:tab w:leader="none" w:pos="2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683 gross line-of-sight wells are those that are not currently in the process of active development, but for which we have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June 30,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June 30, 2023</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4"/>
          </w:tcPr>
          <w:p>
            <w:pPr>
              <w:jc w:val="right"/>
              <w:ind w:right="125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Oil income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168,008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139,300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income</w:t>
            </w: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Natural gas liquids income</w:t>
            </w:r>
          </w:p>
        </w:tc>
        <w:tc>
          <w:tcPr>
            <w:tcW w:w="2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13,807</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Royalty income</w:t>
            </w: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158,197</w:t>
            </w:r>
          </w:p>
        </w:tc>
        <w:tc>
          <w:tcPr>
            <w:tcW w:w="0" w:type="dxa"/>
            <w:vAlign w:val="bottom"/>
          </w:tcPr>
          <w:p>
            <w:pPr>
              <w:spacing w:after="0"/>
              <w:rPr>
                <w:sz w:val="1"/>
                <w:szCs w:val="1"/>
                <w:color w:val="auto"/>
              </w:rPr>
            </w:pP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Lease bonus income—related party</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97,237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income</w:t>
            </w: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2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income</w:t>
            </w:r>
          </w:p>
        </w:tc>
        <w:tc>
          <w:tcPr>
            <w:tcW w:w="2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160,787</w:t>
            </w:r>
          </w:p>
        </w:tc>
        <w:tc>
          <w:tcPr>
            <w:tcW w:w="0" w:type="dxa"/>
            <w:vAlign w:val="bottom"/>
          </w:tcPr>
          <w:p>
            <w:pPr>
              <w:spacing w:after="0"/>
              <w:rPr>
                <w:sz w:val="1"/>
                <w:szCs w:val="1"/>
                <w:color w:val="auto"/>
              </w:rPr>
            </w:pPr>
          </w:p>
        </w:tc>
      </w:tr>
      <w:tr>
        <w:trPr>
          <w:trHeight w:val="19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and ad valorem taxes</w:t>
            </w:r>
          </w:p>
        </w:tc>
        <w:tc>
          <w:tcPr>
            <w:tcW w:w="2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w:t>
            </w:r>
          </w:p>
        </w:tc>
        <w:tc>
          <w:tcPr>
            <w:tcW w:w="0" w:type="dxa"/>
            <w:vAlign w:val="bottom"/>
          </w:tcPr>
          <w:p>
            <w:pPr>
              <w:spacing w:after="0"/>
              <w:rPr>
                <w:sz w:val="1"/>
                <w:szCs w:val="1"/>
                <w:color w:val="auto"/>
              </w:rPr>
            </w:pP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Depletion</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36,280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34,064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2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48,693</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112,094</w:t>
            </w:r>
          </w:p>
        </w:tc>
        <w:tc>
          <w:tcPr>
            <w:tcW w:w="0" w:type="dxa"/>
            <w:vAlign w:val="bottom"/>
          </w:tcPr>
          <w:p>
            <w:pPr>
              <w:spacing w:after="0"/>
              <w:rPr>
                <w:sz w:val="1"/>
                <w:szCs w:val="1"/>
                <w:color w:val="auto"/>
              </w:rPr>
            </w:pP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30"/>
        </w:trPr>
        <w:tc>
          <w:tcPr>
            <w:tcW w:w="4980" w:type="dxa"/>
            <w:vAlign w:val="bottom"/>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2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expense, net</w:t>
            </w:r>
          </w:p>
        </w:tc>
        <w:tc>
          <w:tcPr>
            <w:tcW w:w="2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(23,713)</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88,381</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(benefit from) income taxes</w:t>
            </w:r>
          </w:p>
        </w:tc>
        <w:tc>
          <w:tcPr>
            <w:tcW w:w="2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 attributable to non-controlling interest</w:t>
            </w:r>
          </w:p>
        </w:tc>
        <w:tc>
          <w:tcPr>
            <w:tcW w:w="2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49,381</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1"/>
        </w:trPr>
        <w:tc>
          <w:tcPr>
            <w:tcW w:w="49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260" w:type="dxa"/>
            <w:vAlign w:val="bottom"/>
          </w:tcPr>
          <w:p>
            <w:pPr>
              <w:spacing w:after="0"/>
              <w:rPr>
                <w:sz w:val="18"/>
                <w:szCs w:val="18"/>
                <w:color w:val="auto"/>
              </w:rPr>
            </w:pPr>
          </w:p>
        </w:tc>
        <w:tc>
          <w:tcPr>
            <w:tcW w:w="1520" w:type="dxa"/>
            <w:vAlign w:val="bottom"/>
          </w:tcPr>
          <w:p>
            <w:pPr>
              <w:jc w:val="right"/>
              <w:ind w:right="330"/>
              <w:spacing w:after="0"/>
              <w:rPr>
                <w:sz w:val="20"/>
                <w:szCs w:val="20"/>
                <w:color w:val="auto"/>
              </w:rPr>
            </w:pPr>
            <w:r>
              <w:rPr>
                <w:rFonts w:ascii="Arial" w:cs="Arial" w:eastAsia="Arial" w:hAnsi="Arial"/>
                <w:sz w:val="16"/>
                <w:szCs w:val="16"/>
                <w:b w:val="1"/>
                <w:bCs w:val="1"/>
                <w:color w:val="auto"/>
              </w:rPr>
              <w:t>June 30, 2023</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30"/>
        </w:trPr>
        <w:tc>
          <w:tcPr>
            <w:tcW w:w="750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29"/>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r>
      <w:tr>
        <w:trPr>
          <w:trHeight w:val="229"/>
        </w:trPr>
        <w:tc>
          <w:tcPr>
            <w:tcW w:w="750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30"/>
        </w:trPr>
        <w:tc>
          <w:tcPr>
            <w:tcW w:w="7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r>
      <w:tr>
        <w:trPr>
          <w:trHeight w:val="270"/>
        </w:trPr>
        <w:tc>
          <w:tcPr>
            <w:tcW w:w="7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9"/>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daily oil volumes (BO/d)</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21,143</w:t>
            </w:r>
          </w:p>
        </w:tc>
      </w:tr>
      <w:tr>
        <w:trPr>
          <w:trHeight w:val="229"/>
        </w:trPr>
        <w:tc>
          <w:tcPr>
            <w:tcW w:w="7500" w:type="dxa"/>
            <w:vAlign w:val="bottom"/>
          </w:tcPr>
          <w:p>
            <w:pPr>
              <w:ind w:left="180"/>
              <w:spacing w:after="0"/>
              <w:rPr>
                <w:sz w:val="20"/>
                <w:szCs w:val="20"/>
                <w:color w:val="auto"/>
              </w:rPr>
            </w:pPr>
            <w:r>
              <w:rPr>
                <w:rFonts w:ascii="Arial" w:cs="Arial" w:eastAsia="Arial" w:hAnsi="Arial"/>
                <w:sz w:val="18"/>
                <w:szCs w:val="18"/>
                <w:color w:val="auto"/>
              </w:rPr>
              <w:t>Average daily combined volumes (BOE/d)</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40,446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37,681</w:t>
            </w:r>
          </w:p>
        </w:tc>
      </w:tr>
      <w:tr>
        <w:trPr>
          <w:trHeight w:val="270"/>
        </w:trPr>
        <w:tc>
          <w:tcPr>
            <w:tcW w:w="7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Average sales prices: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2"/>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w:t>
            </w:r>
          </w:p>
        </w:tc>
      </w:tr>
      <w:tr>
        <w:trPr>
          <w:trHeight w:val="229"/>
        </w:trPr>
        <w:tc>
          <w:tcPr>
            <w:tcW w:w="7500" w:type="dxa"/>
            <w:vAlign w:val="bottom"/>
          </w:tcPr>
          <w:p>
            <w:pPr>
              <w:ind w:left="180"/>
              <w:spacing w:after="0"/>
              <w:rPr>
                <w:sz w:val="20"/>
                <w:szCs w:val="20"/>
                <w:color w:val="auto"/>
              </w:rPr>
            </w:pPr>
            <w:r>
              <w:rPr>
                <w:rFonts w:ascii="Arial" w:cs="Arial" w:eastAsia="Arial" w:hAnsi="Arial"/>
                <w:sz w:val="18"/>
                <w:szCs w:val="18"/>
                <w:color w:val="auto"/>
              </w:rPr>
              <w:t>Natural gas ($/Mcf)</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29"/>
        </w:trPr>
        <w:tc>
          <w:tcPr>
            <w:tcW w:w="7500" w:type="dxa"/>
            <w:vAlign w:val="bottom"/>
          </w:tcPr>
          <w:p>
            <w:pPr>
              <w:ind w:left="180"/>
              <w:spacing w:after="0" w:line="230" w:lineRule="exact"/>
              <w:rPr>
                <w:sz w:val="20"/>
                <w:szCs w:val="20"/>
                <w:color w:val="auto"/>
              </w:rPr>
            </w:pPr>
            <w:r>
              <w:rPr>
                <w:rFonts w:ascii="Arial" w:cs="Arial" w:eastAsia="Arial" w:hAnsi="Arial"/>
                <w:sz w:val="18"/>
                <w:szCs w:val="18"/>
                <w:color w:val="auto"/>
              </w:rPr>
              <w:t>Combined ($/BOE)</w:t>
            </w:r>
            <w:r>
              <w:rPr>
                <w:rFonts w:ascii="Arial" w:cs="Arial" w:eastAsia="Arial" w:hAnsi="Arial"/>
                <w:sz w:val="23"/>
                <w:szCs w:val="23"/>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52.57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46.14</w:t>
            </w:r>
          </w:p>
        </w:tc>
      </w:tr>
      <w:tr>
        <w:trPr>
          <w:trHeight w:val="270"/>
        </w:trPr>
        <w:tc>
          <w:tcPr>
            <w:tcW w:w="7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29"/>
        </w:trPr>
        <w:tc>
          <w:tcPr>
            <w:tcW w:w="7500" w:type="dxa"/>
            <w:vAlign w:val="bottom"/>
          </w:tcPr>
          <w:p>
            <w:pPr>
              <w:ind w:left="180"/>
              <w:spacing w:after="0" w:line="230"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81.44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71.39</w:t>
            </w:r>
          </w:p>
        </w:tc>
      </w:tr>
      <w:tr>
        <w:trPr>
          <w:trHeight w:val="230"/>
        </w:trPr>
        <w:tc>
          <w:tcPr>
            <w:tcW w:w="7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29"/>
        </w:trPr>
        <w:tc>
          <w:tcPr>
            <w:tcW w:w="7500" w:type="dxa"/>
            <w:vAlign w:val="bottom"/>
          </w:tcPr>
          <w:p>
            <w:pPr>
              <w:ind w:left="180"/>
              <w:spacing w:after="0" w:line="230"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19.07</w:t>
            </w:r>
          </w:p>
        </w:tc>
      </w:tr>
      <w:tr>
        <w:trPr>
          <w:trHeight w:val="230"/>
        </w:trPr>
        <w:tc>
          <w:tcPr>
            <w:tcW w:w="7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r>
      <w:tr>
        <w:trPr>
          <w:trHeight w:val="270"/>
        </w:trPr>
        <w:tc>
          <w:tcPr>
            <w:tcW w:w="7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costs ($/BOE):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Production and ad valorem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75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7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General and administrative - non-cash unit compensation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Depletion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9.93</w:t>
            </w:r>
          </w:p>
        </w:tc>
      </w:tr>
    </w:tbl>
    <w:p>
      <w:pPr>
        <w:spacing w:after="0" w:line="7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Realized price net of all deducts for gathering, transportation and processing.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of our matured commodity derivative transactions on our average sales prices.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non-cash unit-based compensation expense for the respective periods presented.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royalty income is a function of oil, natural gas and natural gas liquids production volumes sold and average prices received for those volumes.</w:t>
      </w:r>
    </w:p>
    <w:p>
      <w:pPr>
        <w:spacing w:after="0" w:line="2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Royalty income increased $37.4 million during the third quarter of 2023 compared to the second quarter of 2023. Changes in average pricing contributed to approximately $26.3 million of the total increase, primarily due to higher average prices for oil, and to a lesser extent, natural gas and natural gas liquids received for our production in the third quarter of 2023. The remaining increase of $11.1 million in royalty income is due to a 9% increase in production in the third quarter of 2023 compared to the second quarter of 2023, which resulted primarily from new well development in areas where Viper has a higher royalty interest.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 Bonus Income-Related Party</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Lease bonus income from Diamondback increased $96.0 million due to one new lease of $95.8 million covering approximately 12,778 net mineral acres in Midland County, Texas, and another covering approximately 140 net mineral acres in Pecos County, Texas, in the third quarter of 2023, compared to receiving payment for two new leases and two lease extensions covering approximately 165 net mineral acres in Martin and Wheeler Counties; Texas, in the second quarter of 2023.</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2—</w:t>
      </w:r>
      <w:r>
        <w:rPr>
          <w:rFonts w:ascii="Arial" w:cs="Arial" w:eastAsia="Arial" w:hAnsi="Arial"/>
          <w:sz w:val="17"/>
          <w:szCs w:val="17"/>
          <w:u w:val="single" w:color="auto"/>
          <w:color w:val="0000FF"/>
        </w:rPr>
        <w:t>Summary of Significant Accounting Policies</w:t>
      </w:r>
      <w:r>
        <w:rPr>
          <w:rFonts w:ascii="Arial" w:cs="Arial" w:eastAsia="Arial" w:hAnsi="Arial"/>
          <w:sz w:val="17"/>
          <w:szCs w:val="17"/>
          <w:color w:val="auto"/>
        </w:rPr>
        <w:t xml:space="preserve"> of the notes to the condensed consolidated financial statements for further detail.</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production and ad valorem taxes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center"/>
              <w:ind w:left="1015"/>
              <w:spacing w:after="0"/>
              <w:rPr>
                <w:sz w:val="20"/>
                <w:szCs w:val="20"/>
                <w:color w:val="auto"/>
              </w:rPr>
            </w:pPr>
            <w:r>
              <w:rPr>
                <w:rFonts w:ascii="Arial" w:cs="Arial" w:eastAsia="Arial" w:hAnsi="Arial"/>
                <w:sz w:val="16"/>
                <w:szCs w:val="16"/>
                <w:b w:val="1"/>
                <w:bCs w:val="1"/>
                <w:color w:val="auto"/>
                <w:w w:val="90"/>
              </w:rPr>
              <w:t>September 30, 2023</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June 30, 2023</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3"/>
                <w:szCs w:val="13"/>
                <w:color w:val="auto"/>
              </w:rPr>
            </w:pPr>
          </w:p>
        </w:tc>
        <w:tc>
          <w:tcPr>
            <w:tcW w:w="1020" w:type="dxa"/>
            <w:vAlign w:val="bottom"/>
            <w:gridSpan w:val="3"/>
            <w:vMerge w:val="restart"/>
          </w:tcPr>
          <w:p>
            <w:pPr>
              <w:jc w:val="center"/>
              <w:ind w:right="360"/>
              <w:spacing w:after="0"/>
              <w:rPr>
                <w:sz w:val="20"/>
                <w:szCs w:val="20"/>
                <w:color w:val="auto"/>
              </w:rPr>
            </w:pPr>
            <w:r>
              <w:rPr>
                <w:rFonts w:ascii="Arial" w:cs="Arial" w:eastAsia="Arial" w:hAnsi="Arial"/>
                <w:sz w:val="16"/>
                <w:szCs w:val="16"/>
                <w:b w:val="1"/>
                <w:bCs w:val="1"/>
                <w:color w:val="auto"/>
                <w:w w:val="95"/>
              </w:rPr>
              <w:t>Per BOE</w:t>
            </w:r>
          </w:p>
        </w:tc>
        <w:tc>
          <w:tcPr>
            <w:tcW w:w="1260" w:type="dxa"/>
            <w:vAlign w:val="bottom"/>
          </w:tcPr>
          <w:p>
            <w:pPr>
              <w:jc w:val="center"/>
              <w:ind w:right="35"/>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334"/>
              <w:spacing w:after="0" w:line="158"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Royalty Income</w:t>
            </w:r>
          </w:p>
        </w:tc>
        <w:tc>
          <w:tcPr>
            <w:tcW w:w="14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6"/>
                <w:szCs w:val="16"/>
                <w:b w:val="1"/>
                <w:bCs w:val="1"/>
                <w:color w:val="auto"/>
                <w:w w:val="92"/>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1"/>
              </w:rPr>
              <w:t>5.1 %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5.0 %</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1"/>
              </w:rPr>
              <w:t>6.3 %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8.0 %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In general, production taxes are directly related to production revenues and are based upon current year commodity prices. Production taxes as a percentage of royalty income for the third quarter of 2023 were consistent with the second quarter of 2023. Ad valorem taxes are based, among other factors, on property values driven by prior year commodity prices. In the third quarter of 2023, we lowered our full year estimate of ad valorem taxes based on expected reductions in our tax rates and accordingly, decreased our ad valorem accrual compared to the second quarter of 2023.</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$2.2 million increase in depletion expense for the third quarter of 2023 compared to the second quarter of 2023 was due primarily to production growth between the periods. The average depletion rate decreased slightly to $9.75 per BOE for the third quarter of 2023 compared to $9.93 per BOE for the second quarter of 2023.</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following table shows the net gain (loss) on derivative instruments and the net cash receipts (payments) on derivatives for the periods presented:</w:t>
      </w: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3"/>
          </w:tcPr>
          <w:p>
            <w:pPr>
              <w:jc w:val="right"/>
              <w:ind w:right="1013"/>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w w:val="97"/>
              </w:rPr>
              <w:t>September 30, 2023</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w w:val="92"/>
              </w:rPr>
              <w:t>June 30, 2023</w:t>
            </w:r>
          </w:p>
        </w:tc>
      </w:tr>
      <w:tr>
        <w:trPr>
          <w:trHeight w:val="210"/>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280" w:type="dxa"/>
            <w:vAlign w:val="bottom"/>
          </w:tcPr>
          <w:p>
            <w:pPr>
              <w:spacing w:after="0"/>
              <w:rPr>
                <w:sz w:val="18"/>
                <w:szCs w:val="18"/>
                <w:color w:val="auto"/>
              </w:rPr>
            </w:pPr>
          </w:p>
        </w:tc>
      </w:tr>
      <w:tr>
        <w:trPr>
          <w:trHeight w:val="232"/>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(3,807)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(3,997)</w:t>
            </w:r>
          </w:p>
        </w:tc>
      </w:tr>
    </w:tbl>
    <w:p>
      <w:pPr>
        <w:spacing w:after="0" w:line="3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recorded losses on our derivative instruments for the three months ended September 30, 2023 and June 30, 2023. The decrease in the loss was primarily due to recording a gain of $2.0 million on natural gas basis swaps in the third quarter of 2023 compared to a loss of $7.6 million in the second quarter of 2023. We are required to recognize all derivative instruments on our balance sheet as either assets or liabilities measured at fair value. See Note 10—</w:t>
      </w:r>
      <w:r>
        <w:rPr>
          <w:rFonts w:ascii="Arial" w:cs="Arial" w:eastAsia="Arial" w:hAnsi="Arial"/>
          <w:sz w:val="16"/>
          <w:szCs w:val="16"/>
          <w:u w:val="single" w:color="auto"/>
          <w:color w:val="0000FF"/>
        </w:rPr>
        <w:t>Derivatives</w:t>
      </w:r>
      <w:r>
        <w:rPr>
          <w:rFonts w:ascii="Arial" w:cs="Arial" w:eastAsia="Arial" w:hAnsi="Arial"/>
          <w:sz w:val="16"/>
          <w:szCs w:val="16"/>
          <w:color w:val="auto"/>
        </w:rPr>
        <w:t xml:space="preserve"> of the notes to the condensed consolidated financial statements for additional discussion of our open contracts at September 30, 2023.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The $13.4 million increase in income tax expense for the third quarter of 2023 compared to the second quarter of 2023 is primarily due to the increase in pre-tax income attributable to us, resulting largely from the increases in royalty income and lease bonus income discussed above. See Note 9— </w:t>
      </w:r>
      <w:r>
        <w:rPr>
          <w:rFonts w:ascii="Arial" w:cs="Arial" w:eastAsia="Arial" w:hAnsi="Arial"/>
          <w:sz w:val="18"/>
          <w:szCs w:val="18"/>
          <w:u w:val="single" w:color="auto"/>
          <w:color w:val="0000FF"/>
        </w:rPr>
        <w:t>Income Taxes</w:t>
      </w:r>
      <w:r>
        <w:rPr>
          <w:rFonts w:ascii="Arial" w:cs="Arial" w:eastAsia="Arial" w:hAnsi="Arial"/>
          <w:sz w:val="18"/>
          <w:szCs w:val="18"/>
          <w:color w:val="0000FF"/>
        </w:rPr>
        <w:t xml:space="preserve"> </w:t>
      </w:r>
      <w:r>
        <w:rPr>
          <w:rFonts w:ascii="Arial" w:cs="Arial" w:eastAsia="Arial" w:hAnsi="Arial"/>
          <w:sz w:val="18"/>
          <w:szCs w:val="18"/>
          <w:color w:val="000000"/>
        </w:rPr>
        <w:t>of the notes to the condensed consolidated financial statements for further details.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8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2022</w:t>
            </w:r>
          </w:p>
        </w:tc>
      </w:tr>
      <w:tr>
        <w:trPr>
          <w:trHeight w:val="199"/>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Oil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443,927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514,180</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67,621</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Natural gas liquids income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70,027</w:t>
            </w:r>
          </w:p>
        </w:tc>
      </w:tr>
      <w:tr>
        <w:trPr>
          <w:trHeight w:val="223"/>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Royalty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651,828</w:t>
            </w: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Lease bonus income—related party</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105,585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6,652</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r>
      <w:tr>
        <w:trPr>
          <w:trHeight w:val="223"/>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662,842</w:t>
            </w:r>
          </w:p>
        </w:tc>
      </w:tr>
      <w:tr>
        <w:trPr>
          <w:trHeight w:val="19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2"/>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and ad valorem taxes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45,547</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Depletion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89,833</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r>
      <w:tr>
        <w:trPr>
          <w:trHeight w:val="223"/>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141,352</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521,490</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(30,158)</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(19,366)</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(49,324)</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472,166</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(37,597)</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509,763</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379,796</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129,967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31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80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2022</w:t>
            </w:r>
          </w:p>
        </w:tc>
      </w:tr>
      <w:tr>
        <w:trPr>
          <w:trHeight w:val="19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5,259</w:t>
            </w: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w:t>
            </w: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1,857</w:t>
            </w:r>
          </w:p>
        </w:tc>
      </w:tr>
      <w:tr>
        <w:trPr>
          <w:trHeight w:val="230"/>
        </w:trPr>
        <w:tc>
          <w:tcPr>
            <w:tcW w:w="8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r>
      <w:tr>
        <w:trPr>
          <w:trHeight w:val="270"/>
        </w:trPr>
        <w:tc>
          <w:tcPr>
            <w:tcW w:w="8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daily oil volumes (BO/d)</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19,264</w:t>
            </w: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Average daily combined volumes (BOE/d)</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37,718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33,216</w:t>
            </w:r>
          </w:p>
        </w:tc>
      </w:tr>
      <w:tr>
        <w:trPr>
          <w:trHeight w:val="270"/>
        </w:trPr>
        <w:tc>
          <w:tcPr>
            <w:tcW w:w="80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Average sales prices: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Natural gas ($/Mcf)</w:t>
            </w: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r>
      <w:tr>
        <w:trPr>
          <w:trHeight w:val="229"/>
        </w:trPr>
        <w:tc>
          <w:tcPr>
            <w:tcW w:w="8040" w:type="dxa"/>
            <w:vAlign w:val="bottom"/>
          </w:tcPr>
          <w:p>
            <w:pPr>
              <w:ind w:left="180"/>
              <w:spacing w:after="0" w:line="230" w:lineRule="exact"/>
              <w:rPr>
                <w:sz w:val="20"/>
                <w:szCs w:val="20"/>
                <w:color w:val="auto"/>
              </w:rPr>
            </w:pPr>
            <w:r>
              <w:rPr>
                <w:rFonts w:ascii="Arial" w:cs="Arial" w:eastAsia="Arial" w:hAnsi="Arial"/>
                <w:sz w:val="18"/>
                <w:szCs w:val="18"/>
                <w:color w:val="auto"/>
              </w:rPr>
              <w:t>Combined ($/BOE)</w:t>
            </w:r>
            <w:r>
              <w:rPr>
                <w:rFonts w:ascii="Arial" w:cs="Arial" w:eastAsia="Arial" w:hAnsi="Arial"/>
                <w:sz w:val="23"/>
                <w:szCs w:val="23"/>
                <w:color w:val="auto"/>
                <w:vertAlign w:val="superscript"/>
              </w:rPr>
              <w:t>(2)</w:t>
            </w: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71.88</w:t>
            </w:r>
          </w:p>
        </w:tc>
      </w:tr>
      <w:tr>
        <w:trPr>
          <w:trHeight w:val="270"/>
        </w:trPr>
        <w:tc>
          <w:tcPr>
            <w:tcW w:w="80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8040" w:type="dxa"/>
            <w:vAlign w:val="bottom"/>
          </w:tcPr>
          <w:p>
            <w:pPr>
              <w:ind w:left="180"/>
              <w:spacing w:after="0" w:line="230"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96.40</w:t>
            </w:r>
          </w:p>
        </w:tc>
      </w:tr>
      <w:tr>
        <w:trPr>
          <w:trHeight w:val="229"/>
        </w:trPr>
        <w:tc>
          <w:tcPr>
            <w:tcW w:w="8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9"/>
        </w:trPr>
        <w:tc>
          <w:tcPr>
            <w:tcW w:w="8040" w:type="dxa"/>
            <w:vAlign w:val="bottom"/>
          </w:tcPr>
          <w:p>
            <w:pPr>
              <w:ind w:left="180"/>
              <w:spacing w:after="0" w:line="230"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37.71</w:t>
            </w:r>
          </w:p>
        </w:tc>
      </w:tr>
      <w:tr>
        <w:trPr>
          <w:trHeight w:val="230"/>
        </w:trPr>
        <w:tc>
          <w:tcPr>
            <w:tcW w:w="8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r>
      <w:tr>
        <w:trPr>
          <w:trHeight w:val="270"/>
        </w:trPr>
        <w:tc>
          <w:tcPr>
            <w:tcW w:w="8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costs ($/BOE):</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Production and ad valorem taxes</w:t>
            </w: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8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23"/>
        </w:trPr>
        <w:tc>
          <w:tcPr>
            <w:tcW w:w="804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90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8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General and administrative - non-cash unit compensation expense</w:t>
            </w: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Depletion</w:t>
            </w: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9.91</w:t>
            </w:r>
          </w:p>
        </w:tc>
      </w:tr>
    </w:tbl>
    <w:p>
      <w:pPr>
        <w:spacing w:after="0" w:line="7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Realized price net of all deducts for gathering, transportation and processing.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of our matured commodity derivative transactions on our average sales prices.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non-cash unit-based compensation expense for the respective periods presented.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royalty income is a function of oil, natural gas and natural gas liquids production volumes sold and average prices received for those volumes.</w:t>
      </w:r>
    </w:p>
    <w:p>
      <w:pPr>
        <w:spacing w:after="0" w:line="2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Royalty income decreased $136.9 million during the nine months ended September 30, 2023 compared to the same period in 2022. Changes in average pricing during 2023 contributed to approximately $212.9 million of the total decrease due primarily to lower average oil, natural gas and natural gas liquids prices received for our production in 2023. The decrease due to lower pricing was partially offset by $76.0 million in additional royalty income due to a 14% increase in production volumes during the nine months ended September 30, 2023 compared to the same period in 2022. This production growth stems from new well development in areas where Viper has a higher royalty interest between periods.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 Bonus Income-Related Party</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Lease bonus income from Diamondback increased $98.9 million due to five new leases in Martin, Midland, Pecos and Wheeler Counties; Texas, and two lease extensions in Martin County, Texas, including one lease of $95.8 million for the nine months ended September 30, 2023, compared to receiving payment for four leases in Martin County, Texas, during the same period in 2022.</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2—</w:t>
      </w:r>
      <w:r>
        <w:rPr>
          <w:rFonts w:ascii="Arial" w:cs="Arial" w:eastAsia="Arial" w:hAnsi="Arial"/>
          <w:sz w:val="17"/>
          <w:szCs w:val="17"/>
          <w:u w:val="single" w:color="auto"/>
          <w:color w:val="0000FF"/>
        </w:rPr>
        <w:t>Summary of Significant Accounting Policies</w:t>
      </w:r>
      <w:r>
        <w:rPr>
          <w:rFonts w:ascii="Arial" w:cs="Arial" w:eastAsia="Arial" w:hAnsi="Arial"/>
          <w:sz w:val="17"/>
          <w:szCs w:val="17"/>
          <w:color w:val="auto"/>
        </w:rPr>
        <w:t xml:space="preserve"> of the notes to the condensed consolidated financial statements for further details.</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production and ad valorem taxes for the nine months ended September 30, 2023 and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Nine Months Ended September 30,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ind w:left="220"/>
              <w:spacing w:after="0" w:line="158" w:lineRule="exact"/>
              <w:rPr>
                <w:sz w:val="20"/>
                <w:szCs w:val="20"/>
                <w:color w:val="auto"/>
              </w:rPr>
            </w:pPr>
            <w:r>
              <w:rPr>
                <w:rFonts w:ascii="Arial" w:cs="Arial" w:eastAsia="Arial" w:hAnsi="Arial"/>
                <w:sz w:val="16"/>
                <w:szCs w:val="16"/>
                <w:b w:val="1"/>
                <w:bCs w:val="1"/>
                <w:color w:val="auto"/>
              </w:rPr>
              <w:t>Percentage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 thousands)</w:t>
            </w: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6"/>
                <w:szCs w:val="16"/>
                <w:b w:val="1"/>
                <w:bCs w:val="1"/>
                <w:color w:val="auto"/>
              </w:rPr>
              <w:t>Royalty Income</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5.1 %</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7.3 %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7.0 %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as a percentage of royalty income for the nine months ended September 30, 2023 remained consistent with the same period in 2022. Ad valorem taxes are based, among other factors, on property values driven by prior year commodity prices. The slight increase in ad valorem taxes as a percentage of royalty income is primarily due to higher valuations assigned to our oil and natural gas interests period over period driven by higher average commodity prices in 2022.</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giving effect to the Acquisition, we expect our production and ad valorem tax as a percentage of royalty income to be 7% in 2023.</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$11.5 million increase in depletion expense for the nine months ended September 30, 2023 compared to the same period in 2022 was due primarily to production growth between the periods resulting largely from new well development. The average depletion rate remained relatively flat at $9.84 per BOE for the nine months ended September 30, 2023 compared to $9.91 per BOE for the same period in 2022.</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giving effect to the Acquisition, we expect depletion expense to range from approximately $150.0 million to $161.5 million in 2023.</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net gain (loss) on derivative instruments and the net cash receipts (payments) on derivatives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8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r>
      <w:tr>
        <w:trPr>
          <w:trHeight w:val="210"/>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(30,685)</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w:t>
            </w:r>
          </w:p>
        </w:tc>
      </w:tr>
      <w:tr>
        <w:trPr>
          <w:trHeight w:val="304"/>
        </w:trPr>
        <w:tc>
          <w:tcPr>
            <w:tcW w:w="810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(10,019)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(27,292)</w:t>
            </w:r>
          </w:p>
        </w:tc>
      </w:tr>
    </w:tbl>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nine months ended September 30, 2022 includes cash paid on commodity contracts terminated prior to their contractual maturity of $6.6 million.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losses on our derivative instruments for the nine months ended September 30, 2023 and 2022 primarily due to market prices being higher than the strike prices on our open derivative contracts. We are required to recognize all derivative instruments on our balance sheet as either assets or liabilities measured at fair value. See Note 10—</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of the notes to the condensed consolidated financial statements for additional discussion of our open contracts at September 30, 2023.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$77.3 million increase in income tax expense for the nine months ended September 30, 2023 compared to the same period in 2022 resulted primarily from the increase in pre-tax income attributable to us as a result of the expiration of the special income allocation at December 31, 2022, and from the impact of discrete income tax benefit recognized in the third quarter of 2022 related to a change in the valuation allowance against our deferred tax assets. See Note 9—</w:t>
      </w:r>
      <w:r>
        <w:rPr>
          <w:rFonts w:ascii="Arial" w:cs="Arial" w:eastAsia="Arial" w:hAnsi="Arial"/>
          <w:sz w:val="17"/>
          <w:szCs w:val="17"/>
          <w:u w:val="single" w:color="auto"/>
          <w:color w:val="0000FF"/>
        </w:rPr>
        <w:t>Income Taxes</w:t>
      </w:r>
      <w:r>
        <w:rPr>
          <w:rFonts w:ascii="Arial" w:cs="Arial" w:eastAsia="Arial" w:hAnsi="Arial"/>
          <w:sz w:val="17"/>
          <w:szCs w:val="17"/>
          <w:color w:val="auto"/>
        </w:rPr>
        <w:t xml:space="preserve"> of the notes to the condensed consolidated financial statements for further details.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giving effect to the Acquisition, we expect our cash tax rate to be approximately 21% of pre-tax income for the year ended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(Loss) Attributable to Non-controlling Interest</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$147.5 million decrease in net income (loss) attributable to non-controlling interest for the nine months ended September 30, 2023 compared to the same period in 2022 is primarily due to the expiration of the special income allocation at December 31,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equity and debt offerings and borrowings under the Operating Company’s revolving credit facility. Our primary uses of cash have been distributions to our unitholders, repayments of debt, capital expenditures for the acquisition of our mineral and royalty interests in oil and natural gas properties and repurchases of our common units. At September 30, 2023, we had approximately $746.8 million of liquidity consisting of $146.8 million in cash and cash equivalents and $600.0 million available under the Operating Company’s revolving credit facility. See further discussion of changes in our sources of cash in “—</w:t>
      </w:r>
      <w:r>
        <w:rPr>
          <w:rFonts w:ascii="Arial" w:cs="Arial" w:eastAsia="Arial" w:hAnsi="Arial"/>
          <w:sz w:val="18"/>
          <w:szCs w:val="18"/>
          <w:i w:val="1"/>
          <w:iCs w:val="1"/>
          <w:u w:val="single" w:color="auto"/>
          <w:color w:val="0000FF"/>
        </w:rPr>
        <w:t>Capital Resource</w:t>
      </w:r>
      <w:r>
        <w:rPr>
          <w:rFonts w:ascii="Arial" w:cs="Arial" w:eastAsia="Arial" w:hAnsi="Arial"/>
          <w:sz w:val="18"/>
          <w:szCs w:val="18"/>
          <w:u w:val="single" w:color="auto"/>
          <w:color w:val="0000FF"/>
        </w:rPr>
        <w:t>s</w:t>
      </w:r>
      <w:r>
        <w:rPr>
          <w:rFonts w:ascii="Arial" w:cs="Arial" w:eastAsia="Arial" w:hAnsi="Arial"/>
          <w:sz w:val="18"/>
          <w:szCs w:val="18"/>
          <w:color w:val="auto"/>
        </w:rPr>
        <w:t>” below.</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working capital requirements are supported by our cash and cash equivalents and the Operating Company’s revolving credit facility. We may draw on the Operating Company’s revolving credit facility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acquisitions of mineral and royalty interests, distributions, debt service obligations and repayment of debt maturities, common unit and senior note repurchases and any amounts that may ultimately be paid in connection with contingencies.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In order to mitigate volatility in oil and natural gas prices, we have entered into commodity derivative contracts as discussed further in </w:t>
      </w:r>
      <w:r>
        <w:rPr>
          <w:rFonts w:ascii="Arial" w:cs="Arial" w:eastAsia="Arial" w:hAnsi="Arial"/>
          <w:sz w:val="17"/>
          <w:szCs w:val="17"/>
          <w:u w:val="single" w:color="auto"/>
          <w:color w:val="0000FF"/>
        </w:rPr>
        <w:t>Item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Quantitative and Qualitative Disclosures About Market Risk—Commodity Price Risk</w:t>
      </w:r>
      <w:r>
        <w:rPr>
          <w:rFonts w:ascii="Arial" w:cs="Arial" w:eastAsia="Arial" w:hAnsi="Arial"/>
          <w:sz w:val="18"/>
          <w:szCs w:val="18"/>
          <w:color w:val="000000"/>
        </w:rPr>
        <w:t>.</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Continued prolonged volatility in the capital, financial and/or credit markets due to the war in Ukraine and the Israel-Hamas war, the depressed commodity markets and/or adverse macroeconomic conditions, including persistent inflation, rising interests rates, global supply chain disruptions and increasing concerns over a potential economic downturn or recession,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8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r>
      <w:tr>
        <w:trPr>
          <w:trHeight w:val="209"/>
        </w:trPr>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center"/>
              <w:ind w:left="474"/>
              <w:spacing w:after="0"/>
              <w:rPr>
                <w:sz w:val="20"/>
                <w:szCs w:val="20"/>
                <w:color w:val="auto"/>
              </w:rPr>
            </w:pPr>
            <w:r>
              <w:rPr>
                <w:rFonts w:ascii="Arial" w:cs="Arial" w:eastAsia="Arial" w:hAnsi="Arial"/>
                <w:sz w:val="18"/>
                <w:szCs w:val="18"/>
                <w:color w:val="auto"/>
                <w:w w:val="92"/>
              </w:rPr>
              <w:t>492,397</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513,241</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90"/>
              </w:rPr>
              <w:t>(176,749)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19,611</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454"/>
              <w:spacing w:after="0"/>
              <w:rPr>
                <w:sz w:val="20"/>
                <w:szCs w:val="20"/>
                <w:color w:val="auto"/>
              </w:rPr>
            </w:pPr>
            <w:r>
              <w:rPr>
                <w:rFonts w:ascii="Arial" w:cs="Arial" w:eastAsia="Arial" w:hAnsi="Arial"/>
                <w:sz w:val="18"/>
                <w:szCs w:val="18"/>
                <w:color w:val="auto"/>
                <w:w w:val="90"/>
              </w:rPr>
              <w:t>(187,013)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(560,684)</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8"/>
                <w:szCs w:val="18"/>
                <w:color w:val="auto"/>
                <w:w w:val="92"/>
              </w:rPr>
              <w:t>128,635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operating cash flow is sensitive to many variables, the most significant of which are the volatility of prices for oil and natural gas and the volumes of oil and natural gas sold by our producers. The decrease in net cash provided by operating activities during the nine months ended September 30, 2023 compared to the same period in 2022 was primarily driven by lower royalty income. This was partially offset by an increase in cash flows from related party lease bonus income and a decrease in cash paid for derivative settlements. See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Results of Operations</w:t>
      </w:r>
      <w:r>
        <w:rPr>
          <w:rFonts w:ascii="Arial" w:cs="Arial" w:eastAsia="Arial" w:hAnsi="Arial"/>
          <w:sz w:val="18"/>
          <w:szCs w:val="18"/>
          <w:color w:val="auto"/>
        </w:rPr>
        <w:t>” for discussion of significant changes in our revenues and expenses.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during the nine months ended September 30, 2023 primarily related to acquisitions of oil and natural gas interests from third parties, which includes a $50.0 million escrow deposit made for the Acquisition, and the acquisition of oil and natural gas interests in the Drop Down.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provided by investing activities during the nine months ended September 30, 2022 primarily related to proceeds from the divestiture of oil and natural gas interests, partially offset by expenditures for acquisitions of oil and natural gas interests.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during the nine months ended September 30, 2023 primarily resulted from distributions of $212.1 million and $67.2 million of common unit repurchases as we continue to return capital to our unitholders. These cash outflows were partially offset by net borrowings of $98.0 million under the Operating Company’s revolving credit facility.</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used in financing activities during the nine months ended September 30, 2022, was primarily related to distributions of $333.7 million to our unitholders and $118.9 million of common unit repurchases which included approximately $37.3 million for the repurchase of 1.5 million common units from a significant unitholder in a privately negotiated transaction. Additionally, we paid $49.0 million for the repurchase of principal outstanding on the Notes and made net repayments of $59.0 million under the Operating Company’s revolving credit facility.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Operating Company’s Revolving Credit Facility</w:t>
      </w:r>
    </w:p>
    <w:p>
      <w:pPr>
        <w:spacing w:after="0" w:line="2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September 22, 2023, the Operating Company entered into an eleventh and separately a twelfth amendment to the existing credit agreement, which among other things, (i) extended the maturity date from June 2, 2025, to September 22, 2028, (ii) maintained the maximum credit amount of $2.0 billion, (iii) increased the borrowing base from $1.0 billion to $1.3 billion upon consummation of the Acquisition, (iv) increased the aggregate elected commitment amount from $750.0 million to $850.0 million, and (v) waived the automatic reduction of the borrowing base that would otherwise occur upon the consummation of the 2031 Notes. The Operating Company had $250.0 million in outstanding borrowings and $600.0 million of availability on its revolving credit facility at September 30, 2023.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of 2031 Notes</w:t>
      </w:r>
    </w:p>
    <w:p>
      <w:pPr>
        <w:spacing w:after="0" w:line="239" w:lineRule="exact"/>
        <w:rPr>
          <w:sz w:val="20"/>
          <w:szCs w:val="20"/>
          <w:color w:val="auto"/>
        </w:rPr>
      </w:pPr>
    </w:p>
    <w:p>
      <w:pPr>
        <w:jc w:val="both"/>
        <w:ind w:left="40" w:right="20" w:firstLine="648"/>
        <w:spacing w:after="0" w:line="248" w:lineRule="auto"/>
        <w:rPr>
          <w:sz w:val="20"/>
          <w:szCs w:val="20"/>
          <w:color w:val="auto"/>
        </w:rPr>
      </w:pPr>
      <w:r>
        <w:rPr>
          <w:rFonts w:ascii="Arial" w:cs="Arial" w:eastAsia="Arial" w:hAnsi="Arial"/>
          <w:sz w:val="18"/>
          <w:szCs w:val="18"/>
          <w:color w:val="auto"/>
        </w:rPr>
        <w:t>On October 19, 2023, we completed the 2031 Notes Offering of $400.0 million in aggregate principal amount of its 7.375% Senior Notes maturing on November 1, 2031. Through maturity, we expect to incur approximately $236.0 million in aggregate interest costs ($29.5 million annually) for the 2031 Notes.</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6—</w:t>
      </w:r>
      <w:r>
        <w:rPr>
          <w:rFonts w:ascii="Arial" w:cs="Arial" w:eastAsia="Arial" w:hAnsi="Arial"/>
          <w:sz w:val="18"/>
          <w:szCs w:val="18"/>
          <w:u w:val="single" w:color="auto"/>
          <w:color w:val="0000FF"/>
        </w:rPr>
        <w:t>Debt</w:t>
      </w:r>
      <w:r>
        <w:rPr>
          <w:rFonts w:ascii="Arial" w:cs="Arial" w:eastAsia="Arial" w:hAnsi="Arial"/>
          <w:sz w:val="18"/>
          <w:szCs w:val="18"/>
          <w:color w:val="auto"/>
        </w:rPr>
        <w:t xml:space="preserve"> and Note 13—</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of the notes to the condensed consolidated financial statements for additional discussion of our outstanding debt and discussion of the Acquisition and the 2031 Notes Offering,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Funding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$750.0 million cash portion of the purchase price for the Acquisition completed on November 1, 2023, was funded through a combination of cash on hand and cash held in escrow, borrowings under the Operating Company’s revolving credit facility, proceeds from the 2031 Notes Offering and proceeds from our issuance of common units to Diamondback. See Note 13—</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of the notes to the condensed consolidated financial statements for further discussion.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Repurchases of Securities</w:t>
      </w:r>
    </w:p>
    <w:p>
      <w:pPr>
        <w:spacing w:after="0" w:line="2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Under our current common unit repurchase program, the board of directors of our General Partner has authorized us to acquire up to $750.0 million of our common units, excluding excise tax. As of September 30, 2023, $462.9 million remains available for use to repurchase units under this repurchase program, excluding excise tax.</w:t>
      </w:r>
    </w:p>
    <w:p>
      <w:pPr>
        <w:spacing w:after="0" w:line="20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may also from time to time opportunistically repurchase some of the outstanding Notes in open market purchases or in privately negotiated transactions.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Distributions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Operating Company will pay a cash distribution for the third quarter of 2023 in accordance with its distribution policy of $0.70 per Operating Company unit on November 24, 2023 to eligible unitholders of record at the close of business on November 16, 2023.</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will pay a cash distribution for the third quarter of 2023 in accordance with its distribution policy of $0.57 per common unit on November 24, 2023 to eligible our unitholders of record at the close of business on November 16, 2023. The distribution to common unitholders consists of a base quarterly dividend of $0.27 per common unit and a variable quarterly distribution of $0.30 per common unit.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base and variable dividends are at the discretion of the board of directors of our General Partner.</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See Note 7—</w:t>
      </w:r>
      <w:r>
        <w:rPr>
          <w:rFonts w:ascii="Arial" w:cs="Arial" w:eastAsia="Arial" w:hAnsi="Arial"/>
          <w:sz w:val="18"/>
          <w:szCs w:val="18"/>
          <w:u w:val="single" w:color="auto"/>
          <w:color w:val="0000FF"/>
        </w:rPr>
        <w:t>Unitholders' Equity and Distributions</w:t>
      </w:r>
      <w:r>
        <w:rPr>
          <w:rFonts w:ascii="Arial" w:cs="Arial" w:eastAsia="Arial" w:hAnsi="Arial"/>
          <w:sz w:val="18"/>
          <w:szCs w:val="18"/>
          <w:color w:val="auto"/>
        </w:rPr>
        <w:t xml:space="preserve"> of the notes to the condensed consolidated financial statements for further discussion of the repurchase program and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to our critical accounting estimates from those disclosed in our </w:t>
      </w:r>
      <w:hyperlink r:id="rId51">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2—</w:t>
      </w:r>
      <w:r>
        <w:rPr>
          <w:rFonts w:ascii="Arial" w:cs="Arial" w:eastAsia="Arial" w:hAnsi="Arial"/>
          <w:sz w:val="18"/>
          <w:szCs w:val="18"/>
          <w:u w:val="single" w:color="auto"/>
          <w:color w:val="0000FF"/>
        </w:rPr>
        <w:t>Summary of Significant Accounting Policies</w:t>
      </w:r>
      <w:r>
        <w:rPr>
          <w:rFonts w:ascii="Arial" w:cs="Arial" w:eastAsia="Arial" w:hAnsi="Arial"/>
          <w:sz w:val="18"/>
          <w:szCs w:val="18"/>
          <w:color w:val="auto"/>
        </w:rPr>
        <w:t xml:space="preserve"> included in the notes to the condensed consolidated financial statements for recent accounting pronouncements not yet adopted, if any.</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such as the war in Ukraine and the Israel-Hamas war, rising interest rates, global supply chain disruptions, a potential economic downturn or recession and actions taken by OPEC members and other exporting nations. We cannot predict events that may lead to future price volatility and the near term energy outlook remains subject to heightened levels of uncertainty.</w:t>
      </w:r>
    </w:p>
    <w:p>
      <w:pPr>
        <w:spacing w:after="0" w:line="2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historically have used fixed price swap contracts, fixed price basis swap contracts and costless collars with corresponding put and call options to reduce price volatility associated with certain of our royalty income as discussed in Note 10—</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of the notes to the condensed consolidated financial statements.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September 30, 2023, we had a net liability derivative position related to our commodity price derivatives of $10.9 million. Utilizing actual derivative contractual volumes under our contracts as of September 30, 2023, a 10% increase in forward curves associated with the underlying commodity would have increased the net liability position by $4.1 million to approximately $15.0 million, while a 10% decrease in forward curves associated with the underlying commodity would have decreased the net liability derivative position by $3.7 million to approximately $7.2 million. However, any cash derivative gain or loss would be substantially offset by a decrease or increase, respectively, in the actual sales value of production covered by the derivative instrument.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commodity pricing environment and macroeconomic conditions may enhance our purchaser credit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market risk exposure related to changes in interest rates on our indebtedness under the Operating Company’s revolving credit facility. The terms of the credit agreement provide for interest on borrowings at a floating rate equal to (i) term SOFR plus 0.10% (“Adjusted Term SOFR”), or (ii) 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We are obligated to pay a quarterly commitment fee ranging from 0.375% to 0.500% per year on the unused portion of the commitment. As of September 30, 2023, we had $250.0 million in outstanding borrowings. During the three and nine months ended September 30, 2023, the weighted average interest rate on the Operating Company’s revolving credit facility was 7.58% and 7.37%.</w:t>
      </w:r>
    </w:p>
    <w:p>
      <w:pPr>
        <w:spacing w:after="0" w:line="20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2023,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September 30, 2023, our disclosure controls and procedures are effective.</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September 30, 2023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r>
        <w:rPr>
          <w:rFonts w:ascii="Arial" w:cs="Arial" w:eastAsia="Arial" w:hAnsi="Arial"/>
          <w:sz w:val="18"/>
          <w:szCs w:val="18"/>
          <w:u w:val="single" w:color="auto"/>
          <w:color w:val="0000FF"/>
        </w:rPr>
        <w:t>Commitments and Contingencies</w:t>
      </w:r>
      <w:r>
        <w:rPr>
          <w:rFonts w:ascii="Arial" w:cs="Arial" w:eastAsia="Arial" w:hAnsi="Arial"/>
          <w:sz w:val="18"/>
          <w:szCs w:val="18"/>
          <w:color w:val="auto"/>
        </w:rPr>
        <w:t xml:space="preserve"> of the notes to the condensed consolidated financial statements.</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311" w:lineRule="auto"/>
        <w:rPr>
          <w:rFonts w:ascii="Arial" w:cs="Arial" w:eastAsia="Arial" w:hAnsi="Arial"/>
          <w:sz w:val="16"/>
          <w:szCs w:val="16"/>
          <w:color w:val="000000"/>
        </w:rPr>
      </w:pPr>
      <w:hyperlink r:id="rId16">
        <w:r>
          <w:rPr>
            <w:rFonts w:ascii="Arial" w:cs="Arial" w:eastAsia="Arial" w:hAnsi="Arial"/>
            <w:sz w:val="16"/>
            <w:szCs w:val="16"/>
            <w:color w:val="auto"/>
          </w:rPr>
          <w:t xml:space="preserve">As of the date of this filing, we continue to be subject to the risk factors previously disclosed in </w:t>
        </w:r>
        <w:r>
          <w:rPr>
            <w:rFonts w:ascii="Arial" w:cs="Arial" w:eastAsia="Arial" w:hAnsi="Arial"/>
            <w:sz w:val="16"/>
            <w:szCs w:val="16"/>
            <w:u w:val="single" w:color="auto"/>
            <w:color w:val="0000FF"/>
          </w:rPr>
          <w:t>Part I, Item 1A. Risk Factors in our Annual Report</w:t>
        </w:r>
      </w:hyperlink>
      <w:r>
        <w:rPr>
          <w:rFonts w:ascii="Arial" w:cs="Arial" w:eastAsia="Arial" w:hAnsi="Arial"/>
          <w:sz w:val="16"/>
          <w:szCs w:val="16"/>
          <w:color w:val="auto"/>
        </w:rPr>
        <w:t xml:space="preserve"> </w:t>
      </w:r>
      <w:hyperlink r:id="rId16">
        <w:r>
          <w:rPr>
            <w:rFonts w:ascii="Arial" w:cs="Arial" w:eastAsia="Arial" w:hAnsi="Arial"/>
            <w:sz w:val="16"/>
            <w:szCs w:val="16"/>
            <w:u w:val="single" w:color="auto"/>
            <w:color w:val="0000FF"/>
          </w:rPr>
          <w:t>on Form 10-K</w:t>
        </w:r>
        <w:r>
          <w:rPr>
            <w:rFonts w:ascii="Arial" w:cs="Arial" w:eastAsia="Arial" w:hAnsi="Arial"/>
            <w:sz w:val="16"/>
            <w:szCs w:val="16"/>
            <w:color w:val="0000FF"/>
          </w:rPr>
          <w:t xml:space="preserve"> </w:t>
        </w:r>
        <w:r>
          <w:rPr>
            <w:rFonts w:ascii="Arial" w:cs="Arial" w:eastAsia="Arial" w:hAnsi="Arial"/>
            <w:sz w:val="16"/>
            <w:szCs w:val="16"/>
            <w:color w:val="000000"/>
          </w:rPr>
          <w:t>for the year ended December 31, 2022, filed with the SEC on February 23, 2023 and in subsequent filings we make with the SEC. There</w:t>
        </w:r>
      </w:hyperlink>
      <w:r>
        <w:rPr>
          <w:rFonts w:ascii="Arial" w:cs="Arial" w:eastAsia="Arial" w:hAnsi="Arial"/>
          <w:sz w:val="16"/>
          <w:szCs w:val="16"/>
          <w:color w:val="0000FF"/>
        </w:rPr>
        <w:t xml:space="preserve"> </w:t>
      </w:r>
      <w:r>
        <w:rPr>
          <w:rFonts w:ascii="Arial" w:cs="Arial" w:eastAsia="Arial" w:hAnsi="Arial"/>
          <w:sz w:val="16"/>
          <w:szCs w:val="16"/>
          <w:color w:val="000000"/>
        </w:rPr>
        <w:t xml:space="preserve">have been no material changes in our risk factors from those described in our </w:t>
      </w:r>
      <w:hyperlink r:id="rId51">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for the year ended December 31, 2022.</w:t>
      </w:r>
    </w:p>
    <w:p>
      <w:pPr>
        <w:spacing w:after="0" w:line="172" w:lineRule="exact"/>
        <w:rPr>
          <w:rFonts w:ascii="Arial" w:cs="Arial" w:eastAsia="Arial" w:hAnsi="Arial"/>
          <w:sz w:val="16"/>
          <w:szCs w:val="16"/>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Our common unit repurchase activity for the three months ended September 30, 2023 was as follows:</w:t>
      </w:r>
    </w:p>
    <w:p>
      <w:pPr>
        <w:spacing w:after="0" w:line="271"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 of Units</w:t>
            </w:r>
          </w:p>
        </w:tc>
        <w:tc>
          <w:tcPr>
            <w:tcW w:w="260" w:type="dxa"/>
            <w:vAlign w:val="bottom"/>
          </w:tcPr>
          <w:p>
            <w:pPr>
              <w:spacing w:after="0"/>
              <w:rPr>
                <w:sz w:val="16"/>
                <w:szCs w:val="16"/>
                <w:color w:val="auto"/>
              </w:rPr>
            </w:pPr>
          </w:p>
        </w:tc>
        <w:tc>
          <w:tcPr>
            <w:tcW w:w="1640" w:type="dxa"/>
            <w:vAlign w:val="bottom"/>
          </w:tcPr>
          <w:p>
            <w:pPr>
              <w:jc w:val="right"/>
              <w:ind w:right="114"/>
              <w:spacing w:after="0"/>
              <w:rPr>
                <w:sz w:val="20"/>
                <w:szCs w:val="20"/>
                <w:color w:val="auto"/>
              </w:rPr>
            </w:pPr>
            <w:r>
              <w:rPr>
                <w:rFonts w:ascii="Arial" w:cs="Arial" w:eastAsia="Arial" w:hAnsi="Arial"/>
                <w:sz w:val="16"/>
                <w:szCs w:val="16"/>
                <w:b w:val="1"/>
                <w:bCs w:val="1"/>
                <w:color w:val="auto"/>
                <w:w w:val="96"/>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Total Number of Units</w:t>
            </w:r>
          </w:p>
        </w:tc>
        <w:tc>
          <w:tcPr>
            <w:tcW w:w="1720" w:type="dxa"/>
            <w:vAlign w:val="bottom"/>
            <w:gridSpan w:val="2"/>
            <w:vMerge w:val="restart"/>
          </w:tcPr>
          <w:p>
            <w:pPr>
              <w:jc w:val="right"/>
              <w:ind w:right="113"/>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vMerge w:val="continue"/>
          </w:tcPr>
          <w:p>
            <w:pPr>
              <w:spacing w:after="0"/>
              <w:rPr>
                <w:sz w:val="14"/>
                <w:szCs w:val="14"/>
                <w:color w:val="auto"/>
              </w:rPr>
            </w:pP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Value of Units that May</w:t>
            </w: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ind w:left="1660"/>
              <w:spacing w:after="0"/>
              <w:rPr>
                <w:sz w:val="20"/>
                <w:szCs w:val="20"/>
                <w:color w:val="auto"/>
              </w:rPr>
            </w:pPr>
            <w:r>
              <w:rPr>
                <w:rFonts w:ascii="Arial" w:cs="Arial" w:eastAsia="Arial" w:hAnsi="Arial"/>
                <w:sz w:val="16"/>
                <w:szCs w:val="16"/>
                <w:b w:val="1"/>
                <w:bCs w:val="1"/>
                <w:color w:val="auto"/>
              </w:rPr>
              <w:t>Period</w:t>
            </w:r>
          </w:p>
        </w:tc>
        <w:tc>
          <w:tcPr>
            <w:tcW w:w="1860" w:type="dxa"/>
            <w:vAlign w:val="bottom"/>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8"/>
              </w:rPr>
              <w:t>Yet Be Purchased Under</w:t>
            </w:r>
          </w:p>
        </w:tc>
        <w:tc>
          <w:tcPr>
            <w:tcW w:w="0" w:type="dxa"/>
            <w:vAlign w:val="bottom"/>
          </w:tcPr>
          <w:p>
            <w:pPr>
              <w:spacing w:after="0"/>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860" w:type="dxa"/>
            <w:vAlign w:val="bottom"/>
          </w:tcPr>
          <w:p>
            <w:pPr>
              <w:jc w:val="right"/>
              <w:ind w:right="473"/>
              <w:spacing w:after="0"/>
              <w:rPr>
                <w:sz w:val="20"/>
                <w:szCs w:val="20"/>
                <w:color w:val="auto"/>
              </w:rPr>
            </w:pPr>
            <w:r>
              <w:rPr>
                <w:rFonts w:ascii="Arial" w:cs="Arial" w:eastAsia="Arial" w:hAnsi="Arial"/>
                <w:sz w:val="16"/>
                <w:szCs w:val="16"/>
                <w:b w:val="1"/>
                <w:bCs w:val="1"/>
                <w:color w:val="auto"/>
              </w:rPr>
              <w:t>Purchased</w:t>
            </w:r>
          </w:p>
        </w:tc>
        <w:tc>
          <w:tcPr>
            <w:tcW w:w="340" w:type="dxa"/>
            <w:vAlign w:val="bottom"/>
          </w:tcPr>
          <w:p>
            <w:pPr>
              <w:spacing w:after="0"/>
              <w:rPr>
                <w:sz w:val="18"/>
                <w:szCs w:val="18"/>
                <w:color w:val="auto"/>
              </w:rPr>
            </w:pPr>
          </w:p>
        </w:tc>
        <w:tc>
          <w:tcPr>
            <w:tcW w:w="1380" w:type="dxa"/>
            <w:vAlign w:val="bottom"/>
          </w:tcPr>
          <w:p>
            <w:pPr>
              <w:jc w:val="right"/>
              <w:ind w:right="353"/>
              <w:spacing w:after="0" w:line="216" w:lineRule="exact"/>
              <w:rPr>
                <w:sz w:val="20"/>
                <w:szCs w:val="20"/>
                <w:color w:val="auto"/>
              </w:rPr>
            </w:pPr>
            <w:r>
              <w:rPr>
                <w:rFonts w:ascii="Arial" w:cs="Arial" w:eastAsia="Arial" w:hAnsi="Arial"/>
                <w:sz w:val="16"/>
                <w:szCs w:val="16"/>
                <w:b w:val="1"/>
                <w:bCs w:val="1"/>
                <w:color w:val="auto"/>
                <w:w w:val="96"/>
              </w:rPr>
              <w:t>Per Unit</w:t>
            </w:r>
            <w:r>
              <w:rPr>
                <w:rFonts w:ascii="Arial" w:cs="Arial" w:eastAsia="Arial" w:hAnsi="Arial"/>
                <w:sz w:val="21"/>
                <w:szCs w:val="21"/>
                <w:b w:val="1"/>
                <w:bCs w:val="1"/>
                <w:color w:val="auto"/>
                <w:w w:val="96"/>
                <w:vertAlign w:val="superscript"/>
              </w:rPr>
              <w:t>(1)(3)</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Publicly Announced Plan</w:t>
            </w:r>
          </w:p>
        </w:tc>
        <w:tc>
          <w:tcPr>
            <w:tcW w:w="260" w:type="dxa"/>
            <w:vAlign w:val="bottom"/>
          </w:tcPr>
          <w:p>
            <w:pPr>
              <w:spacing w:after="0"/>
              <w:rPr>
                <w:sz w:val="18"/>
                <w:szCs w:val="18"/>
                <w:color w:val="auto"/>
              </w:rPr>
            </w:pPr>
          </w:p>
        </w:tc>
        <w:tc>
          <w:tcPr>
            <w:tcW w:w="1640" w:type="dxa"/>
            <w:vAlign w:val="bottom"/>
          </w:tcPr>
          <w:p>
            <w:pPr>
              <w:jc w:val="right"/>
              <w:ind w:right="394"/>
              <w:spacing w:after="0" w:line="216" w:lineRule="exact"/>
              <w:rPr>
                <w:sz w:val="20"/>
                <w:szCs w:val="20"/>
                <w:color w:val="auto"/>
              </w:rPr>
            </w:pPr>
            <w:r>
              <w:rPr>
                <w:rFonts w:ascii="Arial" w:cs="Arial" w:eastAsia="Arial" w:hAnsi="Arial"/>
                <w:sz w:val="16"/>
                <w:szCs w:val="16"/>
                <w:b w:val="1"/>
                <w:bCs w:val="1"/>
                <w:color w:val="auto"/>
              </w:rPr>
              <w:t>the Plan</w:t>
            </w:r>
            <w:r>
              <w:rPr>
                <w:rFonts w:ascii="Arial" w:cs="Arial" w:eastAsia="Arial" w:hAnsi="Arial"/>
                <w:sz w:val="21"/>
                <w:szCs w:val="21"/>
                <w:b w:val="1"/>
                <w:bCs w:val="1"/>
                <w:color w:val="auto"/>
                <w:vertAlign w:val="superscript"/>
              </w:rPr>
              <w:t>(2)(3)</w:t>
            </w:r>
          </w:p>
        </w:tc>
        <w:tc>
          <w:tcPr>
            <w:tcW w:w="0" w:type="dxa"/>
            <w:vAlign w:val="bottom"/>
          </w:tcPr>
          <w:p>
            <w:pPr>
              <w:spacing w:after="0"/>
              <w:rPr>
                <w:sz w:val="1"/>
                <w:szCs w:val="1"/>
                <w:color w:val="auto"/>
              </w:rPr>
            </w:pPr>
          </w:p>
        </w:tc>
      </w:tr>
      <w:tr>
        <w:trPr>
          <w:trHeight w:val="207"/>
        </w:trPr>
        <w:tc>
          <w:tcPr>
            <w:tcW w:w="3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gridSpan w:val="2"/>
          </w:tcPr>
          <w:p>
            <w:pPr>
              <w:jc w:val="right"/>
              <w:ind w:right="454"/>
              <w:spacing w:after="0"/>
              <w:rPr>
                <w:sz w:val="20"/>
                <w:szCs w:val="20"/>
                <w:color w:val="auto"/>
              </w:rPr>
            </w:pPr>
            <w:r>
              <w:rPr>
                <w:rFonts w:ascii="Arial" w:cs="Arial" w:eastAsia="Arial" w:hAnsi="Arial"/>
                <w:sz w:val="16"/>
                <w:szCs w:val="16"/>
                <w:b w:val="1"/>
                <w:bCs w:val="1"/>
                <w:color w:val="auto"/>
                <w:w w:val="97"/>
              </w:rPr>
              <w:t>(In thousands, except unit amounts)</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2023 - July 31, 2023</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334,600</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25.99</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463,724</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August 1, 2023 - August 31, 2023</w:t>
            </w:r>
          </w:p>
        </w:tc>
        <w:tc>
          <w:tcPr>
            <w:tcW w:w="1860" w:type="dxa"/>
            <w:vAlign w:val="bottom"/>
          </w:tcPr>
          <w:p>
            <w:pPr>
              <w:jc w:val="right"/>
              <w:spacing w:after="0"/>
              <w:rPr>
                <w:sz w:val="20"/>
                <w:szCs w:val="20"/>
                <w:color w:val="auto"/>
              </w:rPr>
            </w:pPr>
            <w:r>
              <w:rPr>
                <w:rFonts w:ascii="Arial" w:cs="Arial" w:eastAsia="Arial" w:hAnsi="Arial"/>
                <w:sz w:val="18"/>
                <w:szCs w:val="18"/>
                <w:color w:val="auto"/>
              </w:rPr>
              <w:t>30,000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28.76</w:t>
            </w:r>
          </w:p>
        </w:tc>
        <w:tc>
          <w:tcPr>
            <w:tcW w:w="186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462,861</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2023 - September 30, 2023</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462,861</w:t>
            </w:r>
          </w:p>
        </w:tc>
        <w:tc>
          <w:tcPr>
            <w:tcW w:w="0" w:type="dxa"/>
            <w:vAlign w:val="bottom"/>
          </w:tcPr>
          <w:p>
            <w:pPr>
              <w:spacing w:after="0"/>
              <w:rPr>
                <w:sz w:val="1"/>
                <w:szCs w:val="1"/>
                <w:color w:val="auto"/>
              </w:rPr>
            </w:pPr>
          </w:p>
        </w:tc>
      </w:tr>
      <w:tr>
        <w:trPr>
          <w:trHeight w:val="223"/>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26.22</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364,600</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rFonts w:ascii="Arial" w:cs="Arial" w:eastAsia="Arial" w:hAnsi="Arial"/>
          <w:sz w:val="16"/>
          <w:szCs w:val="16"/>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price paid per common unit includes any commissions paid to repurchase a common unit.</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July 26, 2022, the board of directors of our General Partner increased the authorization under our then-in-effect common unit repurchase program from $250.0 million to $750.0 million, excluding excise tax. This repurchase program has no expiration date and remains subject to market conditions, applicable legal requirements, contractual obligations and other factors and may be suspended from time to time, modified, extended or discontinued by the board of directors of our General Partner at any time.</w:t>
      </w:r>
    </w:p>
    <w:p>
      <w:pPr>
        <w:spacing w:after="0" w:line="1" w:lineRule="exact"/>
        <w:rPr>
          <w:rFonts w:ascii="Arial" w:cs="Arial" w:eastAsia="Arial" w:hAnsi="Arial"/>
          <w:sz w:val="18"/>
          <w:szCs w:val="18"/>
          <w:color w:val="auto"/>
        </w:rPr>
      </w:pPr>
    </w:p>
    <w:p>
      <w:pPr>
        <w:ind w:left="340" w:hanging="332"/>
        <w:spacing w:after="0" w:line="290" w:lineRule="auto"/>
        <w:tabs>
          <w:tab w:leader="none" w:pos="33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Inflation Reduction Act of 2022, which was enacted into law on August 16, 2022, imposed a nondeductible 1% excise tax on the net value of certain stock repurchases made after December 31, 2022. All dollar amounts presented exclude such excise taxes, as applicable.</w:t>
      </w:r>
    </w:p>
    <w:p>
      <w:pPr>
        <w:spacing w:after="0" w:line="184" w:lineRule="exact"/>
        <w:rPr>
          <w:rFonts w:ascii="Arial" w:cs="Arial" w:eastAsia="Arial" w:hAnsi="Arial"/>
          <w:sz w:val="16"/>
          <w:szCs w:val="16"/>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rFonts w:ascii="Arial" w:cs="Arial" w:eastAsia="Arial" w:hAnsi="Arial"/>
          <w:sz w:val="16"/>
          <w:szCs w:val="16"/>
          <w:color w:val="auto"/>
        </w:rPr>
      </w:pPr>
    </w:p>
    <w:p>
      <w:pPr>
        <w:ind w:firstLine="648"/>
        <w:spacing w:after="0" w:line="277" w:lineRule="auto"/>
        <w:rPr>
          <w:sz w:val="20"/>
          <w:szCs w:val="20"/>
          <w:color w:val="auto"/>
        </w:rPr>
      </w:pPr>
      <w:r>
        <w:rPr>
          <w:rFonts w:ascii="Arial" w:cs="Arial" w:eastAsia="Arial" w:hAnsi="Arial"/>
          <w:sz w:val="18"/>
          <w:szCs w:val="18"/>
          <w:color w:val="auto"/>
        </w:rPr>
        <w:t>None of the directors or officers of our General Partner adopted or terminated a Rule 10b5-1 trading arrangement or a non-Rule 10b5-1 trading arrangement during our fiscal quarter ended September 30, 2023.</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1"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center"/>
              <w:ind w:right="31"/>
              <w:spacing w:after="0"/>
              <w:rPr>
                <w:sz w:val="20"/>
                <w:szCs w:val="20"/>
                <w:color w:val="auto"/>
              </w:rPr>
            </w:pPr>
            <w:r>
              <w:rPr>
                <w:rFonts w:ascii="Arial" w:cs="Arial" w:eastAsia="Arial" w:hAnsi="Arial"/>
                <w:sz w:val="18"/>
                <w:szCs w:val="18"/>
                <w:b w:val="1"/>
                <w:bCs w:val="1"/>
                <w:color w:val="auto"/>
              </w:rPr>
              <w:t>ITEM 6.</w:t>
            </w:r>
          </w:p>
        </w:tc>
        <w:tc>
          <w:tcPr>
            <w:tcW w:w="10960" w:type="dxa"/>
            <w:vAlign w:val="bottom"/>
            <w:gridSpan w:val="49"/>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780" w:type="dxa"/>
            <w:vAlign w:val="bottom"/>
          </w:tcPr>
          <w:p>
            <w:pPr>
              <w:jc w:val="center"/>
              <w:ind w:right="51"/>
              <w:spacing w:after="0"/>
              <w:rPr>
                <w:sz w:val="20"/>
                <w:szCs w:val="20"/>
                <w:color w:val="auto"/>
              </w:rPr>
            </w:pPr>
            <w:r>
              <w:rPr>
                <w:rFonts w:ascii="Arial" w:cs="Arial" w:eastAsia="Arial" w:hAnsi="Arial"/>
                <w:sz w:val="16"/>
                <w:szCs w:val="16"/>
                <w:b w:val="1"/>
                <w:bCs w:val="1"/>
                <w:color w:val="auto"/>
                <w:w w:val="97"/>
              </w:rPr>
              <w:t>Exhibit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20" w:type="dxa"/>
            <w:vAlign w:val="bottom"/>
            <w:gridSpan w:val="46"/>
            <w:vMerge w:val="restart"/>
          </w:tcPr>
          <w:p>
            <w:pPr>
              <w:ind w:left="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0"/>
        </w:trPr>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20" w:type="dxa"/>
            <w:vAlign w:val="bottom"/>
            <w:gridSpan w:val="4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7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20" w:type="dxa"/>
            <w:vAlign w:val="bottom"/>
            <w:gridSpan w:val="46"/>
            <w:shd w:val="clear" w:color="auto" w:fill="CCEEFF"/>
          </w:tcPr>
          <w:p>
            <w:pPr>
              <w:spacing w:after="0" w:line="182" w:lineRule="exact"/>
              <w:rPr>
                <w:rFonts w:ascii="Arial" w:cs="Arial" w:eastAsia="Arial" w:hAnsi="Arial"/>
                <w:sz w:val="18"/>
                <w:szCs w:val="18"/>
                <w:color w:val="0000FF"/>
              </w:rPr>
            </w:pPr>
            <w:hyperlink r:id="rId56">
              <w:r>
                <w:rPr>
                  <w:rFonts w:ascii="Arial" w:cs="Arial" w:eastAsia="Arial" w:hAnsi="Arial"/>
                  <w:sz w:val="18"/>
                  <w:szCs w:val="18"/>
                  <w:color w:val="0000FF"/>
                </w:rPr>
                <w:t>Purchase and Sale Agreement dated August 6, 2021 by and among Swallowtail Royalties LLC, Swallowtail Royalties II LLC</w:t>
              </w:r>
            </w:hyperlink>
          </w:p>
        </w:tc>
        <w:tc>
          <w:tcPr>
            <w:tcW w:w="0" w:type="dxa"/>
            <w:vAlign w:val="bottom"/>
          </w:tcPr>
          <w:p>
            <w:pPr>
              <w:spacing w:after="0"/>
              <w:rPr>
                <w:sz w:val="1"/>
                <w:szCs w:val="1"/>
                <w:color w:val="auto"/>
              </w:rPr>
            </w:pPr>
          </w:p>
        </w:tc>
      </w:tr>
      <w:tr>
        <w:trPr>
          <w:trHeight w:val="156"/>
        </w:trPr>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160" w:type="dxa"/>
            <w:vAlign w:val="bottom"/>
            <w:tcBorders>
              <w:top w:val="single" w:sz="8" w:color="0000FF"/>
              <w:bottom w:val="single" w:sz="8" w:color="0000FF"/>
            </w:tcBorders>
            <w:gridSpan w:val="28"/>
            <w:shd w:val="clear" w:color="auto" w:fill="CCEEFF"/>
          </w:tcPr>
          <w:p>
            <w:pPr>
              <w:spacing w:after="0" w:line="156" w:lineRule="exact"/>
              <w:rPr>
                <w:rFonts w:ascii="Arial" w:cs="Arial" w:eastAsia="Arial" w:hAnsi="Arial"/>
                <w:sz w:val="18"/>
                <w:szCs w:val="18"/>
                <w:color w:val="0000FF"/>
                <w:w w:val="98"/>
              </w:rPr>
            </w:pPr>
            <w:hyperlink r:id="rId56">
              <w:r>
                <w:rPr>
                  <w:rFonts w:ascii="Arial" w:cs="Arial" w:eastAsia="Arial" w:hAnsi="Arial"/>
                  <w:sz w:val="18"/>
                  <w:szCs w:val="18"/>
                  <w:color w:val="0000FF"/>
                  <w:w w:val="98"/>
                </w:rPr>
                <w:t>(collectively, as seller), Viper Energy Partners LLC (as buyer) and Viper Energy Partners LP (as parent, and collectively with Viper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20" w:type="dxa"/>
            <w:vAlign w:val="bottom"/>
            <w:gridSpan w:val="41"/>
            <w:shd w:val="clear" w:color="auto" w:fill="CCEEFF"/>
          </w:tcPr>
          <w:p>
            <w:pPr>
              <w:spacing w:after="0" w:line="169" w:lineRule="exact"/>
              <w:rPr>
                <w:rFonts w:ascii="Arial" w:cs="Arial" w:eastAsia="Arial" w:hAnsi="Arial"/>
                <w:sz w:val="18"/>
                <w:szCs w:val="18"/>
                <w:color w:val="0000FF"/>
                <w:w w:val="97"/>
              </w:rPr>
            </w:pPr>
            <w:hyperlink r:id="rId56">
              <w:r>
                <w:rPr>
                  <w:rFonts w:ascii="Arial" w:cs="Arial" w:eastAsia="Arial" w:hAnsi="Arial"/>
                  <w:sz w:val="18"/>
                  <w:szCs w:val="18"/>
                  <w:color w:val="0000FF"/>
                  <w:w w:val="97"/>
                </w:rPr>
                <w:t>Energy Partners LLC, as buyer parties) (incorporated by reference to Exhibit 2.1 of the Partnership’s Current Report on Form 8-K (File</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780" w:type="dxa"/>
            <w:vAlign w:val="bottom"/>
            <w:tcBorders>
              <w:top w:val="single" w:sz="8" w:color="0000FF"/>
              <w:bottom w:val="single" w:sz="8" w:color="0000FF"/>
            </w:tcBorders>
            <w:gridSpan w:val="9"/>
            <w:shd w:val="clear" w:color="auto" w:fill="CCEEFF"/>
          </w:tcPr>
          <w:p>
            <w:pPr>
              <w:spacing w:after="0" w:line="15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001-36505) filed on August 12, 2021).</w:t>
              </w:r>
            </w:hyperlink>
          </w:p>
        </w:tc>
        <w:tc>
          <w:tcPr>
            <w:tcW w:w="726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 w:type="dxa"/>
            <w:vAlign w:val="bottom"/>
          </w:tcPr>
          <w:p>
            <w:pPr>
              <w:ind w:left="20"/>
              <w:spacing w:after="0" w:line="189" w:lineRule="exact"/>
              <w:rPr>
                <w:sz w:val="20"/>
                <w:szCs w:val="20"/>
                <w:color w:val="auto"/>
              </w:rPr>
            </w:pPr>
            <w:r>
              <w:rPr>
                <w:rFonts w:ascii="Arial" w:cs="Arial" w:eastAsia="Arial" w:hAnsi="Arial"/>
                <w:sz w:val="18"/>
                <w:szCs w:val="18"/>
                <w:color w:val="auto"/>
              </w:rPr>
              <w:t>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520" w:type="dxa"/>
            <w:vAlign w:val="bottom"/>
            <w:gridSpan w:val="46"/>
          </w:tcPr>
          <w:p>
            <w:pPr>
              <w:spacing w:after="0" w:line="189" w:lineRule="exact"/>
              <w:rPr>
                <w:rFonts w:ascii="Arial" w:cs="Arial" w:eastAsia="Arial" w:hAnsi="Arial"/>
                <w:sz w:val="18"/>
                <w:szCs w:val="18"/>
                <w:color w:val="0000FF"/>
                <w:w w:val="96"/>
              </w:rPr>
            </w:pPr>
            <w:hyperlink r:id="rId57">
              <w:r>
                <w:rPr>
                  <w:rFonts w:ascii="Arial" w:cs="Arial" w:eastAsia="Arial" w:hAnsi="Arial"/>
                  <w:sz w:val="18"/>
                  <w:szCs w:val="18"/>
                  <w:color w:val="0000FF"/>
                  <w:w w:val="96"/>
                </w:rPr>
                <w:t>Purchase and Sale Agreement, dated as of September 4, 2023, by and among Royalty Asset Holdings, LP, Royalty Asset Holdings II, LP</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and Saxum Asset Holdings, LP (collectively, as sellers), Viper Energy Partners LLC (as buyer) and Viper Energy Partners LP (as parent,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29"/>
          </w:tcPr>
          <w:p>
            <w:pPr>
              <w:spacing w:after="0" w:line="169" w:lineRule="exact"/>
              <w:rPr>
                <w:rFonts w:ascii="Arial" w:cs="Arial" w:eastAsia="Arial" w:hAnsi="Arial"/>
                <w:sz w:val="18"/>
                <w:szCs w:val="18"/>
                <w:color w:val="0000FF"/>
              </w:rPr>
            </w:pPr>
            <w:hyperlink r:id="rId57">
              <w:r>
                <w:rPr>
                  <w:rFonts w:ascii="Arial" w:cs="Arial" w:eastAsia="Arial" w:hAnsi="Arial"/>
                  <w:sz w:val="18"/>
                  <w:szCs w:val="18"/>
                  <w:color w:val="0000FF"/>
                </w:rPr>
                <w:t>and collectively with Viper Energy Partners LLC, as buyer parties).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520" w:type="dxa"/>
            <w:vAlign w:val="bottom"/>
            <w:gridSpan w:val="46"/>
            <w:shd w:val="clear" w:color="auto" w:fill="CCEEFF"/>
          </w:tcPr>
          <w:p>
            <w:pPr>
              <w:spacing w:after="0" w:line="189" w:lineRule="exact"/>
              <w:rPr>
                <w:rFonts w:ascii="Arial" w:cs="Arial" w:eastAsia="Arial" w:hAnsi="Arial"/>
                <w:sz w:val="18"/>
                <w:szCs w:val="18"/>
                <w:color w:val="0000FF"/>
                <w:w w:val="97"/>
              </w:rPr>
            </w:pPr>
            <w:hyperlink r:id="rId58">
              <w:r>
                <w:rPr>
                  <w:rFonts w:ascii="Arial" w:cs="Arial" w:eastAsia="Arial" w:hAnsi="Arial"/>
                  <w:sz w:val="18"/>
                  <w:szCs w:val="18"/>
                  <w:color w:val="0000FF"/>
                  <w:w w:val="97"/>
                </w:rPr>
                <w:t>Certificate of Limited Partnership of Viper Energy Partners LP (incorporated by reference to Exhibit 3.1 of the Partnership’s Registration</w:t>
              </w:r>
            </w:hyperlink>
          </w:p>
        </w:tc>
        <w:tc>
          <w:tcPr>
            <w:tcW w:w="0" w:type="dxa"/>
            <w:vAlign w:val="bottom"/>
          </w:tcPr>
          <w:p>
            <w:pPr>
              <w:spacing w:after="0"/>
              <w:rPr>
                <w:sz w:val="1"/>
                <w:szCs w:val="1"/>
                <w:color w:val="auto"/>
              </w:rPr>
            </w:pPr>
          </w:p>
        </w:tc>
      </w:tr>
      <w:tr>
        <w:trPr>
          <w:trHeight w:val="156"/>
        </w:trPr>
        <w:tc>
          <w:tcPr>
            <w:tcW w:w="7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18"/>
            <w:shd w:val="clear" w:color="auto" w:fill="CCEEFF"/>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Statement on Form S-1 (File 333-195769) filed on May 7, 2014).</w:t>
              </w:r>
            </w:hyperlink>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7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78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70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120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8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520" w:type="dxa"/>
            <w:vAlign w:val="bottom"/>
            <w:gridSpan w:val="46"/>
          </w:tcPr>
          <w:p>
            <w:pPr>
              <w:spacing w:after="0" w:line="189"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Second Amended and Restated Agreement of Limited Partnership of Viper Energy Partners LP, dated as of May 9, 2018 (incorporated by</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80" w:type="dxa"/>
            <w:vAlign w:val="bottom"/>
            <w:tcBorders>
              <w:top w:val="single" w:sz="8" w:color="0000FF"/>
            </w:tcBorders>
            <w:gridSpan w:val="44"/>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reference to Exhibit 3.1 of the Partnership’s Current Report on Form 8-K (File 001-36505) filed on May 15,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520" w:type="dxa"/>
            <w:vAlign w:val="bottom"/>
            <w:gridSpan w:val="46"/>
            <w:shd w:val="clear" w:color="auto" w:fill="CCEEFF"/>
          </w:tcPr>
          <w:p>
            <w:pPr>
              <w:spacing w:after="0" w:line="189" w:lineRule="exact"/>
              <w:rPr>
                <w:rFonts w:ascii="Arial" w:cs="Arial" w:eastAsia="Arial" w:hAnsi="Arial"/>
                <w:sz w:val="18"/>
                <w:szCs w:val="18"/>
                <w:color w:val="0000FF"/>
                <w:w w:val="96"/>
              </w:rPr>
            </w:pPr>
            <w:hyperlink r:id="rId60">
              <w:r>
                <w:rPr>
                  <w:rFonts w:ascii="Arial" w:cs="Arial" w:eastAsia="Arial" w:hAnsi="Arial"/>
                  <w:sz w:val="18"/>
                  <w:szCs w:val="18"/>
                  <w:color w:val="0000FF"/>
                  <w:w w:val="96"/>
                </w:rPr>
                <w:t>First Amendment to Second Amended and Restated Agreement of Limited Partnership of Viper Energy Partners LP, dated as of May 10,</w:t>
              </w:r>
            </w:hyperlink>
          </w:p>
        </w:tc>
        <w:tc>
          <w:tcPr>
            <w:tcW w:w="0" w:type="dxa"/>
            <w:vAlign w:val="bottom"/>
          </w:tcPr>
          <w:p>
            <w:pPr>
              <w:spacing w:after="0"/>
              <w:rPr>
                <w:sz w:val="1"/>
                <w:szCs w:val="1"/>
                <w:color w:val="auto"/>
              </w:rPr>
            </w:pPr>
          </w:p>
        </w:tc>
      </w:tr>
      <w:tr>
        <w:trPr>
          <w:trHeight w:val="189"/>
        </w:trPr>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920" w:type="dxa"/>
            <w:vAlign w:val="bottom"/>
            <w:tcBorders>
              <w:top w:val="single" w:sz="8" w:color="0000FF"/>
              <w:bottom w:val="single" w:sz="8" w:color="0000FF"/>
            </w:tcBorders>
            <w:gridSpan w:val="17"/>
            <w:shd w:val="clear" w:color="auto" w:fill="CCEEFF"/>
          </w:tcPr>
          <w:p>
            <w:pPr>
              <w:spacing w:after="0" w:line="15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2018 (incorporated by reference to Exhibit 3.2 of the Partnership’s Current Report on Form 8-K (File 001-36505) filed on May 15, 2018).</w:t>
              </w:r>
            </w:hyperlink>
          </w:p>
        </w:tc>
        <w:tc>
          <w:tcPr>
            <w:tcW w:w="340" w:type="dxa"/>
            <w:vAlign w:val="bottom"/>
            <w:tcBorders>
              <w:top w:val="single" w:sz="8" w:color="0000FF"/>
              <w:bottom w:val="single" w:sz="8" w:color="CCEEFF"/>
            </w:tcBorders>
            <w:gridSpan w:val="1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tcPr>
          <w:p>
            <w:pPr>
              <w:ind w:left="20"/>
              <w:spacing w:after="0" w:line="189" w:lineRule="exact"/>
              <w:rPr>
                <w:sz w:val="20"/>
                <w:szCs w:val="20"/>
                <w:color w:val="auto"/>
              </w:rPr>
            </w:pPr>
            <w:r>
              <w:rPr>
                <w:rFonts w:ascii="Arial" w:cs="Arial" w:eastAsia="Arial" w:hAnsi="Arial"/>
                <w:sz w:val="18"/>
                <w:szCs w:val="18"/>
                <w:color w:val="auto"/>
              </w:rPr>
              <w:t>3.4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520" w:type="dxa"/>
            <w:vAlign w:val="bottom"/>
            <w:gridSpan w:val="46"/>
          </w:tcPr>
          <w:p>
            <w:pPr>
              <w:spacing w:after="0" w:line="189" w:lineRule="exact"/>
              <w:rPr>
                <w:rFonts w:ascii="Arial" w:cs="Arial" w:eastAsia="Arial" w:hAnsi="Arial"/>
                <w:sz w:val="18"/>
                <w:szCs w:val="18"/>
                <w:color w:val="0000FF"/>
              </w:rPr>
            </w:pPr>
            <w:hyperlink r:id="rId61">
              <w:r>
                <w:rPr>
                  <w:rFonts w:ascii="Arial" w:cs="Arial" w:eastAsia="Arial" w:hAnsi="Arial"/>
                  <w:sz w:val="18"/>
                  <w:szCs w:val="18"/>
                  <w:color w:val="0000FF"/>
                </w:rPr>
                <w:t>Second Amendment to Second Amended and Restated Agreement of Limited Partnership of Viper Energy Partners LP, dated as of</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34"/>
          </w:tcPr>
          <w:p>
            <w:pPr>
              <w:spacing w:after="0" w:line="156" w:lineRule="exact"/>
              <w:rPr>
                <w:rFonts w:ascii="Arial" w:cs="Arial" w:eastAsia="Arial" w:hAnsi="Arial"/>
                <w:sz w:val="18"/>
                <w:szCs w:val="18"/>
                <w:color w:val="0000FF"/>
                <w:w w:val="96"/>
              </w:rPr>
            </w:pPr>
            <w:hyperlink r:id="rId61">
              <w:r>
                <w:rPr>
                  <w:rFonts w:ascii="Arial" w:cs="Arial" w:eastAsia="Arial" w:hAnsi="Arial"/>
                  <w:sz w:val="18"/>
                  <w:szCs w:val="18"/>
                  <w:color w:val="0000FF"/>
                  <w:w w:val="96"/>
                </w:rPr>
                <w:t>November 2, 2023. (incorporated by reference to Exhibit 3.1 of the Partnership’s Current Report on Form 8-K (File 001-36505)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top w:val="single" w:sz="8" w:color="0000FF"/>
            </w:tcBorders>
            <w:gridSpan w:val="32"/>
          </w:tcPr>
          <w:p>
            <w:pPr>
              <w:spacing w:after="0" w:line="169" w:lineRule="exact"/>
              <w:rPr>
                <w:rFonts w:ascii="Arial" w:cs="Arial" w:eastAsia="Arial" w:hAnsi="Arial"/>
                <w:sz w:val="18"/>
                <w:szCs w:val="18"/>
                <w:color w:val="0000FF"/>
              </w:rPr>
            </w:pPr>
            <w:hyperlink r:id="rId61">
              <w:r>
                <w:rPr>
                  <w:rFonts w:ascii="Arial" w:cs="Arial" w:eastAsia="Arial" w:hAnsi="Arial"/>
                  <w:sz w:val="18"/>
                  <w:szCs w:val="18"/>
                  <w:color w:val="0000FF"/>
                </w:rPr>
                <w:t>November 2, 2023).</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520" w:type="dxa"/>
            <w:vAlign w:val="bottom"/>
            <w:gridSpan w:val="46"/>
            <w:shd w:val="clear" w:color="auto" w:fill="CCEEFF"/>
          </w:tcPr>
          <w:p>
            <w:pPr>
              <w:spacing w:after="0" w:line="189" w:lineRule="exact"/>
              <w:rPr>
                <w:rFonts w:ascii="Arial" w:cs="Arial" w:eastAsia="Arial" w:hAnsi="Arial"/>
                <w:sz w:val="18"/>
                <w:szCs w:val="18"/>
                <w:color w:val="0000FF"/>
              </w:rPr>
            </w:pPr>
            <w:hyperlink r:id="rId62">
              <w:r>
                <w:rPr>
                  <w:rFonts w:ascii="Arial" w:cs="Arial" w:eastAsia="Arial" w:hAnsi="Arial"/>
                  <w:sz w:val="18"/>
                  <w:szCs w:val="18"/>
                  <w:color w:val="0000FF"/>
                </w:rPr>
                <w:t>Second Amended and Restated Limited Liability Company Agreement of Viper Energy Partners LLC, dated as of May 9, 2018</w:t>
              </w:r>
            </w:hyperlink>
          </w:p>
        </w:tc>
        <w:tc>
          <w:tcPr>
            <w:tcW w:w="0" w:type="dxa"/>
            <w:vAlign w:val="bottom"/>
          </w:tcPr>
          <w:p>
            <w:pPr>
              <w:spacing w:after="0"/>
              <w:rPr>
                <w:sz w:val="1"/>
                <w:szCs w:val="1"/>
                <w:color w:val="auto"/>
              </w:rPr>
            </w:pPr>
          </w:p>
        </w:tc>
      </w:tr>
      <w:tr>
        <w:trPr>
          <w:trHeight w:val="189"/>
        </w:trPr>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520" w:type="dxa"/>
            <w:vAlign w:val="bottom"/>
            <w:tcBorders>
              <w:top w:val="single" w:sz="8" w:color="0000FF"/>
              <w:bottom w:val="single" w:sz="8" w:color="0000FF"/>
            </w:tcBorders>
            <w:gridSpan w:val="16"/>
            <w:shd w:val="clear" w:color="auto" w:fill="CCEEFF"/>
          </w:tcPr>
          <w:p>
            <w:pPr>
              <w:spacing w:after="0" w:line="15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(incorporated by reference to Exhibit 3.3 of the Partnership’s Current Report on Form 8-K (File 001-36505) filed on May 15, 2018).</w:t>
              </w:r>
            </w:hyperlink>
          </w:p>
        </w:tc>
        <w:tc>
          <w:tcPr>
            <w:tcW w:w="54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tcPr>
          <w:p>
            <w:pPr>
              <w:ind w:left="20"/>
              <w:spacing w:after="0" w:line="189" w:lineRule="exact"/>
              <w:rPr>
                <w:sz w:val="20"/>
                <w:szCs w:val="20"/>
                <w:color w:val="auto"/>
              </w:rPr>
            </w:pPr>
            <w:r>
              <w:rPr>
                <w:rFonts w:ascii="Arial" w:cs="Arial" w:eastAsia="Arial" w:hAnsi="Arial"/>
                <w:sz w:val="18"/>
                <w:szCs w:val="18"/>
                <w:color w:val="auto"/>
              </w:rPr>
              <w:t>3.6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520" w:type="dxa"/>
            <w:vAlign w:val="bottom"/>
            <w:gridSpan w:val="46"/>
          </w:tcPr>
          <w:p>
            <w:pPr>
              <w:spacing w:after="0" w:line="189"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First Amendment to Second Amended and Restated Limited Liability Company Agreement of Viper Energy Partners LLC, dated as of</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0" w:type="dxa"/>
            <w:vAlign w:val="bottom"/>
            <w:tcBorders>
              <w:top w:val="single" w:sz="8" w:color="0000FF"/>
            </w:tcBorders>
            <w:gridSpan w:val="40"/>
          </w:tcPr>
          <w:p>
            <w:pPr>
              <w:spacing w:after="0" w:line="156"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March 30, 2020 (incorporated by reference to Exhibit 3.1 of the Partnership’s Current Report on Form 8-K (File 001-36505) filed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63">
              <w:r>
                <w:rPr>
                  <w:rFonts w:ascii="Arial" w:cs="Arial" w:eastAsia="Arial" w:hAnsi="Arial"/>
                  <w:sz w:val="18"/>
                  <w:szCs w:val="18"/>
                  <w:color w:val="0000FF"/>
                </w:rPr>
                <w:t>March 31, 2020).</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520" w:type="dxa"/>
            <w:vAlign w:val="bottom"/>
            <w:gridSpan w:val="46"/>
            <w:shd w:val="clear" w:color="auto" w:fill="CCEEFF"/>
          </w:tcPr>
          <w:p>
            <w:pPr>
              <w:spacing w:after="0" w:line="189"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Second Amendment to the Second Amended and Restated Limited Liability Company Agreement of Viper Energy Partners LLC, dated as</w:t>
              </w:r>
            </w:hyperlink>
          </w:p>
        </w:tc>
        <w:tc>
          <w:tcPr>
            <w:tcW w:w="0" w:type="dxa"/>
            <w:vAlign w:val="bottom"/>
          </w:tcPr>
          <w:p>
            <w:pPr>
              <w:spacing w:after="0"/>
              <w:rPr>
                <w:sz w:val="1"/>
                <w:szCs w:val="1"/>
                <w:color w:val="auto"/>
              </w:rPr>
            </w:pPr>
          </w:p>
        </w:tc>
      </w:tr>
      <w:tr>
        <w:trPr>
          <w:trHeight w:val="155"/>
        </w:trPr>
        <w:tc>
          <w:tcPr>
            <w:tcW w:w="7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380" w:type="dxa"/>
            <w:vAlign w:val="bottom"/>
            <w:tcBorders>
              <w:top w:val="single" w:sz="8" w:color="0000FF"/>
            </w:tcBorders>
            <w:gridSpan w:val="39"/>
            <w:shd w:val="clear" w:color="auto" w:fill="CCEEFF"/>
          </w:tcPr>
          <w:p>
            <w:pPr>
              <w:spacing w:after="0" w:line="156" w:lineRule="exact"/>
              <w:rPr>
                <w:rFonts w:ascii="Arial" w:cs="Arial" w:eastAsia="Arial" w:hAnsi="Arial"/>
                <w:sz w:val="18"/>
                <w:szCs w:val="18"/>
                <w:color w:val="0000FF"/>
                <w:w w:val="97"/>
              </w:rPr>
            </w:pPr>
            <w:hyperlink r:id="rId64">
              <w:r>
                <w:rPr>
                  <w:rFonts w:ascii="Arial" w:cs="Arial" w:eastAsia="Arial" w:hAnsi="Arial"/>
                  <w:sz w:val="18"/>
                  <w:szCs w:val="18"/>
                  <w:color w:val="0000FF"/>
                  <w:w w:val="97"/>
                </w:rPr>
                <w:t>of December 27, 2021 (incorporated by reference to Exhibit 3.1 of the Partnership’s Current Report on Form 8-K (File 001-36505) filed</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740" w:type="dxa"/>
            <w:vAlign w:val="bottom"/>
            <w:tcBorders>
              <w:top w:val="single" w:sz="8" w:color="0000FF"/>
              <w:bottom w:val="single" w:sz="8" w:color="0000FF"/>
            </w:tcBorders>
            <w:gridSpan w:val="6"/>
            <w:shd w:val="clear" w:color="auto" w:fill="CCEEFF"/>
          </w:tcPr>
          <w:p>
            <w:pPr>
              <w:spacing w:after="0" w:line="169" w:lineRule="exact"/>
              <w:rPr>
                <w:rFonts w:ascii="Arial" w:cs="Arial" w:eastAsia="Arial" w:hAnsi="Arial"/>
                <w:sz w:val="18"/>
                <w:szCs w:val="18"/>
                <w:color w:val="0000FF"/>
                <w:w w:val="88"/>
              </w:rPr>
            </w:pPr>
            <w:hyperlink r:id="rId64">
              <w:r>
                <w:rPr>
                  <w:rFonts w:ascii="Arial" w:cs="Arial" w:eastAsia="Arial" w:hAnsi="Arial"/>
                  <w:sz w:val="18"/>
                  <w:szCs w:val="18"/>
                  <w:color w:val="0000FF"/>
                  <w:w w:val="88"/>
                </w:rPr>
                <w:t>on December 28, 2021).</w:t>
              </w:r>
            </w:hyperlink>
          </w:p>
        </w:tc>
        <w:tc>
          <w:tcPr>
            <w:tcW w:w="824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520" w:type="dxa"/>
            <w:vAlign w:val="bottom"/>
            <w:gridSpan w:val="46"/>
          </w:tcPr>
          <w:p>
            <w:pPr>
              <w:spacing w:after="0" w:line="189" w:lineRule="exact"/>
              <w:rPr>
                <w:rFonts w:ascii="Arial" w:cs="Arial" w:eastAsia="Arial" w:hAnsi="Arial"/>
                <w:sz w:val="18"/>
                <w:szCs w:val="18"/>
                <w:color w:val="0000FF"/>
              </w:rPr>
            </w:pPr>
            <w:hyperlink r:id="rId65">
              <w:r>
                <w:rPr>
                  <w:rFonts w:ascii="Arial" w:cs="Arial" w:eastAsia="Arial" w:hAnsi="Arial"/>
                  <w:sz w:val="18"/>
                  <w:szCs w:val="18"/>
                  <w:color w:val="0000FF"/>
                </w:rPr>
                <w:t>Amended and Restated Registration Rights Agreement, dated as of May 9, 2018, by and between Viper Energy Partners LP and</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Diamondback Energy, Inc. (incorporated by reference to Exhibit 4.1 of the Partnership’s Current Report on Form 8-K (File 001-36505)</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20" w:type="dxa"/>
            <w:vAlign w:val="bottom"/>
            <w:gridSpan w:val="36"/>
          </w:tcPr>
          <w:p>
            <w:pPr>
              <w:spacing w:after="0" w:line="169" w:lineRule="exact"/>
              <w:rPr>
                <w:rFonts w:ascii="Arial" w:cs="Arial" w:eastAsia="Arial" w:hAnsi="Arial"/>
                <w:sz w:val="18"/>
                <w:szCs w:val="18"/>
                <w:color w:val="0000FF"/>
              </w:rPr>
            </w:pPr>
            <w:hyperlink r:id="rId65">
              <w:r>
                <w:rPr>
                  <w:rFonts w:ascii="Arial" w:cs="Arial" w:eastAsia="Arial" w:hAnsi="Arial"/>
                  <w:sz w:val="18"/>
                  <w:szCs w:val="18"/>
                  <w:color w:val="0000FF"/>
                </w:rPr>
                <w:t>filed on May 15,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520" w:type="dxa"/>
            <w:vAlign w:val="bottom"/>
            <w:gridSpan w:val="46"/>
            <w:shd w:val="clear" w:color="auto" w:fill="CCEEFF"/>
          </w:tcPr>
          <w:p>
            <w:pPr>
              <w:spacing w:after="0" w:line="189" w:lineRule="exact"/>
              <w:rPr>
                <w:rFonts w:ascii="Arial" w:cs="Arial" w:eastAsia="Arial" w:hAnsi="Arial"/>
                <w:sz w:val="18"/>
                <w:szCs w:val="18"/>
                <w:color w:val="0000FF"/>
                <w:w w:val="97"/>
              </w:rPr>
            </w:pPr>
            <w:hyperlink r:id="rId66">
              <w:r>
                <w:rPr>
                  <w:rFonts w:ascii="Arial" w:cs="Arial" w:eastAsia="Arial" w:hAnsi="Arial"/>
                  <w:sz w:val="18"/>
                  <w:szCs w:val="18"/>
                  <w:color w:val="0000FF"/>
                  <w:w w:val="97"/>
                </w:rPr>
                <w:t>Registration Rights Agreement, dated as of November 1, 2023, by and among Viper Energy Partners LP, Warwick Royalty and Mineral</w:t>
              </w:r>
            </w:hyperlink>
          </w:p>
        </w:tc>
        <w:tc>
          <w:tcPr>
            <w:tcW w:w="0" w:type="dxa"/>
            <w:vAlign w:val="bottom"/>
          </w:tcPr>
          <w:p>
            <w:pPr>
              <w:spacing w:after="0"/>
              <w:rPr>
                <w:sz w:val="1"/>
                <w:szCs w:val="1"/>
                <w:color w:val="auto"/>
              </w:rPr>
            </w:pPr>
          </w:p>
        </w:tc>
      </w:tr>
      <w:tr>
        <w:trPr>
          <w:trHeight w:val="155"/>
        </w:trPr>
        <w:tc>
          <w:tcPr>
            <w:tcW w:w="7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0000FF"/>
            </w:tcBorders>
            <w:gridSpan w:val="43"/>
            <w:shd w:val="clear" w:color="auto" w:fill="CCEEFF"/>
          </w:tcPr>
          <w:p>
            <w:pPr>
              <w:spacing w:after="0" w:line="156" w:lineRule="exact"/>
              <w:rPr>
                <w:rFonts w:ascii="Arial" w:cs="Arial" w:eastAsia="Arial" w:hAnsi="Arial"/>
                <w:sz w:val="18"/>
                <w:szCs w:val="18"/>
                <w:color w:val="0000FF"/>
                <w:w w:val="96"/>
              </w:rPr>
            </w:pPr>
            <w:hyperlink r:id="rId66">
              <w:r>
                <w:rPr>
                  <w:rFonts w:ascii="Arial" w:cs="Arial" w:eastAsia="Arial" w:hAnsi="Arial"/>
                  <w:sz w:val="18"/>
                  <w:szCs w:val="18"/>
                  <w:color w:val="0000FF"/>
                  <w:w w:val="96"/>
                </w:rPr>
                <w:t>Master Fund LP, Royalty Asset Holdings, LP, Royalty Asset Holdings II, LP and Saxum Asset Holdings, LP (incorporated by reference to</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0000FF"/>
            </w:tcBorders>
            <w:gridSpan w:val="37"/>
            <w:shd w:val="clear" w:color="auto" w:fill="CCEEFF"/>
          </w:tcPr>
          <w:p>
            <w:pPr>
              <w:spacing w:after="0" w:line="169" w:lineRule="exact"/>
              <w:rPr>
                <w:rFonts w:ascii="Arial" w:cs="Arial" w:eastAsia="Arial" w:hAnsi="Arial"/>
                <w:sz w:val="18"/>
                <w:szCs w:val="18"/>
                <w:color w:val="0000FF"/>
              </w:rPr>
            </w:pPr>
            <w:hyperlink r:id="rId66">
              <w:r>
                <w:rPr>
                  <w:rFonts w:ascii="Arial" w:cs="Arial" w:eastAsia="Arial" w:hAnsi="Arial"/>
                  <w:sz w:val="18"/>
                  <w:szCs w:val="18"/>
                  <w:color w:val="0000FF"/>
                </w:rPr>
                <w:t>Exhibit 4.1 of the Partnership’s Current Report on Form 8-K (File No. 001-36505) filed on November 7, 2023.</w:t>
              </w:r>
            </w:hyperlink>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 w:type="dxa"/>
            <w:vAlign w:val="bottom"/>
          </w:tcPr>
          <w:p>
            <w:pPr>
              <w:ind w:left="20"/>
              <w:spacing w:after="0" w:line="189" w:lineRule="exact"/>
              <w:rPr>
                <w:sz w:val="20"/>
                <w:szCs w:val="20"/>
                <w:color w:val="auto"/>
              </w:rPr>
            </w:pPr>
            <w:r>
              <w:rPr>
                <w:rFonts w:ascii="Arial" w:cs="Arial" w:eastAsia="Arial" w:hAnsi="Arial"/>
                <w:sz w:val="18"/>
                <w:szCs w:val="18"/>
                <w:color w:val="auto"/>
              </w:rPr>
              <w:t>4.3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520" w:type="dxa"/>
            <w:vAlign w:val="bottom"/>
            <w:gridSpan w:val="46"/>
          </w:tcPr>
          <w:p>
            <w:pPr>
              <w:spacing w:after="0" w:line="189" w:lineRule="exact"/>
              <w:rPr>
                <w:rFonts w:ascii="Arial" w:cs="Arial" w:eastAsia="Arial" w:hAnsi="Arial"/>
                <w:sz w:val="18"/>
                <w:szCs w:val="18"/>
                <w:color w:val="0000FF"/>
              </w:rPr>
            </w:pPr>
            <w:hyperlink r:id="rId67">
              <w:r>
                <w:rPr>
                  <w:rFonts w:ascii="Arial" w:cs="Arial" w:eastAsia="Arial" w:hAnsi="Arial"/>
                  <w:sz w:val="18"/>
                  <w:szCs w:val="18"/>
                  <w:color w:val="0000FF"/>
                </w:rPr>
                <w:t>Indenture, dated as of October 19, 2023, among Viper Energy Partners LP, as issuer, Viper Energy Partners LLC, as guarantor and</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40" w:type="dxa"/>
            <w:vAlign w:val="bottom"/>
            <w:tcBorders>
              <w:top w:val="single" w:sz="8" w:color="0000FF"/>
              <w:bottom w:val="single" w:sz="8" w:color="0000FF"/>
            </w:tcBorders>
            <w:gridSpan w:val="42"/>
          </w:tcPr>
          <w:p>
            <w:pPr>
              <w:spacing w:after="0" w:line="156" w:lineRule="exact"/>
              <w:rPr>
                <w:rFonts w:ascii="Arial" w:cs="Arial" w:eastAsia="Arial" w:hAnsi="Arial"/>
                <w:sz w:val="18"/>
                <w:szCs w:val="18"/>
                <w:color w:val="0000FF"/>
                <w:w w:val="96"/>
              </w:rPr>
            </w:pPr>
            <w:hyperlink r:id="rId67">
              <w:r>
                <w:rPr>
                  <w:rFonts w:ascii="Arial" w:cs="Arial" w:eastAsia="Arial" w:hAnsi="Arial"/>
                  <w:sz w:val="18"/>
                  <w:szCs w:val="18"/>
                  <w:color w:val="0000FF"/>
                  <w:w w:val="96"/>
                </w:rPr>
                <w:t>Computershare Trust Company National Association, as trustee (including the form of Viper Energy Partners LP’s 7.375% Senior Notes</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500" w:type="dxa"/>
            <w:vAlign w:val="bottom"/>
            <w:gridSpan w:val="45"/>
          </w:tcPr>
          <w:p>
            <w:pPr>
              <w:spacing w:after="0" w:line="169" w:lineRule="exact"/>
              <w:rPr>
                <w:rFonts w:ascii="Arial" w:cs="Arial" w:eastAsia="Arial" w:hAnsi="Arial"/>
                <w:sz w:val="18"/>
                <w:szCs w:val="18"/>
                <w:color w:val="0000FF"/>
              </w:rPr>
            </w:pPr>
            <w:hyperlink r:id="rId67">
              <w:r>
                <w:rPr>
                  <w:rFonts w:ascii="Arial" w:cs="Arial" w:eastAsia="Arial" w:hAnsi="Arial"/>
                  <w:sz w:val="18"/>
                  <w:szCs w:val="18"/>
                  <w:color w:val="0000FF"/>
                </w:rPr>
                <w:t>due 2031) (incorporated by reference to Exhibit 4.1 of the Partnership’s Current Report on Form 8-K (File No. 001-36505) filed 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October 25, 2023).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520" w:type="dxa"/>
            <w:vAlign w:val="bottom"/>
            <w:gridSpan w:val="46"/>
            <w:shd w:val="clear" w:color="auto" w:fill="CCEEFF"/>
          </w:tcPr>
          <w:p>
            <w:pPr>
              <w:spacing w:after="0" w:line="189" w:lineRule="exact"/>
              <w:rPr>
                <w:rFonts w:ascii="Arial" w:cs="Arial" w:eastAsia="Arial" w:hAnsi="Arial"/>
                <w:sz w:val="18"/>
                <w:szCs w:val="18"/>
                <w:color w:val="0000FF"/>
              </w:rPr>
            </w:pPr>
            <w:hyperlink r:id="rId68">
              <w:r>
                <w:rPr>
                  <w:rFonts w:ascii="Arial" w:cs="Arial" w:eastAsia="Arial" w:hAnsi="Arial"/>
                  <w:sz w:val="18"/>
                  <w:szCs w:val="18"/>
                  <w:color w:val="0000FF"/>
                </w:rPr>
                <w:t>Common Unit Purchase and Sale Agreement, entered into on September 4, 2023, by and among Viper Energy Partners LP and</w:t>
              </w:r>
            </w:hyperlink>
          </w:p>
        </w:tc>
        <w:tc>
          <w:tcPr>
            <w:tcW w:w="0" w:type="dxa"/>
            <w:vAlign w:val="bottom"/>
          </w:tcPr>
          <w:p>
            <w:pPr>
              <w:spacing w:after="0"/>
              <w:rPr>
                <w:sz w:val="1"/>
                <w:szCs w:val="1"/>
                <w:color w:val="auto"/>
              </w:rPr>
            </w:pPr>
          </w:p>
        </w:tc>
      </w:tr>
      <w:tr>
        <w:trPr>
          <w:trHeight w:val="155"/>
        </w:trPr>
        <w:tc>
          <w:tcPr>
            <w:tcW w:w="7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220" w:type="dxa"/>
            <w:vAlign w:val="bottom"/>
            <w:tcBorders>
              <w:top w:val="single" w:sz="8" w:color="0000FF"/>
            </w:tcBorders>
            <w:gridSpan w:val="31"/>
            <w:shd w:val="clear" w:color="auto" w:fill="CCEEFF"/>
          </w:tcPr>
          <w:p>
            <w:pPr>
              <w:spacing w:after="0" w:line="156" w:lineRule="exact"/>
              <w:rPr>
                <w:rFonts w:ascii="Arial" w:cs="Arial" w:eastAsia="Arial" w:hAnsi="Arial"/>
                <w:sz w:val="18"/>
                <w:szCs w:val="18"/>
                <w:color w:val="0000FF"/>
                <w:w w:val="97"/>
              </w:rPr>
            </w:pPr>
            <w:hyperlink r:id="rId68">
              <w:r>
                <w:rPr>
                  <w:rFonts w:ascii="Arial" w:cs="Arial" w:eastAsia="Arial" w:hAnsi="Arial"/>
                  <w:sz w:val="18"/>
                  <w:szCs w:val="18"/>
                  <w:color w:val="0000FF"/>
                  <w:w w:val="97"/>
                </w:rPr>
                <w:t>Diamondback Energy, Inc. (incorporated by reference to Exhibit 10.1 of the Partnership’s Current Report on Form 8-K (File No. 001-</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60" w:type="dxa"/>
            <w:vAlign w:val="bottom"/>
            <w:tcBorders>
              <w:top w:val="single" w:sz="8" w:color="CCEEFF"/>
            </w:tcBorders>
            <w:gridSpan w:val="8"/>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900" w:type="dxa"/>
            <w:vAlign w:val="bottom"/>
            <w:tcBorders>
              <w:top w:val="single" w:sz="8" w:color="0000FF"/>
              <w:bottom w:val="single" w:sz="8" w:color="0000FF"/>
            </w:tcBorders>
            <w:gridSpan w:val="7"/>
            <w:shd w:val="clear" w:color="auto" w:fill="CCEEFF"/>
          </w:tcPr>
          <w:p>
            <w:pPr>
              <w:spacing w:after="0" w:line="169" w:lineRule="exact"/>
              <w:rPr>
                <w:rFonts w:ascii="Arial" w:cs="Arial" w:eastAsia="Arial" w:hAnsi="Arial"/>
                <w:sz w:val="18"/>
                <w:szCs w:val="18"/>
                <w:color w:val="0000FF"/>
                <w:w w:val="88"/>
              </w:rPr>
            </w:pPr>
            <w:hyperlink r:id="rId68">
              <w:r>
                <w:rPr>
                  <w:rFonts w:ascii="Arial" w:cs="Arial" w:eastAsia="Arial" w:hAnsi="Arial"/>
                  <w:sz w:val="18"/>
                  <w:szCs w:val="18"/>
                  <w:color w:val="0000FF"/>
                  <w:w w:val="88"/>
                </w:rPr>
                <w:t>36505) filed on September</w:t>
              </w:r>
            </w:hyperlink>
          </w:p>
        </w:tc>
        <w:tc>
          <w:tcPr>
            <w:tcW w:w="700" w:type="dxa"/>
            <w:vAlign w:val="bottom"/>
            <w:tcBorders>
              <w:top w:val="single" w:sz="8" w:color="0000FF"/>
              <w:bottom w:val="single" w:sz="8" w:color="0000FF"/>
            </w:tcBorders>
            <w:shd w:val="clear" w:color="auto" w:fill="CCEEFF"/>
          </w:tcPr>
          <w:p>
            <w:pPr>
              <w:jc w:val="right"/>
              <w:spacing w:after="0" w:line="169" w:lineRule="exact"/>
              <w:rPr>
                <w:rFonts w:ascii="Arial" w:cs="Arial" w:eastAsia="Arial" w:hAnsi="Arial"/>
                <w:sz w:val="18"/>
                <w:szCs w:val="18"/>
                <w:color w:val="0000FF"/>
                <w:w w:val="95"/>
              </w:rPr>
            </w:pPr>
            <w:hyperlink r:id="rId68">
              <w:r>
                <w:rPr>
                  <w:rFonts w:ascii="Arial" w:cs="Arial" w:eastAsia="Arial" w:hAnsi="Arial"/>
                  <w:sz w:val="18"/>
                  <w:szCs w:val="18"/>
                  <w:color w:val="0000FF"/>
                  <w:w w:val="95"/>
                </w:rPr>
                <w:t>7, 2023).</w:t>
              </w:r>
            </w:hyperlink>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1200" w:type="dxa"/>
            <w:vAlign w:val="bottom"/>
            <w:tcBorders>
              <w:top w:val="single" w:sz="8" w:color="0000FF"/>
              <w:bottom w:val="single" w:sz="8" w:color="CCEEFF"/>
            </w:tcBorders>
            <w:shd w:val="clear" w:color="auto" w:fill="CCEEFF"/>
          </w:tcPr>
          <w:p>
            <w:pPr>
              <w:spacing w:after="0"/>
              <w:rPr>
                <w:sz w:val="16"/>
                <w:szCs w:val="16"/>
                <w:color w:val="auto"/>
              </w:rPr>
            </w:pPr>
          </w:p>
        </w:tc>
        <w:tc>
          <w:tcPr>
            <w:tcW w:w="500" w:type="dxa"/>
            <w:vAlign w:val="bottom"/>
            <w:tcBorders>
              <w:top w:val="single" w:sz="8" w:color="0000FF"/>
              <w:bottom w:val="single" w:sz="8" w:color="CCEEFF"/>
            </w:tcBorders>
            <w:shd w:val="clear" w:color="auto" w:fill="CCEEFF"/>
          </w:tcPr>
          <w:p>
            <w:pPr>
              <w:spacing w:after="0"/>
              <w:rPr>
                <w:sz w:val="16"/>
                <w:szCs w:val="16"/>
                <w:color w:val="auto"/>
              </w:rPr>
            </w:pPr>
          </w:p>
        </w:tc>
        <w:tc>
          <w:tcPr>
            <w:tcW w:w="38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514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12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10.2</w:t>
            </w: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520" w:type="dxa"/>
            <w:vAlign w:val="bottom"/>
            <w:tcBorders>
              <w:top w:val="single" w:sz="8" w:color="CCEEFF"/>
            </w:tcBorders>
            <w:gridSpan w:val="46"/>
          </w:tcPr>
          <w:p>
            <w:pPr>
              <w:spacing w:after="0" w:line="189" w:lineRule="exact"/>
              <w:rPr>
                <w:rFonts w:ascii="Arial" w:cs="Arial" w:eastAsia="Arial" w:hAnsi="Arial"/>
                <w:sz w:val="18"/>
                <w:szCs w:val="18"/>
                <w:color w:val="0000FF"/>
                <w:w w:val="97"/>
              </w:rPr>
            </w:pPr>
            <w:hyperlink r:id="rId69">
              <w:r>
                <w:rPr>
                  <w:rFonts w:ascii="Arial" w:cs="Arial" w:eastAsia="Arial" w:hAnsi="Arial"/>
                  <w:sz w:val="18"/>
                  <w:szCs w:val="18"/>
                  <w:color w:val="0000FF"/>
                  <w:w w:val="97"/>
                </w:rPr>
                <w:t xml:space="preserve">Eleventh Amendment to Amended and Restated Senior Secured Revolving Credit Agreement dated as of September 22, 2023, by </w:t>
              </w:r>
            </w:hyperlink>
            <w:r>
              <w:rPr>
                <w:rFonts w:ascii="Arial" w:cs="Arial" w:eastAsia="Arial" w:hAnsi="Arial"/>
                <w:sz w:val="18"/>
                <w:szCs w:val="18"/>
                <w:color w:val="0000FF"/>
                <w:w w:val="97"/>
              </w:rPr>
              <w:t>and</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among Viper Energy Partners LLC, as borrower, Viper Energy Partners LP, as parent guarantor, Wells Fargo Bank, National Association,</w:t>
              </w:r>
            </w:hyperlink>
          </w:p>
        </w:tc>
        <w:tc>
          <w:tcPr>
            <w:tcW w:w="40" w:type="dxa"/>
            <w:vAlign w:val="bottom"/>
            <w:tcBorders>
              <w:bottom w:val="single" w:sz="8" w:color="0000FF"/>
            </w:tcBorders>
            <w:gridSpan w:val="2"/>
          </w:tcPr>
          <w:p>
            <w:pPr>
              <w:spacing w:after="0"/>
              <w:rPr>
                <w:sz w:val="13"/>
                <w:szCs w:val="13"/>
                <w:color w:val="auto"/>
              </w:rPr>
            </w:pPr>
          </w:p>
        </w:tc>
        <w:tc>
          <w:tcPr>
            <w:tcW w:w="160" w:type="dxa"/>
            <w:vAlign w:val="bottom"/>
            <w:tcBorders>
              <w:bottom w:val="single" w:sz="8" w:color="0000FF"/>
            </w:tcBorders>
            <w:gridSpan w:val="8"/>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60" w:type="dxa"/>
            <w:vAlign w:val="bottom"/>
            <w:tcBorders>
              <w:bottom w:val="single" w:sz="8" w:color="0000FF"/>
            </w:tcBorders>
            <w:gridSpan w:val="38"/>
          </w:tcPr>
          <w:p>
            <w:pPr>
              <w:spacing w:after="0" w:line="169"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as administrative agent, and the lenders party thereto (incorporated by reference to Exhibit 10.1 of the Partnership’s Current Report on</w:t>
              </w:r>
            </w:hyperlink>
          </w:p>
        </w:tc>
        <w:tc>
          <w:tcPr>
            <w:tcW w:w="20" w:type="dxa"/>
            <w:vAlign w:val="bottom"/>
            <w:tcBorders>
              <w:bottom w:val="single" w:sz="8" w:color="0000FF"/>
            </w:tcBorders>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520" w:type="dxa"/>
            <w:vAlign w:val="bottom"/>
            <w:gridSpan w:val="46"/>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Form 8-K (File No. 001-36505) filed on September 28, 2023)</w:t>
              </w:r>
            </w:hyperlink>
            <w:hyperlink r:id="rId69">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520" w:type="dxa"/>
            <w:vAlign w:val="bottom"/>
            <w:gridSpan w:val="46"/>
            <w:shd w:val="clear" w:color="auto" w:fill="CCEEFF"/>
          </w:tcPr>
          <w:p>
            <w:pPr>
              <w:spacing w:after="0" w:line="189"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Twelfth Amendment to Amended and Restated Senior Secured Revolving Credit Agreement dated as of September 22, 2023, by and</w:t>
              </w:r>
            </w:hyperlink>
          </w:p>
        </w:tc>
        <w:tc>
          <w:tcPr>
            <w:tcW w:w="0" w:type="dxa"/>
            <w:vAlign w:val="bottom"/>
          </w:tcPr>
          <w:p>
            <w:pPr>
              <w:spacing w:after="0"/>
              <w:rPr>
                <w:sz w:val="1"/>
                <w:szCs w:val="1"/>
                <w:color w:val="auto"/>
              </w:rPr>
            </w:pPr>
          </w:p>
        </w:tc>
      </w:tr>
      <w:tr>
        <w:trPr>
          <w:trHeight w:val="156"/>
        </w:trPr>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00" w:type="dxa"/>
            <w:vAlign w:val="bottom"/>
            <w:tcBorders>
              <w:top w:val="single" w:sz="8" w:color="0000FF"/>
              <w:bottom w:val="single" w:sz="8" w:color="0000FF"/>
            </w:tcBorders>
            <w:gridSpan w:val="20"/>
            <w:shd w:val="clear" w:color="auto" w:fill="CCEEFF"/>
          </w:tcPr>
          <w:p>
            <w:pPr>
              <w:spacing w:after="0" w:line="15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among Viper Energy Partners LLC, as borrower, Viper Energy Partners LP, as parent guarantor, Wells Fargo Bank, National Association,</w:t>
              </w:r>
            </w:hyperlink>
          </w:p>
        </w:tc>
        <w:tc>
          <w:tcPr>
            <w:tcW w:w="140" w:type="dxa"/>
            <w:vAlign w:val="bottom"/>
            <w:tcBorders>
              <w:top w:val="single" w:sz="8" w:color="CCEEFF"/>
              <w:bottom w:val="single" w:sz="8" w:color="0000FF"/>
            </w:tcBorders>
            <w:gridSpan w:val="7"/>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8"/>
            <w:shd w:val="clear" w:color="auto" w:fill="CCEEFF"/>
          </w:tcPr>
          <w:p>
            <w:pPr>
              <w:spacing w:after="0"/>
              <w:rPr>
                <w:sz w:val="13"/>
                <w:szCs w:val="13"/>
                <w:color w:val="auto"/>
              </w:rPr>
            </w:pPr>
          </w:p>
        </w:tc>
        <w:tc>
          <w:tcPr>
            <w:tcW w:w="220" w:type="dxa"/>
            <w:vAlign w:val="bottom"/>
            <w:tcBorders>
              <w:top w:val="single" w:sz="8" w:color="CCEEFF"/>
              <w:bottom w:val="single" w:sz="8" w:color="CCEEFF"/>
            </w:tcBorders>
            <w:gridSpan w:val="11"/>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40" w:type="dxa"/>
            <w:vAlign w:val="bottom"/>
            <w:gridSpan w:val="27"/>
            <w:shd w:val="clear" w:color="auto" w:fill="CCEEFF"/>
          </w:tcPr>
          <w:p>
            <w:pPr>
              <w:spacing w:after="0" w:line="169"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as administrative agent, and the lenders party thereto (incorporated by reference to Exhibit 10.2 of the Partnership’s Current Report on</w:t>
              </w:r>
            </w:hyperlink>
          </w:p>
        </w:tc>
        <w:tc>
          <w:tcPr>
            <w:tcW w:w="160" w:type="dxa"/>
            <w:vAlign w:val="bottom"/>
            <w:gridSpan w:val="8"/>
            <w:shd w:val="clear" w:color="auto" w:fill="CCEEFF"/>
          </w:tcPr>
          <w:p>
            <w:pPr>
              <w:spacing w:after="0"/>
              <w:rPr>
                <w:sz w:val="14"/>
                <w:szCs w:val="14"/>
                <w:color w:val="auto"/>
              </w:rPr>
            </w:pPr>
          </w:p>
        </w:tc>
        <w:tc>
          <w:tcPr>
            <w:tcW w:w="220" w:type="dxa"/>
            <w:vAlign w:val="bottom"/>
            <w:gridSpan w:val="11"/>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98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Form 8-K (File No. 001-36505) filed on September 28,</w:t>
              </w:r>
            </w:hyperlink>
          </w:p>
        </w:tc>
        <w:tc>
          <w:tcPr>
            <w:tcW w:w="6020" w:type="dxa"/>
            <w:vAlign w:val="bottom"/>
            <w:tcBorders>
              <w:top w:val="single" w:sz="8" w:color="0000FF"/>
            </w:tcBorders>
            <w:gridSpan w:val="10"/>
            <w:shd w:val="clear" w:color="auto" w:fill="CCEEFF"/>
          </w:tcPr>
          <w:p>
            <w:pPr>
              <w:jc w:val="right"/>
              <w:ind w:right="5520"/>
              <w:spacing w:after="0" w:line="156"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2023)</w:t>
              </w:r>
            </w:hyperlink>
            <w:hyperlink r:id="rId70">
              <w:r>
                <w:rPr>
                  <w:rFonts w:ascii="Arial" w:cs="Arial" w:eastAsia="Arial" w:hAnsi="Arial"/>
                  <w:sz w:val="18"/>
                  <w:szCs w:val="18"/>
                  <w:color w:val="0000FF"/>
                  <w:w w:val="93"/>
                </w:rPr>
                <w:t>.</w:t>
              </w:r>
            </w:hyperlink>
          </w:p>
        </w:tc>
        <w:tc>
          <w:tcPr>
            <w:tcW w:w="300" w:type="dxa"/>
            <w:vAlign w:val="bottom"/>
            <w:tcBorders>
              <w:top w:val="single" w:sz="8" w:color="0000FF"/>
            </w:tcBorders>
            <w:gridSpan w:val="15"/>
            <w:shd w:val="clear" w:color="auto" w:fill="CCEEFF"/>
          </w:tcPr>
          <w:p>
            <w:pPr>
              <w:spacing w:after="0"/>
              <w:rPr>
                <w:sz w:val="13"/>
                <w:szCs w:val="13"/>
                <w:color w:val="auto"/>
              </w:rPr>
            </w:pPr>
          </w:p>
        </w:tc>
        <w:tc>
          <w:tcPr>
            <w:tcW w:w="100" w:type="dxa"/>
            <w:vAlign w:val="bottom"/>
            <w:tcBorders>
              <w:top w:val="single" w:sz="8" w:color="0000FF"/>
            </w:tcBorders>
            <w:gridSpan w:val="5"/>
            <w:shd w:val="clear" w:color="auto" w:fill="CCEEFF"/>
          </w:tcPr>
          <w:p>
            <w:pPr>
              <w:spacing w:after="0"/>
              <w:rPr>
                <w:sz w:val="13"/>
                <w:szCs w:val="13"/>
                <w:color w:val="auto"/>
              </w:rPr>
            </w:pPr>
          </w:p>
        </w:tc>
        <w:tc>
          <w:tcPr>
            <w:tcW w:w="120" w:type="dxa"/>
            <w:vAlign w:val="bottom"/>
            <w:tcBorders>
              <w:top w:val="single" w:sz="8" w:color="CCEEFF"/>
            </w:tcBorders>
            <w:gridSpan w:val="6"/>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520" w:type="dxa"/>
            <w:vAlign w:val="bottom"/>
            <w:gridSpan w:val="46"/>
          </w:tcPr>
          <w:p>
            <w:pPr>
              <w:spacing w:after="0" w:line="189" w:lineRule="exact"/>
              <w:rPr>
                <w:rFonts w:ascii="Arial" w:cs="Arial" w:eastAsia="Arial" w:hAnsi="Arial"/>
                <w:sz w:val="18"/>
                <w:szCs w:val="18"/>
                <w:color w:val="0000FF"/>
                <w:w w:val="96"/>
              </w:rPr>
            </w:pPr>
            <w:hyperlink r:id="rId71">
              <w:r>
                <w:rPr>
                  <w:rFonts w:ascii="Arial" w:cs="Arial" w:eastAsia="Arial" w:hAnsi="Arial"/>
                  <w:sz w:val="18"/>
                  <w:szCs w:val="18"/>
                  <w:color w:val="0000FF"/>
                  <w:w w:val="96"/>
                </w:rPr>
                <w:t>Subordinated Promissory Note, dated as of October 19, 2023, made by Viper Energy Partners LLC payable to Viper Energy Partners LP</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tcBorders>
              <w:top w:val="single" w:sz="8" w:color="0000FF"/>
            </w:tcBorders>
            <w:gridSpan w:val="35"/>
          </w:tcPr>
          <w:p>
            <w:pPr>
              <w:spacing w:after="0" w:line="156" w:lineRule="exact"/>
              <w:rPr>
                <w:rFonts w:ascii="Arial" w:cs="Arial" w:eastAsia="Arial" w:hAnsi="Arial"/>
                <w:sz w:val="18"/>
                <w:szCs w:val="18"/>
                <w:color w:val="0000FF"/>
                <w:w w:val="97"/>
              </w:rPr>
            </w:pPr>
            <w:hyperlink r:id="rId71">
              <w:r>
                <w:rPr>
                  <w:rFonts w:ascii="Arial" w:cs="Arial" w:eastAsia="Arial" w:hAnsi="Arial"/>
                  <w:sz w:val="18"/>
                  <w:szCs w:val="18"/>
                  <w:color w:val="0000FF"/>
                  <w:w w:val="97"/>
                </w:rPr>
                <w:t>(incorporated by reference to Exhibit 10.1 of the Partnership’s Current Report on Form 8-K (File No. 001-36505) filed on October 25,</w:t>
              </w:r>
            </w:hyperlink>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440" w:type="dxa"/>
            <w:vAlign w:val="bottom"/>
            <w:gridSpan w:val="3"/>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6"/>
              </w:rPr>
            </w:pPr>
            <w:hyperlink r:id="rId71">
              <w:r>
                <w:rPr>
                  <w:rFonts w:ascii="Arial" w:cs="Arial" w:eastAsia="Arial" w:hAnsi="Arial"/>
                  <w:sz w:val="18"/>
                  <w:szCs w:val="18"/>
                  <w:color w:val="0000FF"/>
                  <w:w w:val="86"/>
                </w:rPr>
                <w:t>2023).</w:t>
              </w:r>
            </w:hyperlink>
          </w:p>
        </w:tc>
        <w:tc>
          <w:tcPr>
            <w:tcW w:w="7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4"/>
        </w:trPr>
        <w:tc>
          <w:tcPr>
            <w:tcW w:w="780" w:type="dxa"/>
            <w:vAlign w:val="bottom"/>
          </w:tcPr>
          <w:p>
            <w:pPr>
              <w:spacing w:after="0"/>
              <w:rPr>
                <w:sz w:val="24"/>
                <w:szCs w:val="24"/>
                <w:color w:val="auto"/>
              </w:rPr>
            </w:pPr>
          </w:p>
        </w:tc>
        <w:tc>
          <w:tcPr>
            <w:tcW w:w="5140" w:type="dxa"/>
            <w:vAlign w:val="bottom"/>
            <w:gridSpan w:val="15"/>
          </w:tcPr>
          <w:p>
            <w:pPr>
              <w:jc w:val="right"/>
              <w:ind w:right="20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020" w:type="dxa"/>
            <w:vAlign w:val="bottom"/>
            <w:gridSpan w:val="8"/>
            <w:vMerge w:val="restart"/>
          </w:tcPr>
          <w:p>
            <w:pPr>
              <w:ind w:left="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0"/>
        </w:trPr>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02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14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1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20" w:type="dxa"/>
            <w:vAlign w:val="bottom"/>
            <w:gridSpan w:val="8"/>
            <w:shd w:val="clear" w:color="auto" w:fill="CCEEFF"/>
          </w:tcPr>
          <w:p>
            <w:pPr>
              <w:spacing w:after="0" w:line="182"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Services and Secondment Agreement, dated as of November 2, 2023, by and among Diamondback E&amp;P LLC, Viper Energy Partners LP,</w:t>
              </w:r>
            </w:hyperlink>
          </w:p>
        </w:tc>
        <w:tc>
          <w:tcPr>
            <w:tcW w:w="0" w:type="dxa"/>
            <w:vAlign w:val="bottom"/>
          </w:tcPr>
          <w:p>
            <w:pPr>
              <w:spacing w:after="0"/>
              <w:rPr>
                <w:sz w:val="1"/>
                <w:szCs w:val="1"/>
                <w:color w:val="auto"/>
              </w:rPr>
            </w:pPr>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Viper Energy Partners GP LLC and Viper Energy Partners LLC (incorporated by reference to Exhibit 10.1 of the Partnership’s Current</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680" w:type="dxa"/>
            <w:vAlign w:val="bottom"/>
            <w:tcBorders>
              <w:top w:val="single" w:sz="8" w:color="0000FF"/>
            </w:tcBorders>
            <w:gridSpan w:val="3"/>
            <w:shd w:val="clear" w:color="auto" w:fill="CCEEFF"/>
          </w:tcPr>
          <w:p>
            <w:pPr>
              <w:spacing w:after="0" w:line="169" w:lineRule="exact"/>
              <w:rPr>
                <w:rFonts w:ascii="Arial" w:cs="Arial" w:eastAsia="Arial" w:hAnsi="Arial"/>
                <w:sz w:val="18"/>
                <w:szCs w:val="18"/>
                <w:color w:val="0000FF"/>
              </w:rPr>
            </w:pPr>
            <w:hyperlink r:id="rId74">
              <w:r>
                <w:rPr>
                  <w:rFonts w:ascii="Arial" w:cs="Arial" w:eastAsia="Arial" w:hAnsi="Arial"/>
                  <w:sz w:val="18"/>
                  <w:szCs w:val="18"/>
                  <w:color w:val="0000FF"/>
                </w:rPr>
                <w:t>Report on Form 8-K (File No. 001-36505) filed on November 2, 2023).</w:t>
              </w:r>
            </w:hyperlink>
          </w:p>
        </w:tc>
        <w:tc>
          <w:tcPr>
            <w:tcW w:w="20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0000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8"/>
          </w:tcPr>
          <w:p>
            <w:pPr>
              <w:spacing w:after="0" w:line="189" w:lineRule="exact"/>
              <w:rPr>
                <w:sz w:val="20"/>
                <w:szCs w:val="20"/>
                <w:color w:val="auto"/>
              </w:rPr>
            </w:pPr>
            <w:r>
              <w:rPr>
                <w:rFonts w:ascii="Arial" w:cs="Arial" w:eastAsia="Arial" w:hAnsi="Arial"/>
                <w:sz w:val="18"/>
                <w:szCs w:val="18"/>
                <w:color w:val="0000FF"/>
                <w:w w:val="91"/>
              </w:rPr>
              <w:t>Certification of Chief Executive Officer pursuant to Rule 13a-14(a) promulgated under the Securities Exchange Act of 1934, as amended.</w:t>
            </w: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140" w:type="dxa"/>
            <w:vAlign w:val="bottom"/>
            <w:tcBorders>
              <w:top w:val="single" w:sz="8" w:color="0000FF"/>
            </w:tcBorders>
          </w:tcPr>
          <w:p>
            <w:pPr>
              <w:spacing w:after="0"/>
              <w:rPr>
                <w:sz w:val="5"/>
                <w:szCs w:val="5"/>
                <w:color w:val="auto"/>
              </w:rPr>
            </w:pPr>
          </w:p>
        </w:tc>
        <w:tc>
          <w:tcPr>
            <w:tcW w:w="2520" w:type="dxa"/>
            <w:vAlign w:val="bottom"/>
            <w:tcBorders>
              <w:top w:val="single" w:sz="8" w:color="0000FF"/>
            </w:tcBorders>
          </w:tcPr>
          <w:p>
            <w:pPr>
              <w:spacing w:after="0"/>
              <w:rPr>
                <w:sz w:val="5"/>
                <w:szCs w:val="5"/>
                <w:color w:val="auto"/>
              </w:rPr>
            </w:pPr>
          </w:p>
        </w:tc>
        <w:tc>
          <w:tcPr>
            <w:tcW w:w="202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w w:val="92"/>
              </w:rPr>
              <w:t>Certification of Chief Financial Officer pursuant to Rule 13a-14(a) promulgated under the Securities Exchange Act of 1934, as amended.</w:t>
            </w:r>
          </w:p>
        </w:tc>
        <w:tc>
          <w:tcPr>
            <w:tcW w:w="0" w:type="dxa"/>
            <w:vAlign w:val="bottom"/>
          </w:tcPr>
          <w:p>
            <w:pPr>
              <w:spacing w:after="0"/>
              <w:rPr>
                <w:sz w:val="1"/>
                <w:szCs w:val="1"/>
                <w:color w:val="auto"/>
              </w:rPr>
            </w:pPr>
          </w:p>
        </w:tc>
      </w:tr>
      <w:tr>
        <w:trPr>
          <w:trHeight w:val="61"/>
        </w:trPr>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140" w:type="dxa"/>
            <w:vAlign w:val="bottom"/>
            <w:tcBorders>
              <w:top w:val="single" w:sz="8" w:color="0000FF"/>
            </w:tcBorders>
            <w:shd w:val="clear" w:color="auto" w:fill="CCEEFF"/>
          </w:tcPr>
          <w:p>
            <w:pPr>
              <w:spacing w:after="0"/>
              <w:rPr>
                <w:sz w:val="5"/>
                <w:szCs w:val="5"/>
                <w:color w:val="auto"/>
              </w:rPr>
            </w:pPr>
          </w:p>
        </w:tc>
        <w:tc>
          <w:tcPr>
            <w:tcW w:w="2520" w:type="dxa"/>
            <w:vAlign w:val="bottom"/>
            <w:tcBorders>
              <w:top w:val="single" w:sz="8" w:color="0000FF"/>
            </w:tcBorders>
            <w:shd w:val="clear" w:color="auto" w:fill="CCEEFF"/>
          </w:tcPr>
          <w:p>
            <w:pPr>
              <w:spacing w:after="0"/>
              <w:rPr>
                <w:sz w:val="5"/>
                <w:szCs w:val="5"/>
                <w:color w:val="auto"/>
              </w:rPr>
            </w:pPr>
          </w:p>
        </w:tc>
        <w:tc>
          <w:tcPr>
            <w:tcW w:w="202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8"/>
          </w:tcPr>
          <w:p>
            <w:pPr>
              <w:spacing w:after="0" w:line="189" w:lineRule="exact"/>
              <w:rPr>
                <w:sz w:val="20"/>
                <w:szCs w:val="20"/>
                <w:color w:val="auto"/>
              </w:rPr>
            </w:pPr>
            <w:r>
              <w:rPr>
                <w:rFonts w:ascii="Arial" w:cs="Arial" w:eastAsia="Arial" w:hAnsi="Arial"/>
                <w:sz w:val="18"/>
                <w:szCs w:val="18"/>
                <w:color w:val="0000FF"/>
                <w:w w:val="98"/>
              </w:rPr>
              <w:t>Certification of Chief Executive Officer and Chief Financial Officer pursuant to Rule 13a-14(b) promulgated under the Securities</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9"/>
              </w:rPr>
              <w:t>Exchange Act of 1934, as amended, and Section 1350 of Chapter 63 of Title 18 of the United States Code.</w:t>
            </w:r>
          </w:p>
        </w:tc>
        <w:tc>
          <w:tcPr>
            <w:tcW w:w="230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1220" w:right="60" w:hanging="1194"/>
        <w:spacing w:after="0" w:line="223"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September 30, 2023, formatted in Inline XBRL: (i) Condensed Consolidated Balance Sheets, (ii) Condensed Consolidated Statements of Operations, (iii) Condensed Consolidated Statement of Changes in Unitholders’ Equity, (iv) Condensed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488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20"/>
        <w:spacing w:after="0"/>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143" w:lineRule="exact"/>
        <w:rPr>
          <w:sz w:val="20"/>
          <w:szCs w:val="20"/>
          <w:color w:val="auto"/>
        </w:rPr>
      </w:pPr>
    </w:p>
    <w:p>
      <w:pPr>
        <w:ind w:left="500" w:hanging="474"/>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500" w:right="20" w:hanging="474"/>
        <w:spacing w:after="0" w:line="22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560" w:type="dxa"/>
            <w:vAlign w:val="bottom"/>
            <w:gridSpan w:val="2"/>
          </w:tcPr>
          <w:p>
            <w:pPr>
              <w:ind w:left="1640"/>
              <w:spacing w:after="0"/>
              <w:rPr>
                <w:sz w:val="20"/>
                <w:szCs w:val="20"/>
                <w:color w:val="auto"/>
              </w:rPr>
            </w:pPr>
            <w:r>
              <w:rPr>
                <w:rFonts w:ascii="Arial" w:cs="Arial" w:eastAsia="Arial" w:hAnsi="Arial"/>
                <w:sz w:val="18"/>
                <w:szCs w:val="18"/>
                <w:b w:val="1"/>
                <w:bCs w:val="1"/>
                <w:color w:val="auto"/>
              </w:rPr>
              <w:t>VIPER ENERGY PARTNERS LP</w:t>
            </w:r>
          </w:p>
        </w:tc>
      </w:tr>
      <w:tr>
        <w:trPr>
          <w:trHeight w:val="499"/>
        </w:trPr>
        <w:tc>
          <w:tcPr>
            <w:tcW w:w="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560" w:type="dxa"/>
            <w:vAlign w:val="bottom"/>
            <w:gridSpan w:val="2"/>
          </w:tcPr>
          <w:p>
            <w:pPr>
              <w:ind w:left="1640"/>
              <w:spacing w:after="0"/>
              <w:rPr>
                <w:sz w:val="20"/>
                <w:szCs w:val="20"/>
                <w:color w:val="auto"/>
              </w:rPr>
            </w:pPr>
            <w:r>
              <w:rPr>
                <w:rFonts w:ascii="Arial" w:cs="Arial" w:eastAsia="Arial" w:hAnsi="Arial"/>
                <w:sz w:val="18"/>
                <w:szCs w:val="18"/>
                <w:color w:val="auto"/>
              </w:rPr>
              <w:t>By:   VIPER ENERGY PARTNERS GP LLC</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40"/>
              <w:spacing w:after="0"/>
              <w:rPr>
                <w:sz w:val="20"/>
                <w:szCs w:val="20"/>
                <w:color w:val="auto"/>
              </w:rPr>
            </w:pPr>
            <w:r>
              <w:rPr>
                <w:rFonts w:ascii="Arial" w:cs="Arial" w:eastAsia="Arial" w:hAnsi="Arial"/>
                <w:sz w:val="18"/>
                <w:szCs w:val="18"/>
                <w:color w:val="auto"/>
              </w:rPr>
              <w:t>November 8, 2023</w:t>
            </w:r>
          </w:p>
        </w:tc>
        <w:tc>
          <w:tcPr>
            <w:tcW w:w="2100" w:type="dxa"/>
            <w:vAlign w:val="bottom"/>
          </w:tcPr>
          <w:p>
            <w:pPr>
              <w:ind w:left="16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40"/>
              <w:spacing w:after="0"/>
              <w:rPr>
                <w:sz w:val="20"/>
                <w:szCs w:val="20"/>
                <w:color w:val="auto"/>
              </w:rPr>
            </w:pPr>
            <w:r>
              <w:rPr>
                <w:rFonts w:ascii="Arial" w:cs="Arial" w:eastAsia="Arial" w:hAnsi="Arial"/>
                <w:sz w:val="18"/>
                <w:szCs w:val="18"/>
                <w:color w:val="auto"/>
              </w:rPr>
              <w:t>November 8, 2023</w:t>
            </w:r>
          </w:p>
        </w:tc>
        <w:tc>
          <w:tcPr>
            <w:tcW w:w="2100" w:type="dxa"/>
            <w:vAlign w:val="bottom"/>
          </w:tcPr>
          <w:p>
            <w:pPr>
              <w:ind w:left="16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8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40" w:type="dxa"/>
            <w:vAlign w:val="bottom"/>
          </w:tcPr>
          <w:p>
            <w:pPr>
              <w:ind w:left="240"/>
              <w:spacing w:after="0"/>
              <w:rPr>
                <w:sz w:val="20"/>
                <w:szCs w:val="20"/>
                <w:color w:val="auto"/>
              </w:rPr>
            </w:pPr>
            <w:r>
              <w:rPr>
                <w:rFonts w:ascii="Arial" w:cs="Arial" w:eastAsia="Arial" w:hAnsi="Arial"/>
                <w:sz w:val="18"/>
                <w:szCs w:val="18"/>
                <w:color w:val="auto"/>
              </w:rPr>
              <w:t>November 8, 2023</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6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780" w:type="dxa"/>
            <w:vAlign w:val="bottom"/>
          </w:tcPr>
          <w:p>
            <w:pPr>
              <w:ind w:left="200"/>
              <w:spacing w:after="0"/>
              <w:rPr>
                <w:sz w:val="20"/>
                <w:szCs w:val="20"/>
                <w:color w:val="auto"/>
              </w:rPr>
            </w:pPr>
            <w:r>
              <w:rPr>
                <w:rFonts w:ascii="Arial" w:cs="Arial" w:eastAsia="Arial" w:hAnsi="Arial"/>
                <w:sz w:val="18"/>
                <w:szCs w:val="18"/>
                <w:color w:val="auto"/>
              </w:rPr>
              <w:t>November 8, 2023</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Quarterly Report on Form 10-Q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17"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78m(a)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78o(d)); and</w:t>
      </w:r>
    </w:p>
    <w:p>
      <w:pPr>
        <w:spacing w:after="0" w:line="156" w:lineRule="exact"/>
        <w:rPr>
          <w:rFonts w:ascii="Arial" w:cs="Arial" w:eastAsia="Arial" w:hAnsi="Arial"/>
          <w:sz w:val="17"/>
          <w:szCs w:val="17"/>
          <w:color w:val="auto"/>
        </w:rPr>
      </w:pPr>
    </w:p>
    <w:p>
      <w:pPr>
        <w:ind w:left="940" w:hanging="284"/>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November 8, 2023</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November 8, 2023</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1)"/>
      <w:numFmt w:val="lowerRoman"/>
      <w:start w:val="2"/>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16" Type="http://schemas.openxmlformats.org/officeDocument/2006/relationships/hyperlink" Target="https://www.sec.gov/ix?doc=/Archives/edgar/data/1602065/000160206523000007/vnom-20221231.htm#i014aed5382dd45488e402459c1f9d159_25" TargetMode="External"/><Relationship Id="rId24" Type="http://schemas.openxmlformats.org/officeDocument/2006/relationships/hyperlink" Target="https://www.sec.gov/ix?doc=/Archives/edgar/data/1602065/000160206523000007/vnom-20221231.htm" TargetMode="External"/><Relationship Id="rId30" Type="http://schemas.openxmlformats.org/officeDocument/2006/relationships/hyperlink" Target="https://www.sec.gov/ix?doc=/Archives/edgar/data/1602065/000160206523000007/vnom-20221231.htm#i014aed5382dd45488e402459c1f9d159_142" TargetMode="External"/><Relationship Id="rId51" Type="http://schemas.openxmlformats.org/officeDocument/2006/relationships/hyperlink" Target="https://www.sec.gov/ix?doc=/Archives/edgar/data/1602065/000160206523000007/vnom-20221231.htm#" TargetMode="External"/><Relationship Id="rId56" Type="http://schemas.openxmlformats.org/officeDocument/2006/relationships/hyperlink" Target="http://www.sec.gov/Archives/edgar/data/1602065/000160206521000048/viperex21-8621.htm" TargetMode="External"/><Relationship Id="rId57" Type="http://schemas.openxmlformats.org/officeDocument/2006/relationships/hyperlink" Target="https://www.sec.gov/Archives/edgar/data/1602065/000160206523000056/viperex21-9x7x23.htm" TargetMode="External"/><Relationship Id="rId58" Type="http://schemas.openxmlformats.org/officeDocument/2006/relationships/hyperlink" Target="http://www.sec.gov/Archives/edgar/data/1602065/000119312514187469/d673207dex31.htm" TargetMode="External"/><Relationship Id="rId59" Type="http://schemas.openxmlformats.org/officeDocument/2006/relationships/hyperlink" Target="http://www.sec.gov/Archives/edgar/data/1602065/000160206518000017/viperex31-5x15x18.htm" TargetMode="External"/><Relationship Id="rId60" Type="http://schemas.openxmlformats.org/officeDocument/2006/relationships/hyperlink" Target="http://www.sec.gov/Archives/edgar/data/1602065/000160206518000017/viperex32-5x15x18.htm" TargetMode="External"/><Relationship Id="rId61" Type="http://schemas.openxmlformats.org/officeDocument/2006/relationships/hyperlink" Target="https://www.sec.gov/Archives/edgar/data/1602065/000160206523000080/viperex31-11x223.htm" TargetMode="External"/><Relationship Id="rId62" Type="http://schemas.openxmlformats.org/officeDocument/2006/relationships/hyperlink" Target="http://www.sec.gov/Archives/edgar/data/1602065/000160206518000017/viperex33-5x15x18.htm" TargetMode="External"/><Relationship Id="rId63" Type="http://schemas.openxmlformats.org/officeDocument/2006/relationships/hyperlink" Target="http://www.sec.gov/Archives/edgar/data/1602065/000160206520000014/viperex31-33120.htm" TargetMode="External"/><Relationship Id="rId64" Type="http://schemas.openxmlformats.org/officeDocument/2006/relationships/hyperlink" Target="https://www.sec.gov/Archives/edgar/data/1602065/000119312521367951/d249385dex31.htm" TargetMode="External"/><Relationship Id="rId65" Type="http://schemas.openxmlformats.org/officeDocument/2006/relationships/hyperlink" Target="http://www.sec.gov/Archives/edgar/data/1602065/000160206518000017/viperex41-5x15x18.htm" TargetMode="External"/><Relationship Id="rId66" Type="http://schemas.openxmlformats.org/officeDocument/2006/relationships/hyperlink" Target="https://www.sec.gov/Archives/edgar/data/1602065/000160206523000086/viperex41-11x7x23.htm" TargetMode="External"/><Relationship Id="rId67" Type="http://schemas.openxmlformats.org/officeDocument/2006/relationships/hyperlink" Target="https://www.sec.gov/Archives/edgar/data/1602065/000160206523000076/viperex41-10x25x23.htm" TargetMode="External"/><Relationship Id="rId68" Type="http://schemas.openxmlformats.org/officeDocument/2006/relationships/hyperlink" Target="https://www.sec.gov/Archives/edgar/data/1602065/000160206523000056/viperex101-9x7x23.htm" TargetMode="External"/><Relationship Id="rId69" Type="http://schemas.openxmlformats.org/officeDocument/2006/relationships/hyperlink" Target="https://www.sec.gov/Archives/edgar/data/1602065/000160206523000059/viperex101-9x28x23.htm" TargetMode="External"/><Relationship Id="rId70" Type="http://schemas.openxmlformats.org/officeDocument/2006/relationships/hyperlink" Target="https://www.sec.gov/Archives/edgar/data/1602065/000160206523000059/viperex102-9x28x23.htm" TargetMode="External"/><Relationship Id="rId71" Type="http://schemas.openxmlformats.org/officeDocument/2006/relationships/hyperlink" Target="https://www.sec.gov/Archives/edgar/data/1602065/000160206523000076/viperex101-10x25x23.htm" TargetMode="External"/><Relationship Id="rId74" Type="http://schemas.openxmlformats.org/officeDocument/2006/relationships/hyperlink" Target="https://www.sec.gov/Archives/edgar/data/1602065/000160206523000080/viperex101-11x2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2023-11-08T15:17:23Z</dcterms:created>
  <dcterms:modified xsi:type="dcterms:W3CDTF">2023-11-08T15:17:23Z</dcterms:modified>
</cp:coreProperties>
</file>