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VIPER ENERGY,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2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5"/>
              </w:rPr>
              <w:t>DE</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001-42807</w:t>
            </w:r>
          </w:p>
        </w:tc>
        <w:tc>
          <w:tcPr>
            <w:tcW w:w="23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39-2596878</w:t>
            </w:r>
          </w:p>
        </w:tc>
      </w:tr>
      <w:tr>
        <w:trPr>
          <w:trHeight w:val="216"/>
        </w:trPr>
        <w:tc>
          <w:tcPr>
            <w:tcW w:w="23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(IRS Employer Identification</w:t>
            </w:r>
          </w:p>
        </w:tc>
      </w:tr>
      <w:tr>
        <w:trPr>
          <w:trHeight w:val="234"/>
        </w:trPr>
        <w:tc>
          <w:tcPr>
            <w:tcW w:w="23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incorporation)</w:t>
            </w:r>
          </w:p>
        </w:tc>
        <w:tc>
          <w:tcPr>
            <w:tcW w:w="4940" w:type="dxa"/>
            <w:vAlign w:val="bottom"/>
          </w:tcPr>
          <w:p>
            <w:pPr>
              <w:spacing w:after="0"/>
              <w:rPr>
                <w:sz w:val="20"/>
                <w:szCs w:val="20"/>
                <w:color w:val="auto"/>
              </w:rPr>
            </w:pPr>
          </w:p>
        </w:tc>
        <w:tc>
          <w:tcPr>
            <w:tcW w:w="23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Number)</w:t>
            </w:r>
          </w:p>
        </w:tc>
      </w:tr>
      <w:tr>
        <w:trPr>
          <w:trHeight w:val="410"/>
        </w:trPr>
        <w:tc>
          <w:tcPr>
            <w:tcW w:w="2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500 West Texas Ave.</w:t>
            </w:r>
          </w:p>
        </w:tc>
        <w:tc>
          <w:tcPr>
            <w:tcW w:w="49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6"/>
        </w:trPr>
        <w:tc>
          <w:tcPr>
            <w:tcW w:w="2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Suite 100</w:t>
            </w:r>
          </w:p>
        </w:tc>
        <w:tc>
          <w:tcPr>
            <w:tcW w:w="494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20"/>
        </w:trPr>
        <w:tc>
          <w:tcPr>
            <w:tcW w:w="2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Midland, TX</w:t>
            </w:r>
          </w:p>
        </w:tc>
        <w:tc>
          <w:tcPr>
            <w:tcW w:w="4940" w:type="dxa"/>
            <w:vAlign w:val="bottom"/>
          </w:tcPr>
          <w:p>
            <w:pPr>
              <w:spacing w:after="0"/>
              <w:rPr>
                <w:sz w:val="19"/>
                <w:szCs w:val="19"/>
                <w:color w:val="auto"/>
              </w:rPr>
            </w:pPr>
          </w:p>
        </w:tc>
        <w:tc>
          <w:tcPr>
            <w:tcW w:w="23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79701</w:t>
            </w:r>
          </w:p>
        </w:tc>
      </w:tr>
      <w:tr>
        <w:trPr>
          <w:trHeight w:val="216"/>
        </w:trPr>
        <w:tc>
          <w:tcPr>
            <w:tcW w:w="23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(Address of principal</w:t>
            </w:r>
          </w:p>
        </w:tc>
        <w:tc>
          <w:tcPr>
            <w:tcW w:w="4940" w:type="dxa"/>
            <w:vAlign w:val="bottom"/>
          </w:tcPr>
          <w:p>
            <w:pPr>
              <w:spacing w:after="0"/>
              <w:rPr>
                <w:sz w:val="18"/>
                <w:szCs w:val="18"/>
                <w:color w:val="auto"/>
              </w:rPr>
            </w:pPr>
          </w:p>
        </w:tc>
        <w:tc>
          <w:tcPr>
            <w:tcW w:w="23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23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executive offices)</w:t>
            </w:r>
          </w:p>
        </w:tc>
        <w:tc>
          <w:tcPr>
            <w:tcW w:w="49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14"/>
        </w:trPr>
        <w:tc>
          <w:tcPr>
            <w:tcW w:w="2320" w:type="dxa"/>
            <w:vAlign w:val="bottom"/>
          </w:tcPr>
          <w:p>
            <w:pPr>
              <w:spacing w:after="0"/>
              <w:rPr>
                <w:sz w:val="24"/>
                <w:szCs w:val="24"/>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(432) 221-7400</w:t>
            </w:r>
          </w:p>
        </w:tc>
        <w:tc>
          <w:tcPr>
            <w:tcW w:w="2340" w:type="dxa"/>
            <w:vAlign w:val="bottom"/>
          </w:tcPr>
          <w:p>
            <w:pPr>
              <w:spacing w:after="0"/>
              <w:rPr>
                <w:sz w:val="24"/>
                <w:szCs w:val="24"/>
                <w:color w:val="auto"/>
              </w:rPr>
            </w:pPr>
          </w:p>
        </w:tc>
      </w:tr>
      <w:tr>
        <w:trPr>
          <w:trHeight w:val="234"/>
        </w:trPr>
        <w:tc>
          <w:tcPr>
            <w:tcW w:w="232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340" w:type="dxa"/>
            <w:vAlign w:val="bottom"/>
          </w:tcPr>
          <w:p>
            <w:pPr>
              <w:spacing w:after="0"/>
              <w:rPr>
                <w:sz w:val="20"/>
                <w:szCs w:val="20"/>
                <w:color w:val="auto"/>
              </w:rPr>
            </w:pPr>
          </w:p>
        </w:tc>
      </w:tr>
      <w:tr>
        <w:trPr>
          <w:trHeight w:val="414"/>
        </w:trPr>
        <w:tc>
          <w:tcPr>
            <w:tcW w:w="2320" w:type="dxa"/>
            <w:vAlign w:val="bottom"/>
          </w:tcPr>
          <w:p>
            <w:pPr>
              <w:spacing w:after="0"/>
              <w:rPr>
                <w:sz w:val="24"/>
                <w:szCs w:val="24"/>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340" w:type="dxa"/>
            <w:vAlign w:val="bottom"/>
          </w:tcPr>
          <w:p>
            <w:pPr>
              <w:spacing w:after="0"/>
              <w:rPr>
                <w:sz w:val="24"/>
                <w:szCs w:val="24"/>
                <w:color w:val="auto"/>
              </w:rPr>
            </w:pPr>
          </w:p>
        </w:tc>
      </w:tr>
      <w:tr>
        <w:trPr>
          <w:trHeight w:val="234"/>
        </w:trPr>
        <w:tc>
          <w:tcPr>
            <w:tcW w:w="232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2340" w:type="dxa"/>
            <w:vAlign w:val="bottom"/>
          </w:tcPr>
          <w:p>
            <w:pPr>
              <w:spacing w:after="0"/>
              <w:rPr>
                <w:sz w:val="20"/>
                <w:szCs w:val="20"/>
                <w:color w:val="auto"/>
              </w:rPr>
            </w:pPr>
          </w:p>
        </w:tc>
      </w:tr>
    </w:tbl>
    <w:p>
      <w:pPr>
        <w:spacing w:after="0" w:line="198"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745" w:right="339" w:bottom="1440" w:gutter="0" w:footer="0" w:header="0"/>
        </w:sectPr>
      </w:pPr>
    </w:p>
    <w:p>
      <w:pPr>
        <w:spacing w:after="0" w:line="2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Class A Common Stock, $ 0.000001 Par Value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VNOM</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5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Name of each exchange on which registered </w:t>
      </w:r>
      <w:r>
        <w:rPr>
          <w:rFonts w:ascii="Times New Roman" w:cs="Times New Roman" w:eastAsia="Times New Roman" w:hAnsi="Times New Roman"/>
          <w:sz w:val="18"/>
          <w:szCs w:val="18"/>
          <w:color w:val="auto"/>
        </w:rPr>
        <w:t>The Nasdaq Stock Market LLC (NASDAQ Global Select Market)</w:t>
      </w:r>
    </w:p>
    <w:p>
      <w:pPr>
        <w:spacing w:after="0" w:line="175" w:lineRule="exact"/>
        <w:rPr>
          <w:sz w:val="24"/>
          <w:szCs w:val="24"/>
          <w:color w:val="auto"/>
        </w:rPr>
      </w:pPr>
    </w:p>
    <w:p>
      <w:pPr>
        <w:sectPr>
          <w:pgSz w:w="11900" w:h="16838" w:orient="portrait"/>
          <w:cols w:equalWidth="0" w:num="3">
            <w:col w:w="3980" w:space="720"/>
            <w:col w:w="1960" w:space="720"/>
            <w:col w:w="3860"/>
          </w:cols>
          <w:pgMar w:left="320" w:top="745" w:right="339" w:bottom="1440" w:gutter="0" w:footer="0" w:header="0"/>
          <w:type w:val="continuous"/>
        </w:sect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July 2, 2026, Viper Energy, Inc. filed a prospectus supplement to its automatic shelf registration statement on Form S-3 (Registration No. 333-289863) with the Securities and Exchange Commission. This Current Report on Form 8-K is being filed solely for the purpose of filing the opinion of Latham &amp; Watkins LLP relating to the legality of the issuance and sale of the securities set forth in the prospectus supplement, which opinion is attached as Exhibit 5.1 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0" w:type="dxa"/>
            <w:vAlign w:val="bottom"/>
            <w:tcBorders>
              <w:top w:val="single" w:sz="8" w:color="243646"/>
              <w:left w:val="single" w:sz="8" w:color="243646"/>
            </w:tcBorders>
          </w:tcPr>
          <w:p>
            <w:pPr>
              <w:spacing w:after="0"/>
              <w:rPr>
                <w:sz w:val="16"/>
                <w:szCs w:val="16"/>
                <w:color w:val="auto"/>
              </w:rPr>
            </w:pPr>
          </w:p>
        </w:tc>
        <w:tc>
          <w:tcPr>
            <w:tcW w:w="1700" w:type="dxa"/>
            <w:vAlign w:val="bottom"/>
            <w:tcBorders>
              <w:top w:val="single" w:sz="8" w:color="243646"/>
              <w:right w:val="single" w:sz="8" w:color="243646"/>
            </w:tcBorders>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Number</w:t>
            </w:r>
          </w:p>
        </w:tc>
        <w:tc>
          <w:tcPr>
            <w:tcW w:w="9420" w:type="dxa"/>
            <w:vAlign w:val="bottom"/>
            <w:tcBorders>
              <w:top w:val="single" w:sz="8" w:color="243646"/>
              <w:right w:val="single" w:sz="8" w:color="243646"/>
            </w:tcBorders>
            <w:gridSpan w:val="5"/>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120" w:type="dxa"/>
            <w:vAlign w:val="bottom"/>
            <w:tcBorders>
              <w:left w:val="single" w:sz="8" w:color="243646"/>
              <w:bottom w:val="single" w:sz="8" w:color="243646"/>
            </w:tcBorders>
          </w:tcPr>
          <w:p>
            <w:pPr>
              <w:spacing w:after="0" w:line="20" w:lineRule="exact"/>
              <w:rPr>
                <w:sz w:val="1"/>
                <w:szCs w:val="1"/>
                <w:color w:val="auto"/>
              </w:rPr>
            </w:pPr>
          </w:p>
        </w:tc>
        <w:tc>
          <w:tcPr>
            <w:tcW w:w="220" w:type="dxa"/>
            <w:vAlign w:val="bottom"/>
            <w:tcBorders>
              <w:top w:val="single" w:sz="8" w:color="auto"/>
              <w:bottom w:val="single" w:sz="8" w:color="243646"/>
            </w:tcBorders>
          </w:tcPr>
          <w:p>
            <w:pPr>
              <w:spacing w:after="0" w:line="20" w:lineRule="exact"/>
              <w:rPr>
                <w:sz w:val="1"/>
                <w:szCs w:val="1"/>
                <w:color w:val="auto"/>
              </w:rPr>
            </w:pPr>
          </w:p>
        </w:tc>
        <w:tc>
          <w:tcPr>
            <w:tcW w:w="100" w:type="dxa"/>
            <w:vAlign w:val="bottom"/>
            <w:tcBorders>
              <w:top w:val="single" w:sz="8" w:color="auto"/>
              <w:bottom w:val="single" w:sz="8" w:color="243646"/>
            </w:tcBorders>
          </w:tcPr>
          <w:p>
            <w:pPr>
              <w:spacing w:after="0" w:line="20" w:lineRule="exact"/>
              <w:rPr>
                <w:sz w:val="1"/>
                <w:szCs w:val="1"/>
                <w:color w:val="auto"/>
              </w:rPr>
            </w:pPr>
          </w:p>
        </w:tc>
        <w:tc>
          <w:tcPr>
            <w:tcW w:w="320" w:type="dxa"/>
            <w:vAlign w:val="bottom"/>
            <w:tcBorders>
              <w:top w:val="single" w:sz="8" w:color="auto"/>
              <w:bottom w:val="single" w:sz="8" w:color="243646"/>
            </w:tcBorders>
          </w:tcPr>
          <w:p>
            <w:pPr>
              <w:spacing w:after="0" w:line="20" w:lineRule="exact"/>
              <w:rPr>
                <w:sz w:val="1"/>
                <w:szCs w:val="1"/>
                <w:color w:val="auto"/>
              </w:rPr>
            </w:pPr>
          </w:p>
        </w:tc>
        <w:tc>
          <w:tcPr>
            <w:tcW w:w="1060" w:type="dxa"/>
            <w:vAlign w:val="bottom"/>
            <w:tcBorders>
              <w:bottom w:val="single" w:sz="8" w:color="243646"/>
              <w:right w:val="single" w:sz="8" w:color="243646"/>
            </w:tcBorders>
          </w:tcPr>
          <w:p>
            <w:pPr>
              <w:spacing w:after="0" w:line="20" w:lineRule="exact"/>
              <w:rPr>
                <w:sz w:val="1"/>
                <w:szCs w:val="1"/>
                <w:color w:val="auto"/>
              </w:rPr>
            </w:pPr>
          </w:p>
        </w:tc>
        <w:tc>
          <w:tcPr>
            <w:tcW w:w="100" w:type="dxa"/>
            <w:vAlign w:val="bottom"/>
            <w:tcBorders>
              <w:bottom w:val="single" w:sz="8" w:color="243646"/>
            </w:tcBorders>
          </w:tcPr>
          <w:p>
            <w:pPr>
              <w:spacing w:after="0" w:line="20" w:lineRule="exact"/>
              <w:rPr>
                <w:sz w:val="1"/>
                <w:szCs w:val="1"/>
                <w:color w:val="auto"/>
              </w:rPr>
            </w:pPr>
          </w:p>
        </w:tc>
        <w:tc>
          <w:tcPr>
            <w:tcW w:w="880" w:type="dxa"/>
            <w:vAlign w:val="bottom"/>
            <w:tcBorders>
              <w:top w:val="single" w:sz="8" w:color="auto"/>
              <w:bottom w:val="single" w:sz="8" w:color="243646"/>
            </w:tcBorders>
          </w:tcPr>
          <w:p>
            <w:pPr>
              <w:spacing w:after="0" w:line="20" w:lineRule="exact"/>
              <w:rPr>
                <w:sz w:val="1"/>
                <w:szCs w:val="1"/>
                <w:color w:val="auto"/>
              </w:rPr>
            </w:pPr>
          </w:p>
        </w:tc>
        <w:tc>
          <w:tcPr>
            <w:tcW w:w="1700" w:type="dxa"/>
            <w:vAlign w:val="bottom"/>
            <w:tcBorders>
              <w:bottom w:val="single" w:sz="8" w:color="243646"/>
            </w:tcBorders>
          </w:tcPr>
          <w:p>
            <w:pPr>
              <w:spacing w:after="0" w:line="20" w:lineRule="exact"/>
              <w:rPr>
                <w:sz w:val="1"/>
                <w:szCs w:val="1"/>
                <w:color w:val="auto"/>
              </w:rPr>
            </w:pPr>
          </w:p>
        </w:tc>
        <w:tc>
          <w:tcPr>
            <w:tcW w:w="3840" w:type="dxa"/>
            <w:vAlign w:val="bottom"/>
            <w:tcBorders>
              <w:bottom w:val="single" w:sz="8" w:color="243646"/>
            </w:tcBorders>
          </w:tcPr>
          <w:p>
            <w:pPr>
              <w:spacing w:after="0" w:line="20" w:lineRule="exact"/>
              <w:rPr>
                <w:sz w:val="1"/>
                <w:szCs w:val="1"/>
                <w:color w:val="auto"/>
              </w:rPr>
            </w:pPr>
          </w:p>
        </w:tc>
        <w:tc>
          <w:tcPr>
            <w:tcW w:w="2900" w:type="dxa"/>
            <w:vAlign w:val="bottom"/>
            <w:tcBorders>
              <w:bottom w:val="single" w:sz="8" w:color="243646"/>
              <w:right w:val="single" w:sz="8" w:color="243646"/>
            </w:tcBorders>
          </w:tcPr>
          <w:p>
            <w:pPr>
              <w:spacing w:after="0" w:line="20" w:lineRule="exact"/>
              <w:rPr>
                <w:sz w:val="1"/>
                <w:szCs w:val="1"/>
                <w:color w:val="auto"/>
              </w:rPr>
            </w:pPr>
          </w:p>
        </w:tc>
      </w:tr>
      <w:tr>
        <w:trPr>
          <w:trHeight w:val="169"/>
        </w:trPr>
        <w:tc>
          <w:tcPr>
            <w:tcW w:w="440" w:type="dxa"/>
            <w:vAlign w:val="bottom"/>
            <w:tcBorders>
              <w:left w:val="single" w:sz="8" w:color="243646"/>
            </w:tcBorders>
            <w:gridSpan w:val="3"/>
          </w:tcPr>
          <w:p>
            <w:pPr>
              <w:ind w:left="120"/>
              <w:spacing w:after="0" w:line="16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320" w:type="dxa"/>
            <w:vAlign w:val="bottom"/>
          </w:tcPr>
          <w:p>
            <w:pPr>
              <w:spacing w:after="0"/>
              <w:rPr>
                <w:sz w:val="14"/>
                <w:szCs w:val="14"/>
                <w:color w:val="auto"/>
              </w:rPr>
            </w:pPr>
          </w:p>
        </w:tc>
        <w:tc>
          <w:tcPr>
            <w:tcW w:w="1060" w:type="dxa"/>
            <w:vAlign w:val="bottom"/>
            <w:tcBorders>
              <w:right w:val="single" w:sz="8" w:color="243646"/>
            </w:tcBorders>
          </w:tcPr>
          <w:p>
            <w:pPr>
              <w:spacing w:after="0"/>
              <w:rPr>
                <w:sz w:val="14"/>
                <w:szCs w:val="14"/>
                <w:color w:val="auto"/>
              </w:rPr>
            </w:pPr>
          </w:p>
        </w:tc>
        <w:tc>
          <w:tcPr>
            <w:tcW w:w="9420" w:type="dxa"/>
            <w:vAlign w:val="bottom"/>
            <w:tcBorders>
              <w:right w:val="single" w:sz="8" w:color="243646"/>
            </w:tcBorders>
            <w:gridSpan w:val="5"/>
          </w:tcPr>
          <w:p>
            <w:pPr>
              <w:ind w:left="100"/>
              <w:spacing w:after="0" w:line="169" w:lineRule="exact"/>
              <w:rPr>
                <w:sz w:val="20"/>
                <w:szCs w:val="20"/>
                <w:color w:val="auto"/>
              </w:rPr>
            </w:pPr>
            <w:r>
              <w:rPr>
                <w:rFonts w:ascii="Times New Roman" w:cs="Times New Roman" w:eastAsia="Times New Roman" w:hAnsi="Times New Roman"/>
                <w:sz w:val="18"/>
                <w:szCs w:val="18"/>
                <w:color w:val="0000EE"/>
              </w:rPr>
              <w:t>Opinion of Latham &amp; Watkins LLP.</w:t>
            </w:r>
          </w:p>
        </w:tc>
      </w:tr>
      <w:tr>
        <w:trPr>
          <w:trHeight w:val="21"/>
        </w:trPr>
        <w:tc>
          <w:tcPr>
            <w:tcW w:w="120" w:type="dxa"/>
            <w:vAlign w:val="bottom"/>
            <w:tcBorders>
              <w:left w:val="single" w:sz="8" w:color="243646"/>
              <w:bottom w:val="single" w:sz="8" w:color="243646"/>
            </w:tcBorders>
          </w:tcPr>
          <w:p>
            <w:pPr>
              <w:spacing w:after="0" w:line="20" w:lineRule="exact"/>
              <w:rPr>
                <w:sz w:val="1"/>
                <w:szCs w:val="1"/>
                <w:color w:val="auto"/>
              </w:rPr>
            </w:pPr>
          </w:p>
        </w:tc>
        <w:tc>
          <w:tcPr>
            <w:tcW w:w="220" w:type="dxa"/>
            <w:vAlign w:val="bottom"/>
            <w:tcBorders>
              <w:top w:val="single" w:sz="8" w:color="0000EE"/>
              <w:bottom w:val="single" w:sz="8" w:color="243646"/>
            </w:tcBorders>
          </w:tcPr>
          <w:p>
            <w:pPr>
              <w:spacing w:after="0" w:line="20" w:lineRule="exact"/>
              <w:rPr>
                <w:sz w:val="1"/>
                <w:szCs w:val="1"/>
                <w:color w:val="auto"/>
              </w:rPr>
            </w:pPr>
          </w:p>
        </w:tc>
        <w:tc>
          <w:tcPr>
            <w:tcW w:w="100" w:type="dxa"/>
            <w:vAlign w:val="bottom"/>
            <w:tcBorders>
              <w:bottom w:val="single" w:sz="8" w:color="243646"/>
            </w:tcBorders>
          </w:tcPr>
          <w:p>
            <w:pPr>
              <w:spacing w:after="0" w:line="20" w:lineRule="exact"/>
              <w:rPr>
                <w:sz w:val="1"/>
                <w:szCs w:val="1"/>
                <w:color w:val="auto"/>
              </w:rPr>
            </w:pPr>
          </w:p>
        </w:tc>
        <w:tc>
          <w:tcPr>
            <w:tcW w:w="320" w:type="dxa"/>
            <w:vAlign w:val="bottom"/>
            <w:tcBorders>
              <w:bottom w:val="single" w:sz="8" w:color="243646"/>
            </w:tcBorders>
          </w:tcPr>
          <w:p>
            <w:pPr>
              <w:spacing w:after="0" w:line="20" w:lineRule="exact"/>
              <w:rPr>
                <w:sz w:val="1"/>
                <w:szCs w:val="1"/>
                <w:color w:val="auto"/>
              </w:rPr>
            </w:pPr>
          </w:p>
        </w:tc>
        <w:tc>
          <w:tcPr>
            <w:tcW w:w="1060" w:type="dxa"/>
            <w:vAlign w:val="bottom"/>
            <w:tcBorders>
              <w:bottom w:val="single" w:sz="8" w:color="243646"/>
              <w:right w:val="single" w:sz="8" w:color="243646"/>
            </w:tcBorders>
          </w:tcPr>
          <w:p>
            <w:pPr>
              <w:spacing w:after="0" w:line="20" w:lineRule="exact"/>
              <w:rPr>
                <w:sz w:val="1"/>
                <w:szCs w:val="1"/>
                <w:color w:val="auto"/>
              </w:rPr>
            </w:pPr>
          </w:p>
        </w:tc>
        <w:tc>
          <w:tcPr>
            <w:tcW w:w="100" w:type="dxa"/>
            <w:vAlign w:val="bottom"/>
            <w:tcBorders>
              <w:bottom w:val="single" w:sz="8" w:color="243646"/>
            </w:tcBorders>
          </w:tcPr>
          <w:p>
            <w:pPr>
              <w:spacing w:after="0" w:line="20" w:lineRule="exact"/>
              <w:rPr>
                <w:sz w:val="1"/>
                <w:szCs w:val="1"/>
                <w:color w:val="auto"/>
              </w:rPr>
            </w:pPr>
          </w:p>
        </w:tc>
        <w:tc>
          <w:tcPr>
            <w:tcW w:w="880" w:type="dxa"/>
            <w:vAlign w:val="bottom"/>
            <w:tcBorders>
              <w:top w:val="single" w:sz="8" w:color="0000EE"/>
              <w:bottom w:val="single" w:sz="8" w:color="243646"/>
            </w:tcBorders>
          </w:tcPr>
          <w:p>
            <w:pPr>
              <w:spacing w:after="0" w:line="20" w:lineRule="exact"/>
              <w:rPr>
                <w:sz w:val="1"/>
                <w:szCs w:val="1"/>
                <w:color w:val="auto"/>
              </w:rPr>
            </w:pPr>
          </w:p>
        </w:tc>
        <w:tc>
          <w:tcPr>
            <w:tcW w:w="1700" w:type="dxa"/>
            <w:vAlign w:val="bottom"/>
            <w:tcBorders>
              <w:top w:val="single" w:sz="8" w:color="0000EE"/>
              <w:bottom w:val="single" w:sz="8" w:color="243646"/>
            </w:tcBorders>
          </w:tcPr>
          <w:p>
            <w:pPr>
              <w:spacing w:after="0" w:line="20" w:lineRule="exact"/>
              <w:rPr>
                <w:sz w:val="1"/>
                <w:szCs w:val="1"/>
                <w:color w:val="auto"/>
              </w:rPr>
            </w:pPr>
          </w:p>
        </w:tc>
        <w:tc>
          <w:tcPr>
            <w:tcW w:w="3840" w:type="dxa"/>
            <w:vAlign w:val="bottom"/>
            <w:tcBorders>
              <w:bottom w:val="single" w:sz="8" w:color="243646"/>
            </w:tcBorders>
          </w:tcPr>
          <w:p>
            <w:pPr>
              <w:spacing w:after="0" w:line="20" w:lineRule="exact"/>
              <w:rPr>
                <w:sz w:val="1"/>
                <w:szCs w:val="1"/>
                <w:color w:val="auto"/>
              </w:rPr>
            </w:pPr>
          </w:p>
        </w:tc>
        <w:tc>
          <w:tcPr>
            <w:tcW w:w="2900" w:type="dxa"/>
            <w:vAlign w:val="bottom"/>
            <w:tcBorders>
              <w:bottom w:val="single" w:sz="8" w:color="243646"/>
              <w:right w:val="single" w:sz="8" w:color="243646"/>
            </w:tcBorders>
          </w:tcPr>
          <w:p>
            <w:pPr>
              <w:spacing w:after="0" w:line="20" w:lineRule="exact"/>
              <w:rPr>
                <w:sz w:val="1"/>
                <w:szCs w:val="1"/>
                <w:color w:val="auto"/>
              </w:rPr>
            </w:pPr>
          </w:p>
        </w:tc>
      </w:tr>
      <w:tr>
        <w:trPr>
          <w:trHeight w:val="169"/>
        </w:trPr>
        <w:tc>
          <w:tcPr>
            <w:tcW w:w="760" w:type="dxa"/>
            <w:vAlign w:val="bottom"/>
            <w:tcBorders>
              <w:left w:val="single" w:sz="8" w:color="243646"/>
            </w:tcBorders>
            <w:gridSpan w:val="4"/>
          </w:tcPr>
          <w:p>
            <w:pPr>
              <w:ind w:left="120"/>
              <w:spacing w:after="0" w:line="169"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1060" w:type="dxa"/>
            <w:vAlign w:val="bottom"/>
            <w:tcBorders>
              <w:right w:val="single" w:sz="8" w:color="243646"/>
            </w:tcBorders>
          </w:tcPr>
          <w:p>
            <w:pPr>
              <w:spacing w:after="0"/>
              <w:rPr>
                <w:sz w:val="14"/>
                <w:szCs w:val="14"/>
                <w:color w:val="auto"/>
              </w:rPr>
            </w:pPr>
          </w:p>
        </w:tc>
        <w:tc>
          <w:tcPr>
            <w:tcW w:w="9420" w:type="dxa"/>
            <w:vAlign w:val="bottom"/>
            <w:tcBorders>
              <w:right w:val="single" w:sz="8" w:color="243646"/>
            </w:tcBorders>
            <w:gridSpan w:val="5"/>
          </w:tcPr>
          <w:p>
            <w:pPr>
              <w:ind w:left="100"/>
              <w:spacing w:after="0" w:line="169" w:lineRule="exact"/>
              <w:rPr>
                <w:sz w:val="20"/>
                <w:szCs w:val="20"/>
                <w:color w:val="auto"/>
              </w:rPr>
            </w:pPr>
            <w:r>
              <w:rPr>
                <w:rFonts w:ascii="Times New Roman" w:cs="Times New Roman" w:eastAsia="Times New Roman" w:hAnsi="Times New Roman"/>
                <w:sz w:val="18"/>
                <w:szCs w:val="18"/>
                <w:color w:val="0000EE"/>
              </w:rPr>
              <w:t>Consent of Latham &amp; Watkins LLP (contained in the opinion filed as Exhibit 5.1 hereto).</w:t>
            </w:r>
          </w:p>
        </w:tc>
      </w:tr>
      <w:tr>
        <w:trPr>
          <w:trHeight w:val="21"/>
        </w:trPr>
        <w:tc>
          <w:tcPr>
            <w:tcW w:w="120" w:type="dxa"/>
            <w:vAlign w:val="bottom"/>
            <w:tcBorders>
              <w:left w:val="single" w:sz="8" w:color="243646"/>
              <w:bottom w:val="single" w:sz="8" w:color="243646"/>
            </w:tcBorders>
          </w:tcPr>
          <w:p>
            <w:pPr>
              <w:spacing w:after="0" w:line="20" w:lineRule="exact"/>
              <w:rPr>
                <w:sz w:val="1"/>
                <w:szCs w:val="1"/>
                <w:color w:val="auto"/>
              </w:rPr>
            </w:pPr>
          </w:p>
        </w:tc>
        <w:tc>
          <w:tcPr>
            <w:tcW w:w="220" w:type="dxa"/>
            <w:vAlign w:val="bottom"/>
            <w:tcBorders>
              <w:top w:val="single" w:sz="8" w:color="0000EE"/>
              <w:bottom w:val="single" w:sz="8" w:color="243646"/>
            </w:tcBorders>
          </w:tcPr>
          <w:p>
            <w:pPr>
              <w:spacing w:after="0" w:line="20" w:lineRule="exact"/>
              <w:rPr>
                <w:sz w:val="1"/>
                <w:szCs w:val="1"/>
                <w:color w:val="auto"/>
              </w:rPr>
            </w:pPr>
          </w:p>
        </w:tc>
        <w:tc>
          <w:tcPr>
            <w:tcW w:w="100" w:type="dxa"/>
            <w:vAlign w:val="bottom"/>
            <w:tcBorders>
              <w:top w:val="single" w:sz="8" w:color="0000EE"/>
              <w:bottom w:val="single" w:sz="8" w:color="243646"/>
            </w:tcBorders>
          </w:tcPr>
          <w:p>
            <w:pPr>
              <w:spacing w:after="0" w:line="20" w:lineRule="exact"/>
              <w:rPr>
                <w:sz w:val="1"/>
                <w:szCs w:val="1"/>
                <w:color w:val="auto"/>
              </w:rPr>
            </w:pPr>
          </w:p>
        </w:tc>
        <w:tc>
          <w:tcPr>
            <w:tcW w:w="320" w:type="dxa"/>
            <w:vAlign w:val="bottom"/>
            <w:tcBorders>
              <w:bottom w:val="single" w:sz="8" w:color="243646"/>
            </w:tcBorders>
          </w:tcPr>
          <w:p>
            <w:pPr>
              <w:spacing w:after="0" w:line="20" w:lineRule="exact"/>
              <w:rPr>
                <w:sz w:val="1"/>
                <w:szCs w:val="1"/>
                <w:color w:val="auto"/>
              </w:rPr>
            </w:pPr>
          </w:p>
        </w:tc>
        <w:tc>
          <w:tcPr>
            <w:tcW w:w="1060" w:type="dxa"/>
            <w:vAlign w:val="bottom"/>
            <w:tcBorders>
              <w:bottom w:val="single" w:sz="8" w:color="243646"/>
              <w:right w:val="single" w:sz="8" w:color="243646"/>
            </w:tcBorders>
          </w:tcPr>
          <w:p>
            <w:pPr>
              <w:spacing w:after="0" w:line="20" w:lineRule="exact"/>
              <w:rPr>
                <w:sz w:val="1"/>
                <w:szCs w:val="1"/>
                <w:color w:val="auto"/>
              </w:rPr>
            </w:pPr>
          </w:p>
        </w:tc>
        <w:tc>
          <w:tcPr>
            <w:tcW w:w="100" w:type="dxa"/>
            <w:vAlign w:val="bottom"/>
            <w:tcBorders>
              <w:bottom w:val="single" w:sz="8" w:color="243646"/>
            </w:tcBorders>
          </w:tcPr>
          <w:p>
            <w:pPr>
              <w:spacing w:after="0" w:line="20" w:lineRule="exact"/>
              <w:rPr>
                <w:sz w:val="1"/>
                <w:szCs w:val="1"/>
                <w:color w:val="auto"/>
              </w:rPr>
            </w:pPr>
          </w:p>
        </w:tc>
        <w:tc>
          <w:tcPr>
            <w:tcW w:w="880" w:type="dxa"/>
            <w:vAlign w:val="bottom"/>
            <w:tcBorders>
              <w:top w:val="single" w:sz="8" w:color="0000EE"/>
              <w:bottom w:val="single" w:sz="8" w:color="243646"/>
            </w:tcBorders>
          </w:tcPr>
          <w:p>
            <w:pPr>
              <w:spacing w:after="0" w:line="20" w:lineRule="exact"/>
              <w:rPr>
                <w:sz w:val="1"/>
                <w:szCs w:val="1"/>
                <w:color w:val="auto"/>
              </w:rPr>
            </w:pPr>
          </w:p>
        </w:tc>
        <w:tc>
          <w:tcPr>
            <w:tcW w:w="1700" w:type="dxa"/>
            <w:vAlign w:val="bottom"/>
            <w:tcBorders>
              <w:top w:val="single" w:sz="8" w:color="0000EE"/>
              <w:bottom w:val="single" w:sz="8" w:color="243646"/>
            </w:tcBorders>
          </w:tcPr>
          <w:p>
            <w:pPr>
              <w:spacing w:after="0" w:line="20" w:lineRule="exact"/>
              <w:rPr>
                <w:sz w:val="1"/>
                <w:szCs w:val="1"/>
                <w:color w:val="auto"/>
              </w:rPr>
            </w:pPr>
          </w:p>
        </w:tc>
        <w:tc>
          <w:tcPr>
            <w:tcW w:w="3840" w:type="dxa"/>
            <w:vAlign w:val="bottom"/>
            <w:tcBorders>
              <w:top w:val="single" w:sz="8" w:color="0000EE"/>
              <w:bottom w:val="single" w:sz="8" w:color="243646"/>
            </w:tcBorders>
          </w:tcPr>
          <w:p>
            <w:pPr>
              <w:spacing w:after="0" w:line="20" w:lineRule="exact"/>
              <w:rPr>
                <w:sz w:val="1"/>
                <w:szCs w:val="1"/>
                <w:color w:val="auto"/>
              </w:rPr>
            </w:pPr>
          </w:p>
        </w:tc>
        <w:tc>
          <w:tcPr>
            <w:tcW w:w="2900" w:type="dxa"/>
            <w:vAlign w:val="bottom"/>
            <w:tcBorders>
              <w:bottom w:val="single" w:sz="8" w:color="243646"/>
              <w:right w:val="single" w:sz="8" w:color="243646"/>
            </w:tcBorders>
          </w:tcPr>
          <w:p>
            <w:pPr>
              <w:spacing w:after="0" w:line="20" w:lineRule="exact"/>
              <w:rPr>
                <w:sz w:val="1"/>
                <w:szCs w:val="1"/>
                <w:color w:val="auto"/>
              </w:rPr>
            </w:pPr>
          </w:p>
        </w:tc>
      </w:tr>
      <w:tr>
        <w:trPr>
          <w:trHeight w:val="209"/>
        </w:trPr>
        <w:tc>
          <w:tcPr>
            <w:tcW w:w="440" w:type="dxa"/>
            <w:vAlign w:val="bottom"/>
            <w:tcBorders>
              <w:left w:val="single" w:sz="8" w:color="243646"/>
              <w:bottom w:val="single" w:sz="8" w:color="243646"/>
            </w:tcBorders>
            <w:gridSpan w:val="3"/>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Borders>
              <w:bottom w:val="single" w:sz="8" w:color="243646"/>
            </w:tcBorders>
          </w:tcPr>
          <w:p>
            <w:pPr>
              <w:spacing w:after="0"/>
              <w:rPr>
                <w:sz w:val="18"/>
                <w:szCs w:val="18"/>
                <w:color w:val="auto"/>
              </w:rPr>
            </w:pPr>
          </w:p>
        </w:tc>
        <w:tc>
          <w:tcPr>
            <w:tcW w:w="1060" w:type="dxa"/>
            <w:vAlign w:val="bottom"/>
            <w:tcBorders>
              <w:bottom w:val="single" w:sz="8" w:color="243646"/>
              <w:right w:val="single" w:sz="8" w:color="243646"/>
            </w:tcBorders>
          </w:tcPr>
          <w:p>
            <w:pPr>
              <w:spacing w:after="0"/>
              <w:rPr>
                <w:sz w:val="18"/>
                <w:szCs w:val="18"/>
                <w:color w:val="auto"/>
              </w:rPr>
            </w:pPr>
          </w:p>
        </w:tc>
        <w:tc>
          <w:tcPr>
            <w:tcW w:w="9420" w:type="dxa"/>
            <w:vAlign w:val="bottom"/>
            <w:tcBorders>
              <w:bottom w:val="single" w:sz="8" w:color="243646"/>
              <w:right w:val="single" w:sz="8" w:color="243646"/>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669"/>
        </w:trPr>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VIPER ENERGY, INC.</w:t>
            </w:r>
          </w:p>
        </w:tc>
      </w:tr>
      <w:tr>
        <w:trPr>
          <w:trHeight w:val="41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July 2, 2026</w:t>
            </w:r>
          </w:p>
        </w:tc>
        <w:tc>
          <w:tcPr>
            <w:tcW w:w="5040" w:type="dxa"/>
            <w:vAlign w:val="bottom"/>
          </w:tcPr>
          <w:p>
            <w:pPr>
              <w:spacing w:after="0"/>
              <w:rPr>
                <w:sz w:val="24"/>
                <w:szCs w:val="24"/>
                <w:color w:val="auto"/>
              </w:rPr>
            </w:pP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Teresa L. Dick</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Teresa L. Dick</w:t>
            </w:r>
          </w:p>
        </w:tc>
      </w:t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Executive Vice President and Assistant</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811 Main Street, Suite 3700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+1.713.546.5400 Fax: +1.713.546.5401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www.lw.com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811 Main Street, Suite 3700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534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FIRM / AFFILIATE OFFICES</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37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Austin</w:t>
            </w:r>
          </w:p>
        </w:tc>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Milan</w:t>
            </w:r>
          </w:p>
        </w:tc>
        <w:tc>
          <w:tcPr>
            <w:tcW w:w="0" w:type="dxa"/>
            <w:vAlign w:val="bottom"/>
          </w:tcPr>
          <w:p>
            <w:pPr>
              <w:spacing w:after="0"/>
              <w:rPr>
                <w:sz w:val="1"/>
                <w:szCs w:val="1"/>
                <w:color w:val="auto"/>
              </w:rPr>
            </w:pPr>
          </w:p>
        </w:tc>
      </w:tr>
      <w:tr>
        <w:trPr>
          <w:trHeight w:val="216"/>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July 2, 2026</w:t>
            </w:r>
          </w:p>
        </w:tc>
        <w:tc>
          <w:tcPr>
            <w:tcW w:w="37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Beijing</w:t>
            </w:r>
          </w:p>
        </w:tc>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Munich</w:t>
            </w:r>
          </w:p>
        </w:tc>
        <w:tc>
          <w:tcPr>
            <w:tcW w:w="0" w:type="dxa"/>
            <w:vAlign w:val="bottom"/>
          </w:tcPr>
          <w:p>
            <w:pPr>
              <w:spacing w:after="0"/>
              <w:rPr>
                <w:sz w:val="1"/>
                <w:szCs w:val="1"/>
                <w:color w:val="auto"/>
              </w:rPr>
            </w:pPr>
          </w:p>
        </w:tc>
      </w:tr>
      <w:tr>
        <w:trPr>
          <w:trHeight w:val="113"/>
        </w:trPr>
        <w:tc>
          <w:tcPr>
            <w:tcW w:w="4760" w:type="dxa"/>
            <w:vAlign w:val="bottom"/>
            <w:vMerge w:val="continue"/>
          </w:tcPr>
          <w:p>
            <w:pPr>
              <w:spacing w:after="0"/>
              <w:rPr>
                <w:sz w:val="9"/>
                <w:szCs w:val="9"/>
                <w:color w:val="auto"/>
              </w:rPr>
            </w:pPr>
          </w:p>
        </w:tc>
        <w:tc>
          <w:tcPr>
            <w:tcW w:w="3720" w:type="dxa"/>
            <w:vAlign w:val="bottom"/>
            <w:vMerge w:val="restart"/>
          </w:tcPr>
          <w:p>
            <w:pPr>
              <w:ind w:left="2460"/>
              <w:spacing w:after="0"/>
              <w:rPr>
                <w:sz w:val="20"/>
                <w:szCs w:val="20"/>
                <w:color w:val="auto"/>
              </w:rPr>
            </w:pPr>
            <w:r>
              <w:rPr>
                <w:rFonts w:ascii="Times New Roman" w:cs="Times New Roman" w:eastAsia="Times New Roman" w:hAnsi="Times New Roman"/>
                <w:sz w:val="18"/>
                <w:szCs w:val="18"/>
                <w:color w:val="auto"/>
              </w:rPr>
              <w:t>Boston</w:t>
            </w:r>
          </w:p>
        </w:tc>
        <w:tc>
          <w:tcPr>
            <w:tcW w:w="16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103"/>
        </w:trPr>
        <w:tc>
          <w:tcPr>
            <w:tcW w:w="4760" w:type="dxa"/>
            <w:vAlign w:val="bottom"/>
          </w:tcPr>
          <w:p>
            <w:pPr>
              <w:spacing w:after="0"/>
              <w:rPr>
                <w:sz w:val="8"/>
                <w:szCs w:val="8"/>
                <w:color w:val="auto"/>
              </w:rPr>
            </w:pPr>
          </w:p>
        </w:tc>
        <w:tc>
          <w:tcPr>
            <w:tcW w:w="372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Viper Energy, Inc.</w:t>
            </w:r>
          </w:p>
        </w:tc>
        <w:tc>
          <w:tcPr>
            <w:tcW w:w="37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Brussels</w:t>
            </w:r>
          </w:p>
        </w:tc>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Orange County</w:t>
            </w:r>
          </w:p>
        </w:tc>
        <w:tc>
          <w:tcPr>
            <w:tcW w:w="0" w:type="dxa"/>
            <w:vAlign w:val="bottom"/>
          </w:tcPr>
          <w:p>
            <w:pPr>
              <w:spacing w:after="0"/>
              <w:rPr>
                <w:sz w:val="1"/>
                <w:szCs w:val="1"/>
                <w:color w:val="auto"/>
              </w:rPr>
            </w:pPr>
          </w:p>
        </w:tc>
      </w:tr>
      <w:tr>
        <w:trPr>
          <w:trHeight w:val="95"/>
        </w:trPr>
        <w:tc>
          <w:tcPr>
            <w:tcW w:w="4760" w:type="dxa"/>
            <w:vAlign w:val="bottom"/>
            <w:vMerge w:val="continue"/>
          </w:tcPr>
          <w:p>
            <w:pPr>
              <w:spacing w:after="0"/>
              <w:rPr>
                <w:sz w:val="8"/>
                <w:szCs w:val="8"/>
                <w:color w:val="auto"/>
              </w:rPr>
            </w:pPr>
          </w:p>
        </w:tc>
        <w:tc>
          <w:tcPr>
            <w:tcW w:w="3720" w:type="dxa"/>
            <w:vAlign w:val="bottom"/>
            <w:vMerge w:val="restart"/>
          </w:tcPr>
          <w:p>
            <w:pPr>
              <w:ind w:left="2460"/>
              <w:spacing w:after="0"/>
              <w:rPr>
                <w:sz w:val="20"/>
                <w:szCs w:val="20"/>
                <w:color w:val="auto"/>
              </w:rPr>
            </w:pPr>
            <w:r>
              <w:rPr>
                <w:rFonts w:ascii="Times New Roman" w:cs="Times New Roman" w:eastAsia="Times New Roman" w:hAnsi="Times New Roman"/>
                <w:sz w:val="18"/>
                <w:szCs w:val="18"/>
                <w:color w:val="auto"/>
              </w:rPr>
              <w:t>Chicago</w:t>
            </w:r>
          </w:p>
        </w:tc>
        <w:tc>
          <w:tcPr>
            <w:tcW w:w="16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Paris</w:t>
            </w:r>
          </w:p>
        </w:tc>
        <w:tc>
          <w:tcPr>
            <w:tcW w:w="0" w:type="dxa"/>
            <w:vAlign w:val="bottom"/>
          </w:tcPr>
          <w:p>
            <w:pPr>
              <w:spacing w:after="0"/>
              <w:rPr>
                <w:sz w:val="1"/>
                <w:szCs w:val="1"/>
                <w:color w:val="auto"/>
              </w:rPr>
            </w:pPr>
          </w:p>
        </w:tc>
      </w:tr>
      <w:tr>
        <w:trPr>
          <w:trHeight w:val="121"/>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500 West Texas Ave., Suite 100</w:t>
            </w:r>
          </w:p>
        </w:tc>
        <w:tc>
          <w:tcPr>
            <w:tcW w:w="372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760" w:type="dxa"/>
            <w:vAlign w:val="bottom"/>
            <w:vMerge w:val="continue"/>
          </w:tcPr>
          <w:p>
            <w:pPr>
              <w:spacing w:after="0"/>
              <w:rPr>
                <w:sz w:val="8"/>
                <w:szCs w:val="8"/>
                <w:color w:val="auto"/>
              </w:rPr>
            </w:pPr>
          </w:p>
        </w:tc>
        <w:tc>
          <w:tcPr>
            <w:tcW w:w="3720" w:type="dxa"/>
            <w:vAlign w:val="bottom"/>
            <w:vMerge w:val="restart"/>
          </w:tcPr>
          <w:p>
            <w:pPr>
              <w:ind w:left="2460"/>
              <w:spacing w:after="0"/>
              <w:rPr>
                <w:sz w:val="20"/>
                <w:szCs w:val="20"/>
                <w:color w:val="auto"/>
              </w:rPr>
            </w:pPr>
            <w:r>
              <w:rPr>
                <w:rFonts w:ascii="Times New Roman" w:cs="Times New Roman" w:eastAsia="Times New Roman" w:hAnsi="Times New Roman"/>
                <w:sz w:val="18"/>
                <w:szCs w:val="18"/>
                <w:color w:val="auto"/>
              </w:rPr>
              <w:t>Dubai</w:t>
            </w:r>
          </w:p>
        </w:tc>
        <w:tc>
          <w:tcPr>
            <w:tcW w:w="16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Riyadh</w:t>
            </w:r>
          </w:p>
        </w:tc>
        <w:tc>
          <w:tcPr>
            <w:tcW w:w="0" w:type="dxa"/>
            <w:vAlign w:val="bottom"/>
          </w:tcPr>
          <w:p>
            <w:pPr>
              <w:spacing w:after="0"/>
              <w:rPr>
                <w:sz w:val="1"/>
                <w:szCs w:val="1"/>
                <w:color w:val="auto"/>
              </w:rPr>
            </w:pPr>
          </w:p>
        </w:tc>
      </w:tr>
      <w:tr>
        <w:trPr>
          <w:trHeight w:val="122"/>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Midland, Texas 79701</w:t>
            </w:r>
          </w:p>
        </w:tc>
        <w:tc>
          <w:tcPr>
            <w:tcW w:w="372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760" w:type="dxa"/>
            <w:vAlign w:val="bottom"/>
            <w:vMerge w:val="continue"/>
          </w:tcPr>
          <w:p>
            <w:pPr>
              <w:spacing w:after="0"/>
              <w:rPr>
                <w:sz w:val="9"/>
                <w:szCs w:val="9"/>
                <w:color w:val="auto"/>
              </w:rPr>
            </w:pPr>
          </w:p>
        </w:tc>
        <w:tc>
          <w:tcPr>
            <w:tcW w:w="3720" w:type="dxa"/>
            <w:vAlign w:val="bottom"/>
            <w:vMerge w:val="restart"/>
          </w:tcPr>
          <w:p>
            <w:pPr>
              <w:ind w:left="2460"/>
              <w:spacing w:after="0"/>
              <w:rPr>
                <w:sz w:val="20"/>
                <w:szCs w:val="20"/>
                <w:color w:val="auto"/>
              </w:rPr>
            </w:pPr>
            <w:r>
              <w:rPr>
                <w:rFonts w:ascii="Times New Roman" w:cs="Times New Roman" w:eastAsia="Times New Roman" w:hAnsi="Times New Roman"/>
                <w:sz w:val="18"/>
                <w:szCs w:val="18"/>
                <w:color w:val="auto"/>
              </w:rPr>
              <w:t>Düsseldorf</w:t>
            </w:r>
          </w:p>
        </w:tc>
        <w:tc>
          <w:tcPr>
            <w:tcW w:w="16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San Diego</w:t>
            </w:r>
          </w:p>
        </w:tc>
        <w:tc>
          <w:tcPr>
            <w:tcW w:w="0" w:type="dxa"/>
            <w:vAlign w:val="bottom"/>
          </w:tcPr>
          <w:p>
            <w:pPr>
              <w:spacing w:after="0"/>
              <w:rPr>
                <w:sz w:val="1"/>
                <w:szCs w:val="1"/>
                <w:color w:val="auto"/>
              </w:rPr>
            </w:pPr>
          </w:p>
        </w:tc>
      </w:tr>
      <w:tr>
        <w:trPr>
          <w:trHeight w:val="103"/>
        </w:trPr>
        <w:tc>
          <w:tcPr>
            <w:tcW w:w="4760" w:type="dxa"/>
            <w:vAlign w:val="bottom"/>
          </w:tcPr>
          <w:p>
            <w:pPr>
              <w:spacing w:after="0"/>
              <w:rPr>
                <w:sz w:val="8"/>
                <w:szCs w:val="8"/>
                <w:color w:val="auto"/>
              </w:rPr>
            </w:pPr>
          </w:p>
        </w:tc>
        <w:tc>
          <w:tcPr>
            <w:tcW w:w="372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37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Frankfurt</w:t>
            </w:r>
          </w:p>
        </w:tc>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San Francisco</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37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Hamburg</w:t>
            </w:r>
          </w:p>
        </w:tc>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Seoul</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37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Hong Kong</w:t>
            </w:r>
          </w:p>
        </w:tc>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Silicon Valley</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37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Houston</w:t>
            </w:r>
          </w:p>
        </w:tc>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37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London</w:t>
            </w:r>
          </w:p>
        </w:tc>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Tel Aviv</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37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Los Angeles</w:t>
            </w:r>
          </w:p>
        </w:tc>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Tokyo</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p>
        </w:tc>
        <w:tc>
          <w:tcPr>
            <w:tcW w:w="37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Madrid</w:t>
            </w:r>
          </w:p>
        </w:tc>
        <w:tc>
          <w:tcPr>
            <w:tcW w:w="16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6"/>
              </w:rPr>
              <w:t>Washington, D.C.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-2056765</wp:posOffset>
            </wp:positionV>
            <wp:extent cx="2571750"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19748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S-3 (Registration No. 333-289863); Up to 3,691,796 shares of Class A common stock, par value $0.000001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set forth above:</w:t>
      </w:r>
    </w:p>
    <w:p>
      <w:pPr>
        <w:spacing w:after="0" w:line="22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have acted as special counsel to Viper Energy,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sale of up to 3,691,796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Class A common stock, par value $0.000001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of the Company, by the selling stockholder (the “</w:t>
      </w:r>
      <w:r>
        <w:rPr>
          <w:rFonts w:ascii="Times New Roman" w:cs="Times New Roman" w:eastAsia="Times New Roman" w:hAnsi="Times New Roman"/>
          <w:sz w:val="18"/>
          <w:szCs w:val="18"/>
          <w:b w:val="1"/>
          <w:bCs w:val="1"/>
          <w:i w:val="1"/>
          <w:iCs w:val="1"/>
          <w:color w:val="auto"/>
        </w:rPr>
        <w:t>Selling Stockholder</w:t>
      </w:r>
      <w:r>
        <w:rPr>
          <w:rFonts w:ascii="Times New Roman" w:cs="Times New Roman" w:eastAsia="Times New Roman" w:hAnsi="Times New Roman"/>
          <w:sz w:val="18"/>
          <w:szCs w:val="18"/>
          <w:color w:val="auto"/>
        </w:rPr>
        <w:t>”) named in the Prospectus (as defined below). The Shares are included in a registration statement on Form S-3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August 26, 2025 (Registration No. 333-289863)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 base prospectus, dated August 26, 2025, included in the Registration Statement at the time it originally became effective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a prospectus supplement, dated July 2, 2026, filed with the Commission pursuant to Rule 424(b) under the Act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spacing w:after="0" w:line="19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July 2,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082800"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8280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 when the Shares have been duly registered on the books of the transfer agent and registrar therefor in the name or on behalf of the purchasers,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83"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Company’s Current Report on Form 8-K dated as of July 2, 2026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Sincerely,</w:t>
      </w: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2026-07-02T16:12:34Z</dcterms:created>
  <dcterms:modified xsi:type="dcterms:W3CDTF">2026-07-02T16:12:34Z</dcterms:modified>
</cp:coreProperties>
</file>