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-5715</wp:posOffset>
            </wp:positionV>
            <wp:extent cx="99695" cy="996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40" w:firstLine="7"/>
        <w:spacing w:after="0" w:line="270" w:lineRule="auto"/>
        <w:tabs>
          <w:tab w:leader="none" w:pos="43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0" w:right="12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-407035</wp:posOffset>
            </wp:positionV>
            <wp:extent cx="99695" cy="99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5740" w:type="dxa"/>
            <w:vAlign w:val="bottom"/>
          </w:tcPr>
          <w:p>
            <w:pPr>
              <w:jc w:val="center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7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4935220</wp:posOffset>
            </wp:positionH>
            <wp:positionV relativeFrom="paragraph">
              <wp:posOffset>-511810</wp:posOffset>
            </wp:positionV>
            <wp:extent cx="52070" cy="525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3630295</wp:posOffset>
            </wp:positionH>
            <wp:positionV relativeFrom="paragraph">
              <wp:posOffset>-511810</wp:posOffset>
            </wp:positionV>
            <wp:extent cx="52070" cy="525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-2003425</wp:posOffset>
            </wp:positionH>
            <wp:positionV relativeFrom="paragraph">
              <wp:posOffset>473710</wp:posOffset>
            </wp:positionV>
            <wp:extent cx="7018020" cy="3208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320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3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PERRY WILLIAM WESLEY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 w:line="84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Viper Energy,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VNOM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9"/>
              </w:rPr>
              <w:t>500 WEST TEXAS AVENUE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SUITE 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MIDLAND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79701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 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3,612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8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82,355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 w:right="200" w:hanging="5"/>
        <w:spacing w:after="0" w:line="28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units, each representing a contingent right to receive one share of Class A Common Stock, par value $0.000001 per share, of the issuer. These restricted stock units were granted to the reporting person as an annual non-employee director grant under the issuer's long term incentive plan and will vest on the earlier of the one-year anniversary of the date of grant and the date of the 2027 annual meeting of stockholders of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24.1 - Limited Power of Attorney</w:t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/s/ William F. Krueger, as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fact for William Wesley Perry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385445</wp:posOffset>
            </wp:positionH>
            <wp:positionV relativeFrom="page">
              <wp:posOffset>302260</wp:posOffset>
            </wp:positionV>
            <wp:extent cx="6942455" cy="9226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455" cy="922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385445</wp:posOffset>
            </wp:positionH>
            <wp:positionV relativeFrom="page">
              <wp:posOffset>421640</wp:posOffset>
            </wp:positionV>
            <wp:extent cx="6942455" cy="92202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455" cy="922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2967" TargetMode="External"/><Relationship Id="rId14" Type="http://schemas.openxmlformats.org/officeDocument/2006/relationships/hyperlink" Target="http://www.sec.gov/cgi-bin/browse-edgar?action=getcompany&amp;CIK=0002074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2026-05-21T15:04:21Z</dcterms:created>
  <dcterms:modified xsi:type="dcterms:W3CDTF">2026-05-21T15:04:21Z</dcterms:modified>
</cp:coreProperties>
</file>