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720"/>
        <w:jc w:val="left"/>
        <w:rPr/>
      </w:pPr>
      <w:r>
        <w:rPr/>
      </w:r>
    </w:p>
    <w:p>
      <w:pPr>
        <w:pStyle w:val="TextBody"/>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60" w:after="283"/>
        <w:ind w:left="0" w:right="0" w:firstLine="72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For the quarterly period ended March 31, 2026</w:t>
      </w:r>
    </w:p>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Commission File Number: 001-42807</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40"/>
        </w:rPr>
      </w:pPr>
      <w:r>
        <w:rPr>
          <w:rFonts w:ascii="Times New Roman;serif" w:hAnsi="Times New Roman;serif"/>
          <w:b/>
          <w:color w:val="000000"/>
          <w:sz w:val="4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611" w:type="dxa"/>
        <w:jc w:val="center"/>
        <w:tblInd w:w="0" w:type="dxa"/>
        <w:tblLayout w:type="fixed"/>
        <w:tblCellMar>
          <w:top w:w="28" w:type="dxa"/>
          <w:left w:w="28" w:type="dxa"/>
          <w:bottom w:w="28" w:type="dxa"/>
          <w:right w:w="28" w:type="dxa"/>
        </w:tblCellMar>
      </w:tblPr>
      <w:tblGrid>
        <w:gridCol w:w="842"/>
        <w:gridCol w:w="741"/>
        <w:gridCol w:w="741"/>
        <w:gridCol w:w="741"/>
        <w:gridCol w:w="741"/>
        <w:gridCol w:w="753"/>
        <w:gridCol w:w="109"/>
        <w:gridCol w:w="109"/>
        <w:gridCol w:w="109"/>
        <w:gridCol w:w="109"/>
        <w:gridCol w:w="109"/>
        <w:gridCol w:w="109"/>
        <w:gridCol w:w="109"/>
        <w:gridCol w:w="109"/>
        <w:gridCol w:w="109"/>
        <w:gridCol w:w="109"/>
        <w:gridCol w:w="109"/>
        <w:gridCol w:w="109"/>
        <w:gridCol w:w="799"/>
        <w:gridCol w:w="799"/>
        <w:gridCol w:w="1146"/>
      </w:tblGrid>
      <w:tr>
        <w:trPr/>
        <w:tc>
          <w:tcPr>
            <w:tcW w:w="842"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39-2596878</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455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79701</w:t>
            </w:r>
          </w:p>
        </w:tc>
      </w:tr>
      <w:tr>
        <w:trPr/>
        <w:tc>
          <w:tcPr>
            <w:tcW w:w="4559"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345" w:before="0" w:after="0"/>
        <w:ind w:left="0" w:right="0" w:firstLine="720"/>
        <w:jc w:val="center"/>
        <w:rPr>
          <w:rFonts w:ascii="Times New Roman;serif" w:hAnsi="Times New Roman;serif"/>
          <w:b/>
          <w:color w:val="000000"/>
          <w:sz w:val="18"/>
        </w:rPr>
      </w:pPr>
      <w:r>
        <w:rPr>
          <w:rFonts w:ascii="Times New Roman;serif" w:hAnsi="Times New Roman;serif"/>
          <w:b/>
          <w:color w:val="000000"/>
          <w:sz w:val="18"/>
        </w:rPr>
        <w:t>(432) 221-7400</w:t>
      </w:r>
    </w:p>
    <w:p>
      <w:pPr>
        <w:pStyle w:val="TextBody"/>
        <w:bidi w:val="0"/>
        <w:spacing w:lineRule="auto" w:line="264" w:before="0" w:after="0"/>
        <w:ind w:left="0" w:right="0" w:firstLine="72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bl>
      <w:tblPr>
        <w:tblW w:w="7505" w:type="dxa"/>
        <w:jc w:val="center"/>
        <w:tblInd w:w="0" w:type="dxa"/>
        <w:tblLayout w:type="fixed"/>
        <w:tblCellMar>
          <w:top w:w="28" w:type="dxa"/>
          <w:left w:w="28" w:type="dxa"/>
          <w:bottom w:w="28" w:type="dxa"/>
          <w:right w:w="28" w:type="dxa"/>
        </w:tblCellMar>
      </w:tblPr>
      <w:tblGrid>
        <w:gridCol w:w="124"/>
        <w:gridCol w:w="109"/>
        <w:gridCol w:w="109"/>
        <w:gridCol w:w="579"/>
        <w:gridCol w:w="579"/>
        <w:gridCol w:w="582"/>
        <w:gridCol w:w="109"/>
        <w:gridCol w:w="109"/>
        <w:gridCol w:w="109"/>
        <w:gridCol w:w="484"/>
        <w:gridCol w:w="484"/>
        <w:gridCol w:w="486"/>
        <w:gridCol w:w="1089"/>
        <w:gridCol w:w="1089"/>
        <w:gridCol w:w="109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w:t>
              <w:br/>
              <w:t>$0.000001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VNOM</w:t>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center"/>
        <w:rPr/>
      </w:pPr>
      <w:r>
        <w:rPr/>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jc w:val="both"/>
        <w:rPr/>
      </w:pPr>
      <w:r>
        <w:rPr/>
      </w:r>
    </w:p>
    <w:tbl>
      <w:tblPr>
        <w:tblW w:w="5370"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4"/>
        <w:gridCol w:w="674"/>
        <w:gridCol w:w="677"/>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231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shell company (as defined in Rule 12b-2 of the Exchange Act). Yes ☐ No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As of May 1, 2026, 194,215,015 shares of Class A Common Stock and 164,810,547 shares of Class B Common Stock of the registrant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720"/>
                        <w:jc w:val="both"/>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FOR THE QUARTER ENDED MARCH 31, 2026</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ind w:left="0" w:right="0" w:firstLine="720"/>
        <w:jc w:val="center"/>
        <w:rPr/>
      </w:pPr>
      <w:r>
        <w:rPr/>
      </w:r>
    </w:p>
    <w:tbl>
      <w:tblPr>
        <w:tblW w:w="7546" w:type="dxa"/>
        <w:jc w:val="left"/>
        <w:tblInd w:w="0" w:type="dxa"/>
        <w:tblLayout w:type="fixed"/>
        <w:tblCellMar>
          <w:top w:w="28" w:type="dxa"/>
          <w:left w:w="28" w:type="dxa"/>
          <w:bottom w:w="28" w:type="dxa"/>
          <w:right w:w="28" w:type="dxa"/>
        </w:tblCellMar>
      </w:tblPr>
      <w:tblGrid>
        <w:gridCol w:w="2550"/>
        <w:gridCol w:w="2246"/>
        <w:gridCol w:w="2254"/>
        <w:gridCol w:w="145"/>
        <w:gridCol w:w="145"/>
        <w:gridCol w:w="206"/>
      </w:tblGrid>
      <w:tr>
        <w:trPr/>
        <w:tc>
          <w:tcPr>
            <w:tcW w:w="2550"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Page</w:t>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0">
              <w:r>
                <w:rPr>
                  <w:rStyle w:val="InternetLink"/>
                  <w:rFonts w:ascii="Times New Roman;serif" w:hAnsi="Times New Roman;serif"/>
                  <w:b w:val="false"/>
                  <w:color w:val="0000FF"/>
                  <w:sz w:val="18"/>
                  <w:u w:val="single"/>
                </w:rPr>
                <w:t>Glossary of Oil and Natural Gas Terms</w:t>
              </w:r>
            </w:hyperlink>
          </w:p>
        </w:tc>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center"/>
              <w:rPr/>
            </w:pPr>
            <w:hyperlink w:anchor="i8a4d921f96b0461ca4b5dcc2b847ded7_10">
              <w:r>
                <w:rPr>
                  <w:rStyle w:val="InternetLink"/>
                  <w:rFonts w:ascii="Times New Roman;serif" w:hAnsi="Times New Roman;serif"/>
                  <w:b w:val="false"/>
                  <w:color w:val="0000FF"/>
                  <w:sz w:val="18"/>
                  <w:u w:val="single"/>
                </w:rPr>
                <w:t>ii</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3">
              <w:r>
                <w:rPr>
                  <w:rStyle w:val="InternetLink"/>
                  <w:rFonts w:ascii="Times New Roman;serif" w:hAnsi="Times New Roman;serif"/>
                  <w:b w:val="false"/>
                  <w:color w:val="0000FF"/>
                  <w:sz w:val="18"/>
                  <w:u w:val="single"/>
                </w:rPr>
                <w:t>Glossary of Certain Other Terms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3">
              <w:r>
                <w:rPr>
                  <w:rStyle w:val="InternetLink"/>
                  <w:rFonts w:ascii="Times New Roman;serif" w:hAnsi="Times New Roman;serif"/>
                  <w:b w:val="false"/>
                  <w:color w:val="0000FF"/>
                  <w:sz w:val="18"/>
                  <w:u w:val="single"/>
                </w:rPr>
                <w:t>iv</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6">
              <w:r>
                <w:rPr>
                  <w:rStyle w:val="InternetLink"/>
                  <w:rFonts w:ascii="Times New Roman;serif" w:hAnsi="Times New Roman;serif"/>
                  <w:b w:val="false"/>
                  <w:color w:val="0000FF"/>
                  <w:sz w:val="18"/>
                  <w:u w:val="single"/>
                </w:rPr>
                <w:t>Cautionary Statement Regarding Forward-Looking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6">
              <w:r>
                <w:rPr>
                  <w:rStyle w:val="InternetLink"/>
                  <w:rFonts w:ascii="Times New Roman;serif" w:hAnsi="Times New Roman;serif"/>
                  <w:b w:val="false"/>
                  <w:color w:val="0000FF"/>
                  <w:sz w:val="18"/>
                  <w:u w:val="single"/>
                </w:rPr>
                <w:t>v</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9">
              <w:r>
                <w:rPr>
                  <w:rStyle w:val="InternetLink"/>
                  <w:rFonts w:ascii="Times New Roman;serif" w:hAnsi="Times New Roman;serif"/>
                  <w:b/>
                  <w:color w:val="0000FF"/>
                  <w:sz w:val="18"/>
                  <w:u w:val="single"/>
                </w:rPr>
                <w:t>PART I. FINANCIAL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22">
              <w:r>
                <w:rPr>
                  <w:rStyle w:val="InternetLink"/>
                  <w:rFonts w:ascii="Times New Roman;serif" w:hAnsi="Times New Roman;serif"/>
                  <w:b w:val="false"/>
                  <w:color w:val="0000FF"/>
                  <w:sz w:val="18"/>
                  <w:u w:val="single"/>
                </w:rPr>
                <w:t>Item 1. Financial Statements (Unaudited)</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22">
              <w:r>
                <w:rPr>
                  <w:rStyle w:val="InternetLink"/>
                  <w:rFonts w:ascii="Times New Roman;serif" w:hAnsi="Times New Roman;serif"/>
                  <w:b w:val="false"/>
                  <w:color w:val="0000FF"/>
                  <w:sz w:val="18"/>
                  <w:u w:val="single"/>
                </w:rPr>
                <w:t>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28">
              <w:r>
                <w:rPr>
                  <w:rStyle w:val="InternetLink"/>
                  <w:rFonts w:ascii="Times New Roman;serif" w:hAnsi="Times New Roman;serif"/>
                  <w:b w:val="false"/>
                  <w:color w:val="0000FF"/>
                  <w:sz w:val="18"/>
                  <w:u w:val="single"/>
                </w:rPr>
                <w:t>Condensed Consolidated Statements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28">
              <w:r>
                <w:rPr>
                  <w:rStyle w:val="InternetLink"/>
                  <w:rFonts w:ascii="Times New Roman;serif" w:hAnsi="Times New Roman;serif"/>
                  <w:b w:val="false"/>
                  <w:color w:val="0000FF"/>
                  <w:sz w:val="18"/>
                  <w:u w:val="single"/>
                </w:rPr>
                <w:t>1</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25">
              <w:r>
                <w:rPr>
                  <w:rStyle w:val="InternetLink"/>
                  <w:rFonts w:ascii="Times New Roman;serif" w:hAnsi="Times New Roman;serif"/>
                  <w:b w:val="false"/>
                  <w:color w:val="0000FF"/>
                  <w:sz w:val="18"/>
                  <w:u w:val="single"/>
                </w:rPr>
                <w:t>Condensed Consolidated Balance Sheets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25">
              <w:r>
                <w:rPr>
                  <w:rStyle w:val="InternetLink"/>
                  <w:rFonts w:ascii="Times New Roman;serif" w:hAnsi="Times New Roman;serif"/>
                  <w:b w:val="false"/>
                  <w:color w:val="0000FF"/>
                  <w:sz w:val="18"/>
                  <w:u w:val="single"/>
                </w:rPr>
                <w:t>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34">
              <w:r>
                <w:rPr>
                  <w:rStyle w:val="InternetLink"/>
                  <w:rFonts w:ascii="Times New Roman;serif" w:hAnsi="Times New Roman;serif"/>
                  <w:b w:val="false"/>
                  <w:color w:val="0000FF"/>
                  <w:sz w:val="18"/>
                  <w:u w:val="single"/>
                </w:rPr>
                <w:t>Condensed Consolidated Statements of Cash Flows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34">
              <w:r>
                <w:rPr>
                  <w:rStyle w:val="InternetLink"/>
                  <w:rFonts w:ascii="Times New Roman;serif" w:hAnsi="Times New Roman;serif"/>
                  <w:b w:val="false"/>
                  <w:color w:val="0000FF"/>
                  <w:sz w:val="18"/>
                  <w:u w:val="single"/>
                </w:rPr>
                <w:t>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31">
              <w:r>
                <w:rPr>
                  <w:rStyle w:val="InternetLink"/>
                  <w:rFonts w:ascii="Times New Roman;serif" w:hAnsi="Times New Roman;serif"/>
                  <w:b w:val="false"/>
                  <w:color w:val="0000FF"/>
                  <w:sz w:val="18"/>
                  <w:u w:val="single"/>
                </w:rPr>
                <w:t>Condensed Consolidated Statements of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31">
              <w:r>
                <w:rPr>
                  <w:rStyle w:val="InternetLink"/>
                  <w:rFonts w:ascii="Times New Roman;serif" w:hAnsi="Times New Roman;serif"/>
                  <w:b w:val="false"/>
                  <w:color w:val="0000FF"/>
                  <w:sz w:val="18"/>
                  <w:u w:val="single"/>
                </w:rPr>
                <w:t>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37">
              <w:r>
                <w:rPr>
                  <w:rStyle w:val="InternetLink"/>
                  <w:rFonts w:ascii="Times New Roman;serif" w:hAnsi="Times New Roman;serif"/>
                  <w:b w:val="false"/>
                  <w:color w:val="0000FF"/>
                  <w:sz w:val="18"/>
                  <w:u w:val="single"/>
                </w:rPr>
                <w:t>Notes to the Condensed Consolidated Financial Statements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37">
              <w:r>
                <w:rPr>
                  <w:rStyle w:val="InternetLink"/>
                  <w:rFonts w:ascii="Times New Roman;serif" w:hAnsi="Times New Roman;serif"/>
                  <w:b w:val="false"/>
                  <w:color w:val="0000FF"/>
                  <w:sz w:val="18"/>
                  <w:u w:val="single"/>
                </w:rPr>
                <w:t>5</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40">
              <w:r>
                <w:rPr>
                  <w:rStyle w:val="InternetLink"/>
                  <w:rFonts w:ascii="Times New Roman;serif" w:hAnsi="Times New Roman;serif"/>
                  <w:b w:val="false"/>
                  <w:color w:val="0000FF"/>
                  <w:sz w:val="18"/>
                  <w:u w:val="single"/>
                </w:rPr>
                <w:t>1. Organization and Basis of Presentation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40">
              <w:r>
                <w:rPr>
                  <w:rStyle w:val="InternetLink"/>
                  <w:rFonts w:ascii="Times New Roman;serif" w:hAnsi="Times New Roman;serif"/>
                  <w:b w:val="false"/>
                  <w:color w:val="0000FF"/>
                  <w:sz w:val="18"/>
                  <w:u w:val="single"/>
                </w:rPr>
                <w:t>5</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43">
              <w:r>
                <w:rPr>
                  <w:rStyle w:val="InternetLink"/>
                  <w:rFonts w:ascii="Times New Roman;serif" w:hAnsi="Times New Roman;serif"/>
                  <w:b w:val="false"/>
                  <w:color w:val="0000FF"/>
                  <w:sz w:val="18"/>
                  <w:u w:val="single"/>
                </w:rPr>
                <w:t>2. Summary of Significant Accounting Policies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43">
              <w:r>
                <w:rPr>
                  <w:rStyle w:val="InternetLink"/>
                  <w:rFonts w:ascii="Times New Roman;serif" w:hAnsi="Times New Roman;serif"/>
                  <w:b w:val="false"/>
                  <w:color w:val="0000FF"/>
                  <w:sz w:val="18"/>
                  <w:u w:val="single"/>
                </w:rPr>
                <w:t>6</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46">
              <w:r>
                <w:rPr>
                  <w:rStyle w:val="InternetLink"/>
                  <w:rFonts w:ascii="Times New Roman;serif" w:hAnsi="Times New Roman;serif"/>
                  <w:b w:val="false"/>
                  <w:color w:val="0000FF"/>
                  <w:sz w:val="18"/>
                  <w:u w:val="single"/>
                </w:rPr>
                <w:t>3. Revenue from Contracts with Customers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46">
              <w:r>
                <w:rPr>
                  <w:rStyle w:val="InternetLink"/>
                  <w:rFonts w:ascii="Times New Roman;serif" w:hAnsi="Times New Roman;serif"/>
                  <w:b w:val="false"/>
                  <w:color w:val="0000FF"/>
                  <w:sz w:val="18"/>
                  <w:u w:val="single"/>
                </w:rPr>
                <w:t>7</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49">
              <w:r>
                <w:rPr>
                  <w:rStyle w:val="InternetLink"/>
                  <w:rFonts w:ascii="Times New Roman;serif" w:hAnsi="Times New Roman;serif"/>
                  <w:b w:val="false"/>
                  <w:color w:val="0000FF"/>
                  <w:sz w:val="18"/>
                  <w:u w:val="single"/>
                </w:rPr>
                <w:t>4. Acquisitions and Divestitures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49">
              <w:r>
                <w:rPr>
                  <w:rStyle w:val="InternetLink"/>
                  <w:rFonts w:ascii="Times New Roman;serif" w:hAnsi="Times New Roman;serif"/>
                  <w:b w:val="false"/>
                  <w:color w:val="0000FF"/>
                  <w:sz w:val="18"/>
                  <w:u w:val="single"/>
                </w:rPr>
                <w:t>8</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52">
              <w:r>
                <w:rPr>
                  <w:rStyle w:val="InternetLink"/>
                  <w:rFonts w:ascii="Times New Roman;serif" w:hAnsi="Times New Roman;serif"/>
                  <w:b w:val="false"/>
                  <w:color w:val="0000FF"/>
                  <w:sz w:val="18"/>
                  <w:u w:val="single"/>
                </w:rPr>
                <w:t>5. Oil and Natural Gas Properties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52">
              <w:r>
                <w:rPr>
                  <w:rStyle w:val="InternetLink"/>
                  <w:rFonts w:ascii="Times New Roman;serif" w:hAnsi="Times New Roman;serif"/>
                  <w:b w:val="false"/>
                  <w:color w:val="0000FF"/>
                  <w:sz w:val="18"/>
                  <w:u w:val="single"/>
                </w:rPr>
                <w:t>9</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55">
              <w:r>
                <w:rPr>
                  <w:rStyle w:val="InternetLink"/>
                  <w:rFonts w:ascii="Times New Roman;serif" w:hAnsi="Times New Roman;serif"/>
                  <w:b w:val="false"/>
                  <w:color w:val="0000FF"/>
                  <w:sz w:val="18"/>
                  <w:u w:val="single"/>
                </w:rPr>
                <w:t>6. Debt</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55">
              <w:r>
                <w:rPr>
                  <w:rStyle w:val="InternetLink"/>
                  <w:rFonts w:ascii="Times New Roman;serif" w:hAnsi="Times New Roman;serif"/>
                  <w:b w:val="false"/>
                  <w:color w:val="0000FF"/>
                  <w:sz w:val="18"/>
                  <w:u w:val="single"/>
                </w:rPr>
                <w:t>10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58">
              <w:r>
                <w:rPr>
                  <w:rStyle w:val="InternetLink"/>
                  <w:rFonts w:ascii="Times New Roman;serif" w:hAnsi="Times New Roman;serif"/>
                  <w:b w:val="false"/>
                  <w:color w:val="0000FF"/>
                  <w:sz w:val="18"/>
                  <w:u w:val="single"/>
                </w:rPr>
                <w:t>7. Stockholders’ Equity</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58">
              <w:r>
                <w:rPr>
                  <w:rStyle w:val="InternetLink"/>
                  <w:rFonts w:ascii="Times New Roman;serif" w:hAnsi="Times New Roman;serif"/>
                  <w:b w:val="false"/>
                  <w:color w:val="0000FF"/>
                  <w:sz w:val="18"/>
                  <w:u w:val="single"/>
                </w:rPr>
                <w:t>10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61">
              <w:r>
                <w:rPr>
                  <w:rStyle w:val="InternetLink"/>
                  <w:rFonts w:ascii="Times New Roman;serif" w:hAnsi="Times New Roman;serif"/>
                  <w:b w:val="false"/>
                  <w:color w:val="0000FF"/>
                  <w:sz w:val="18"/>
                  <w:u w:val="single"/>
                </w:rPr>
                <w:t>8. Earnings Per Common Share</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61">
              <w:r>
                <w:rPr>
                  <w:rStyle w:val="InternetLink"/>
                  <w:rFonts w:ascii="Times New Roman;serif" w:hAnsi="Times New Roman;serif"/>
                  <w:b w:val="false"/>
                  <w:color w:val="0000FF"/>
                  <w:sz w:val="18"/>
                  <w:u w:val="single"/>
                </w:rPr>
                <w:t>13</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64">
              <w:r>
                <w:rPr>
                  <w:rStyle w:val="InternetLink"/>
                  <w:rFonts w:ascii="Times New Roman;serif" w:hAnsi="Times New Roman;serif"/>
                  <w:b w:val="false"/>
                  <w:color w:val="0000FF"/>
                  <w:sz w:val="18"/>
                  <w:u w:val="single"/>
                </w:rPr>
                <w:t>9. Income Taxes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64">
              <w:r>
                <w:rPr>
                  <w:rStyle w:val="InternetLink"/>
                  <w:rFonts w:ascii="Times New Roman;serif" w:hAnsi="Times New Roman;serif"/>
                  <w:b w:val="false"/>
                  <w:color w:val="0000FF"/>
                  <w:sz w:val="18"/>
                  <w:u w:val="single"/>
                </w:rPr>
                <w:t>14</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67">
              <w:r>
                <w:rPr>
                  <w:rStyle w:val="InternetLink"/>
                  <w:rFonts w:ascii="Times New Roman;serif" w:hAnsi="Times New Roman;serif"/>
                  <w:b w:val="false"/>
                  <w:color w:val="0000FF"/>
                  <w:sz w:val="18"/>
                  <w:u w:val="single"/>
                </w:rPr>
                <w:t>10. Derivatives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67">
              <w:r>
                <w:rPr>
                  <w:rStyle w:val="InternetLink"/>
                  <w:rFonts w:ascii="Times New Roman;serif" w:hAnsi="Times New Roman;serif"/>
                  <w:b w:val="false"/>
                  <w:color w:val="0000FF"/>
                  <w:sz w:val="18"/>
                  <w:u w:val="single"/>
                </w:rPr>
                <w:t>14</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70">
              <w:r>
                <w:rPr>
                  <w:rStyle w:val="InternetLink"/>
                  <w:rFonts w:ascii="Times New Roman;serif" w:hAnsi="Times New Roman;serif"/>
                  <w:b w:val="false"/>
                  <w:color w:val="0000FF"/>
                  <w:sz w:val="18"/>
                  <w:u w:val="single"/>
                </w:rPr>
                <w:t>11. Fair Value Measurements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70">
              <w:r>
                <w:rPr>
                  <w:rStyle w:val="InternetLink"/>
                  <w:rFonts w:ascii="Times New Roman;serif" w:hAnsi="Times New Roman;serif"/>
                  <w:b w:val="false"/>
                  <w:color w:val="0000FF"/>
                  <w:sz w:val="18"/>
                  <w:u w:val="single"/>
                </w:rPr>
                <w:t>16</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73">
              <w:r>
                <w:rPr>
                  <w:rStyle w:val="InternetLink"/>
                  <w:rFonts w:ascii="Times New Roman;serif" w:hAnsi="Times New Roman;serif"/>
                  <w:b w:val="false"/>
                  <w:color w:val="0000FF"/>
                  <w:sz w:val="18"/>
                  <w:u w:val="single"/>
                </w:rPr>
                <w:t>12. Commitments and Contingencies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73">
              <w:r>
                <w:rPr>
                  <w:rStyle w:val="InternetLink"/>
                  <w:rFonts w:ascii="Times New Roman;serif" w:hAnsi="Times New Roman;serif"/>
                  <w:b w:val="false"/>
                  <w:color w:val="0000FF"/>
                  <w:sz w:val="18"/>
                  <w:u w:val="single"/>
                </w:rPr>
                <w:t>17</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76">
              <w:r>
                <w:rPr>
                  <w:rStyle w:val="InternetLink"/>
                  <w:rFonts w:ascii="Times New Roman;serif" w:hAnsi="Times New Roman;serif"/>
                  <w:b w:val="false"/>
                  <w:color w:val="0000FF"/>
                  <w:sz w:val="18"/>
                  <w:u w:val="single"/>
                </w:rPr>
                <w:t>13. Subsequent Events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76">
              <w:r>
                <w:rPr>
                  <w:rStyle w:val="InternetLink"/>
                  <w:rFonts w:ascii="Times New Roman;serif" w:hAnsi="Times New Roman;serif"/>
                  <w:b w:val="false"/>
                  <w:color w:val="0000FF"/>
                  <w:sz w:val="18"/>
                  <w:u w:val="single"/>
                </w:rPr>
                <w:t>18</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79">
              <w:r>
                <w:rPr>
                  <w:rStyle w:val="InternetLink"/>
                  <w:rFonts w:ascii="Times New Roman;serif" w:hAnsi="Times New Roman;serif"/>
                  <w:b w:val="false"/>
                  <w:color w:val="0000FF"/>
                  <w:sz w:val="18"/>
                  <w:u w:val="single"/>
                </w:rPr>
                <w:t>14. Segment Information</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79">
              <w:r>
                <w:rPr>
                  <w:rStyle w:val="InternetLink"/>
                  <w:rFonts w:ascii="Times New Roman;serif" w:hAnsi="Times New Roman;serif"/>
                  <w:b w:val="false"/>
                  <w:color w:val="0000FF"/>
                  <w:sz w:val="18"/>
                  <w:u w:val="single"/>
                </w:rPr>
                <w:t>18</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85">
              <w:r>
                <w:rPr>
                  <w:rStyle w:val="InternetLink"/>
                  <w:rFonts w:ascii="Times New Roman;serif" w:hAnsi="Times New Roman;serif"/>
                  <w:b w:val="false"/>
                  <w:color w:val="0000FF"/>
                  <w:sz w:val="18"/>
                  <w:u w:val="single"/>
                </w:rPr>
                <w:t>Item 2. Management’s Discussion and Analysis of Financial Condition and Results of Operations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85">
              <w:r>
                <w:rPr>
                  <w:rStyle w:val="InternetLink"/>
                  <w:rFonts w:ascii="Times New Roman;serif" w:hAnsi="Times New Roman;serif"/>
                  <w:b w:val="false"/>
                  <w:color w:val="0000FF"/>
                  <w:sz w:val="18"/>
                  <w:u w:val="single"/>
                </w:rPr>
                <w:t>19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33">
              <w:r>
                <w:rPr>
                  <w:rStyle w:val="InternetLink"/>
                  <w:rFonts w:ascii="Times New Roman;serif" w:hAnsi="Times New Roman;serif"/>
                  <w:b w:val="false"/>
                  <w:color w:val="0000FF"/>
                  <w:sz w:val="18"/>
                  <w:u w:val="single"/>
                </w:rPr>
                <w:t>Item 3. Quantitative and Qualitative Disclosures about Market Risk</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33">
              <w:r>
                <w:rPr>
                  <w:rStyle w:val="InternetLink"/>
                  <w:rFonts w:ascii="Times New Roman;serif" w:hAnsi="Times New Roman;serif"/>
                  <w:b w:val="false"/>
                  <w:color w:val="0000FF"/>
                  <w:sz w:val="18"/>
                  <w:u w:val="single"/>
                </w:rPr>
                <w:t>29</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36">
              <w:r>
                <w:rPr>
                  <w:rStyle w:val="InternetLink"/>
                  <w:rFonts w:ascii="Times New Roman;serif" w:hAnsi="Times New Roman;serif"/>
                  <w:b w:val="false"/>
                  <w:color w:val="0000FF"/>
                  <w:sz w:val="18"/>
                  <w:u w:val="single"/>
                </w:rPr>
                <w:t>Item 4. Controls and Procedures</w:t>
              </w:r>
            </w:hyperlink>
          </w:p>
        </w:tc>
        <w:tc>
          <w:tcPr>
            <w:tcW w:w="49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36">
              <w:r>
                <w:rPr>
                  <w:rStyle w:val="InternetLink"/>
                  <w:rFonts w:ascii="Times New Roman;serif" w:hAnsi="Times New Roman;serif"/>
                  <w:b w:val="false"/>
                  <w:color w:val="0000FF"/>
                  <w:sz w:val="18"/>
                  <w:u w:val="single"/>
                </w:rPr>
                <w:t>30</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6"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39">
              <w:r>
                <w:rPr>
                  <w:rStyle w:val="InternetLink"/>
                  <w:rFonts w:ascii="Times New Roman;serif" w:hAnsi="Times New Roman;serif"/>
                  <w:b/>
                  <w:color w:val="0000FF"/>
                  <w:sz w:val="18"/>
                  <w:u w:val="single"/>
                </w:rPr>
                <w:t>PART II. OTHER INFORMATION</w:t>
              </w:r>
            </w:hyperlink>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42">
              <w:r>
                <w:rPr>
                  <w:rStyle w:val="InternetLink"/>
                  <w:rFonts w:ascii="Times New Roman;serif" w:hAnsi="Times New Roman;serif"/>
                  <w:b w:val="false"/>
                  <w:color w:val="0000FF"/>
                  <w:sz w:val="18"/>
                  <w:u w:val="single"/>
                </w:rPr>
                <w:t>Item 1. Legal Proceedings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42">
              <w:r>
                <w:rPr>
                  <w:rStyle w:val="InternetLink"/>
                  <w:rFonts w:ascii="Times New Roman;serif" w:hAnsi="Times New Roman;serif"/>
                  <w:b w:val="false"/>
                  <w:color w:val="0000FF"/>
                  <w:sz w:val="18"/>
                  <w:u w:val="single"/>
                </w:rPr>
                <w:t>30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45">
              <w:r>
                <w:rPr>
                  <w:rStyle w:val="InternetLink"/>
                  <w:rFonts w:ascii="Times New Roman;serif" w:hAnsi="Times New Roman;serif"/>
                  <w:b w:val="false"/>
                  <w:color w:val="0000FF"/>
                  <w:sz w:val="18"/>
                  <w:u w:val="single"/>
                </w:rPr>
                <w:t>Item 1A. Risk Factors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45">
              <w:r>
                <w:rPr>
                  <w:rStyle w:val="InternetLink"/>
                  <w:rFonts w:ascii="Times New Roman;serif" w:hAnsi="Times New Roman;serif"/>
                  <w:b w:val="false"/>
                  <w:color w:val="0000FF"/>
                  <w:sz w:val="18"/>
                  <w:u w:val="single"/>
                </w:rPr>
                <w:t>30</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48">
              <w:r>
                <w:rPr>
                  <w:rStyle w:val="InternetLink"/>
                  <w:rFonts w:ascii="Times New Roman;serif" w:hAnsi="Times New Roman;serif"/>
                  <w:b w:val="false"/>
                  <w:color w:val="0000FF"/>
                  <w:sz w:val="18"/>
                  <w:u w:val="single"/>
                </w:rPr>
                <w:t>Item 2. Unregistered Sales of Equity Securities and Use of Proceeds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48">
              <w:r>
                <w:rPr>
                  <w:rStyle w:val="InternetLink"/>
                  <w:rFonts w:ascii="Times New Roman;serif" w:hAnsi="Times New Roman;serif"/>
                  <w:b w:val="false"/>
                  <w:color w:val="0000FF"/>
                  <w:sz w:val="18"/>
                  <w:u w:val="single"/>
                </w:rPr>
                <w:t>31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51">
              <w:r>
                <w:rPr>
                  <w:rStyle w:val="InternetLink"/>
                  <w:rFonts w:ascii="Times New Roman;serif" w:hAnsi="Times New Roman;serif"/>
                  <w:b w:val="false"/>
                  <w:color w:val="0000FF"/>
                  <w:sz w:val="18"/>
                  <w:u w:val="single"/>
                </w:rPr>
                <w:t>Item 5. Other Information</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51">
              <w:r>
                <w:rPr>
                  <w:rStyle w:val="InternetLink"/>
                  <w:rFonts w:ascii="Times New Roman;serif" w:hAnsi="Times New Roman;serif"/>
                  <w:b w:val="false"/>
                  <w:color w:val="0000FF"/>
                  <w:sz w:val="18"/>
                  <w:u w:val="single"/>
                </w:rPr>
                <w:t>31</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54">
              <w:r>
                <w:rPr>
                  <w:rStyle w:val="InternetLink"/>
                  <w:rFonts w:ascii="Times New Roman;serif" w:hAnsi="Times New Roman;serif"/>
                  <w:b w:val="false"/>
                  <w:color w:val="0000FF"/>
                  <w:sz w:val="18"/>
                  <w:u w:val="single"/>
                </w:rPr>
                <w:t>Item 6. Exhibits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54">
              <w:r>
                <w:rPr>
                  <w:rStyle w:val="InternetLink"/>
                  <w:rFonts w:ascii="Times New Roman;serif" w:hAnsi="Times New Roman;serif"/>
                  <w:b w:val="false"/>
                  <w:color w:val="0000FF"/>
                  <w:sz w:val="18"/>
                  <w:u w:val="single"/>
                </w:rPr>
                <w:t>32</w:t>
              </w:r>
            </w:hyperlink>
          </w:p>
        </w:tc>
      </w:tr>
      <w:tr>
        <w:trPr/>
        <w:tc>
          <w:tcPr>
            <w:tcW w:w="70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5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8a4d921f96b0461ca4b5dcc2b847ded7_157">
              <w:r>
                <w:rPr>
                  <w:rStyle w:val="InternetLink"/>
                  <w:rFonts w:ascii="Times New Roman;serif" w:hAnsi="Times New Roman;serif"/>
                  <w:b w:val="false"/>
                  <w:color w:val="0000FF"/>
                  <w:sz w:val="18"/>
                  <w:u w:val="single"/>
                </w:rPr>
                <w:t>Signatures</w:t>
              </w:r>
            </w:hyperlink>
          </w:p>
        </w:tc>
        <w:tc>
          <w:tcPr>
            <w:tcW w:w="49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hyperlink w:anchor="i8a4d921f96b0461ca4b5dcc2b847ded7_157">
              <w:r>
                <w:rPr>
                  <w:rStyle w:val="InternetLink"/>
                  <w:rFonts w:ascii="Times New Roman;serif" w:hAnsi="Times New Roman;serif"/>
                  <w:b w:val="false"/>
                  <w:color w:val="0000FF"/>
                  <w:sz w:val="18"/>
                  <w:u w:val="single"/>
                </w:rPr>
                <w:t>33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OIL AND NATURAL GAS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oil and natural gas terms that are used in this Quarterly Report on Form 10-Q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61"/>
        <w:gridCol w:w="580"/>
        <w:gridCol w:w="524"/>
        <w:gridCol w:w="2548"/>
        <w:gridCol w:w="2431"/>
        <w:gridCol w:w="3461"/>
      </w:tblGrid>
      <w:tr>
        <w:trPr/>
        <w:tc>
          <w:tcPr>
            <w:tcW w:w="661"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3461" w:type="dxa"/>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Basin</w:t>
            </w:r>
          </w:p>
        </w:tc>
        <w:tc>
          <w:tcPr>
            <w:tcW w:w="84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large depression on the earth’s surface in which sediments accumulate.</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Bbl or barrel</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stock tank barrel, or 42 U.S. gallons liquid volume, used in this report in reference to crude oil or other liquid hydrocarbons.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BO/d</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barrel of crude oil per day.</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BOE</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barrel of crude oil equivalent, with six thousand cubic feet of natural gas being equivalent to one barrel of oil.</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BOE/d</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BOE per day.</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Completion</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process of treating a drilled well followed by the installation of permanent equipment for the production of natural gas or oil, or in the case of a dry hole, the reporting of abandonment to the appropriate agency.</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Liquid hydrocarbons retrieved from geological structures underground to be refined into fuel sources.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Development well</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 well drilled within the proved area of a natural gas or oil reservoir to the depth of a stratigraphic horizon known to be productive.</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Differential</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 adjustment to the price of oil or natural gas from an established spot market price to reflect differences in the quality and/or location of oil or natural gas.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Fracturing</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process of creating and preserving a fracture or system of fractures in a reservoir rock typically by injecting a fluid under pressure through a wellbore and into the targeted formation.</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Gross royalty acres or gross wells</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total acres or wells in which a mineral interest is owned.</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Henry Hub</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Natural gas gathering point that serves as a benchmark price for natural gas futures on the NYMEX.</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Horizontal wells</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Wells drilled directionally horizontal to allow for development of structures not reachable through traditional vertical drilling mechanisms.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MBbls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barrels of crude oil and other liquid hydrocarbons.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MBOE</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One thousand BOE, determined using a ratio of six Mcf of natural gas to one Bbl of crude oil, condensate or natural gas liquids.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MBOE/d</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BOE per day.</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Mcf</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thousand cubic feet of natural gas.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Mineral interests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interests in ownership of the resource and mineral rights, giving an owner the right to profit from the extracted resources.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MMBtu</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One million British Thermal Units.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MMcf</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Million cubic feet of natural gas.</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royalty acres</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mineral acres multiplied by the average lease royalty interest and other burdens.</w:t>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Tracts of land consisting of properties to be developed for oil and natural gas resource extraction.</w:t>
            </w:r>
          </w:p>
        </w:tc>
      </w:tr>
      <w:tr>
        <w:trPr/>
        <w:tc>
          <w:tcPr>
            <w:tcW w:w="17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Operator</w:t>
            </w:r>
          </w:p>
        </w:tc>
        <w:tc>
          <w:tcPr>
            <w:tcW w:w="84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individual or company responsible for the exploration and/or production of an oil or natural gas well or lease.</w:t>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vAlign w:val="center"/>
          </w:tcPr>
          <w:p>
            <w:pPr>
              <w:pStyle w:val="TableContents"/>
              <w:bidi w:val="0"/>
              <w:spacing w:before="0" w:after="283"/>
              <w:jc w:val="left"/>
              <w:rPr>
                <w:sz w:val="4"/>
                <w:szCs w:val="4"/>
              </w:rPr>
            </w:pPr>
            <w:r>
              <w:rPr>
                <w:sz w:val="4"/>
                <w:szCs w:val="4"/>
              </w:rPr>
            </w:r>
          </w:p>
        </w:tc>
        <w:tc>
          <w:tcPr>
            <w:tcW w:w="8440" w:type="dxa"/>
            <w:gridSpan w:val="3"/>
            <w:tcBorders/>
            <w:vAlign w:val="center"/>
          </w:tcPr>
          <w:p>
            <w:pPr>
              <w:pStyle w:val="TableContents"/>
              <w:bidi w:val="0"/>
              <w:spacing w:before="0" w:after="283"/>
              <w:jc w:val="left"/>
              <w:rPr>
                <w:sz w:val="4"/>
                <w:szCs w:val="4"/>
              </w:rPr>
            </w:pPr>
            <w:r>
              <w:rPr>
                <w:sz w:val="4"/>
                <w:szCs w:val="4"/>
              </w:rPr>
            </w:r>
          </w:p>
        </w:tc>
      </w:tr>
      <w:tr>
        <w:trPr/>
        <w:tc>
          <w:tcPr>
            <w:tcW w:w="1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reserves</w:t>
            </w:r>
          </w:p>
        </w:tc>
        <w:tc>
          <w:tcPr>
            <w:tcW w:w="84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7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4"/>
        <w:gridCol w:w="285"/>
        <w:gridCol w:w="287"/>
        <w:gridCol w:w="2744"/>
        <w:gridCol w:w="2717"/>
        <w:gridCol w:w="3848"/>
      </w:tblGrid>
      <w:tr>
        <w:trPr/>
        <w:tc>
          <w:tcPr>
            <w:tcW w:w="3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3848" w:type="dxa"/>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Reserves</w:t>
            </w:r>
          </w:p>
        </w:tc>
        <w:tc>
          <w:tcPr>
            <w:tcW w:w="93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283"/>
              <w:jc w:val="both"/>
              <w:rPr>
                <w:rFonts w:ascii="Times New Roman;serif" w:hAnsi="Times New Roman;serif"/>
                <w:b w:val="false"/>
                <w:color w:val="000000"/>
                <w:sz w:val="20"/>
              </w:rPr>
            </w:pPr>
            <w:r>
              <w:rPr>
                <w:rFonts w:ascii="Times New Roman;serif" w:hAnsi="Times New Roman;serif"/>
                <w:b w:val="false"/>
                <w:color w:val="000000"/>
                <w:sz w:val="20"/>
              </w:rPr>
              <w:t>Reserves are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should not be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interest</w:t>
            </w:r>
          </w:p>
        </w:tc>
        <w:tc>
          <w:tcPr>
            <w:tcW w:w="9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An interest that gives an owner the right to receive a portion of the resources or revenues without having to carry any costs of development, which may be subject to expiration.</w:t>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Spud</w:t>
            </w:r>
          </w:p>
        </w:tc>
        <w:tc>
          <w:tcPr>
            <w:tcW w:w="9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Commencement of actual drilling operations.</w:t>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Waha Hub</w:t>
            </w:r>
          </w:p>
        </w:tc>
        <w:tc>
          <w:tcPr>
            <w:tcW w:w="93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Natural gas gathering point that serves as a benchmark price for natural gas at western Texas and New Mexico.</w:t>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vAlign w:val="center"/>
          </w:tcPr>
          <w:p>
            <w:pPr>
              <w:pStyle w:val="TableContents"/>
              <w:bidi w:val="0"/>
              <w:spacing w:before="0" w:after="283"/>
              <w:jc w:val="left"/>
              <w:rPr>
                <w:sz w:val="4"/>
                <w:szCs w:val="4"/>
              </w:rPr>
            </w:pPr>
            <w:r>
              <w:rPr>
                <w:sz w:val="4"/>
                <w:szCs w:val="4"/>
              </w:rPr>
            </w:r>
          </w:p>
        </w:tc>
        <w:tc>
          <w:tcPr>
            <w:tcW w:w="9309" w:type="dxa"/>
            <w:gridSpan w:val="3"/>
            <w:tcBorders/>
            <w:vAlign w:val="center"/>
          </w:tcPr>
          <w:p>
            <w:pPr>
              <w:pStyle w:val="TableContents"/>
              <w:bidi w:val="0"/>
              <w:spacing w:before="0" w:after="283"/>
              <w:jc w:val="left"/>
              <w:rPr>
                <w:sz w:val="4"/>
                <w:szCs w:val="4"/>
              </w:rPr>
            </w:pPr>
            <w:r>
              <w:rPr>
                <w:sz w:val="4"/>
                <w:szCs w:val="4"/>
              </w:rPr>
            </w:r>
          </w:p>
        </w:tc>
      </w:tr>
      <w:tr>
        <w:trPr/>
        <w:tc>
          <w:tcPr>
            <w:tcW w:w="8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WTI</w:t>
            </w:r>
          </w:p>
        </w:tc>
        <w:tc>
          <w:tcPr>
            <w:tcW w:w="9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West Texas Intermediate, a light sweet blend of oil produced from fields in western Texas and is a grade of oil that serves as a benchmark for oil on the NYMEX.</w:t>
            </w:r>
          </w:p>
        </w:tc>
      </w:tr>
      <w:tr>
        <w:trPr/>
        <w:tc>
          <w:tcPr>
            <w:tcW w:w="89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WTI Cushing</w:t>
            </w:r>
          </w:p>
        </w:tc>
        <w:tc>
          <w:tcPr>
            <w:tcW w:w="930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Grade of oil that serves as a benchmark price for oil at Cushing, Oklahoma.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GLOSSARY OF CERTAIN OTHER TERMS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is a glossary of certain other terms that are used in this report and our other periodic reports under the Exchange Act: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55"/>
        <w:gridCol w:w="382"/>
        <w:gridCol w:w="385"/>
        <w:gridCol w:w="2826"/>
        <w:gridCol w:w="2424"/>
        <w:gridCol w:w="3433"/>
      </w:tblGrid>
      <w:tr>
        <w:trPr/>
        <w:tc>
          <w:tcPr>
            <w:tcW w:w="75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82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3433" w:type="dxa"/>
            <w:tcBorders/>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8683"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868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Consolidated Adjusted EBITDA, a non-GAAP measure, generally equals net income (loss) attributable to Viper Energy, Inc. plus net income (loss) attributable to non-controlling interest before interest expense, net, non-cash share-based compensation expense, depletion, non-cash (gain) loss on derivative instruments, provision for (benefit from) income taxes and other non-cash or non-recurring operating expenses.</w:t>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A Common Stock</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August 19, 2025, Class A common stock, $0.000001 par value per share of New Viper (as defined below), and before August 19, 2025, Class A common stock, $0.000001 par value per share of Former Viper (as defined below).</w:t>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Class B Common Stock</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After August 19, 2025, Class B common stock, $0.000001 par value per share of New Viper, and before August 19, 2025, Class B common stock, $0.000001 par value per share of Former Viper.</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Collectively, Class A Common Stock and Class B Common Stock.</w:t>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Diamondback</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Diamondback Energy, Inc., a Delaware corporation.</w:t>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8683"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Act</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Exchange Act of 1934, as amended.</w:t>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Accounting principles generally accepted in the United States.</w:t>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8683"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Guaranteed Senior Notes</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outstanding senior notes of Viper Energy Partners LP (f/k/a Viper Energy Partners LLC), issued under indentures where Viper Energy, Inc. and VNOM Sub, Inc., a wholly owned subsidiary of Viper Energy, Inc., are the guarantors, consisting of the 4.900% Senior Notes due 2030 and the 5.700% Senior Notes due 2035.</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LTIP</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Viper Energy, Inc. Amended and Restated 2014 Long-Term Incentive Plan, as amended and restated by Viper Energy, Inc. 2024 Amended and Restated Long-Term Incentive Plan, and as may be further amended or restated from time to time.</w:t>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8683"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debt</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Net debt, a non-GAAP measure, is debt (excluding debt issuance costs, discounts and premiums) less cash and cash equivalents.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Notes</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Those senior notes of Viper Energy, Inc. that were issued under indentures where Viper Energy Partners LLC and other subsidiaries were guarantors, consisting of the 5.375% Senior Notes due 2027 and the 7.375% Senior Notes due 2031, and which were redeemed on November 1, 2025 and July 23, 2025, respectively.</w:t>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Limited liability company membership interest in the Operating Company.</w:t>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OPEC</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Organization of the Petroleum Exporting Countries.</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Company or OpCo</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Prior to December 23, 2025, Viper Energy Partners LLC, a Delaware limited liability company and a consolidated subsidiary of Viper Energy, Inc., and after December 23, 2025, VNOM Holding Company LLC, a Delaware limited liability company and a consolidated subsidiary of Viper Energy, Inc. </w:t>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8683"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86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152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 Prices</w:t>
            </w:r>
          </w:p>
        </w:tc>
        <w:tc>
          <w:tcPr>
            <w:tcW w:w="86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Unweighted arithmetic average of the first-day-of-the-month price for each month during the 12-month period prior to the ending date of the period covered by this report.</w:t>
            </w:r>
          </w:p>
        </w:tc>
      </w:tr>
      <w:tr>
        <w:trPr/>
        <w:tc>
          <w:tcPr>
            <w:tcW w:w="152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Act</w:t>
            </w:r>
          </w:p>
        </w:tc>
        <w:tc>
          <w:tcPr>
            <w:tcW w:w="86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Securities Act of 1933, as amended.</w:t>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8683" w:type="dxa"/>
            <w:gridSpan w:val="3"/>
            <w:tcBorders/>
            <w:vAlign w:val="center"/>
          </w:tcPr>
          <w:p>
            <w:pPr>
              <w:pStyle w:val="TableContents"/>
              <w:bidi w:val="0"/>
              <w:spacing w:before="0" w:after="283"/>
              <w:jc w:val="left"/>
              <w:rPr>
                <w:sz w:val="4"/>
                <w:szCs w:val="4"/>
              </w:rPr>
            </w:pPr>
            <w:r>
              <w:rPr>
                <w:sz w:val="4"/>
                <w:szCs w:val="4"/>
              </w:rPr>
            </w:r>
          </w:p>
        </w:tc>
      </w:tr>
      <w:tr>
        <w:trPr/>
        <w:tc>
          <w:tcPr>
            <w:tcW w:w="1522" w:type="dxa"/>
            <w:gridSpan w:val="3"/>
            <w:tcBorders/>
            <w:vAlign w:val="center"/>
          </w:tcPr>
          <w:p>
            <w:pPr>
              <w:pStyle w:val="TableContents"/>
              <w:bidi w:val="0"/>
              <w:spacing w:before="0" w:after="283"/>
              <w:jc w:val="left"/>
              <w:rPr>
                <w:sz w:val="4"/>
                <w:szCs w:val="4"/>
              </w:rPr>
            </w:pPr>
            <w:r>
              <w:rPr>
                <w:sz w:val="4"/>
                <w:szCs w:val="4"/>
              </w:rPr>
            </w:r>
          </w:p>
        </w:tc>
        <w:tc>
          <w:tcPr>
            <w:tcW w:w="868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estimates and projections of operating income, losses, costs and expenses, returns, cash flow and financial position; production levels on properties in which we have mineral and royalty interests; developmental activity by other operators; reserve estimates and our ability to replace or increase reserves; anticipated benefits or other effects of strategic transactions; and plans and objectives of management (including Diamondback’s plans for developing our acreage, our cash dividend policy and repurchases of our Common Stock, OpCo Units or Guaranteed Senior Notes)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us are intended to identify forward-looking statements, although not all forward-looking statements contain such identifying words. Although we believe that the expectations and assumptions reflected in our forward-looking statements are reasonable as and when made, they involve risks and uncertainties that are difficult to predict and, in many cases, beyond our control. In particular, the factors discussed in this report and detailed under </w:t>
      </w:r>
      <w:hyperlink w:anchor="i8a4d921f96b0461ca4b5dcc2b847ded7_145">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 could affect our actual results and cause our actual results to differ materially from expectations, estimates or assumptions expressed, forecasted or implied in such forward-looking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Factors that could cause the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actions taken by the members of OPEC and its non-OPEC allies (“OPEC+”)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general economic, business or industry conditions, including changes in foreign currency exchange rates, interest rates, inflation rates, or instability in the financial sector;</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regional supply and demand factors, including delays, curtailment delays or interruptions of production on our mineral and royalty acreage, or governmental orders, rules or regulations that impose production limits on such acreage;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physical and transition risks relating to climate change and changing political and social perspectives on climate change and other environmental, social and governance factors;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risks from our cash dividend policy and uncertainties over our future dividends;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restrictions on the use of water, including limits on the use of produced water by our operators and a moratorium on new produced water well permits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U.S. energy, environmental, monetary and trade policies, including with respect to tariffs or other trade barriers and any resulting trade tensions;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conditions in the capital, financial and credit markets, including the availability and pricing of capital for drilling and development by our limited number of operators and our ability to replace operators in time of bankruptcy or default;</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availability or cost of rigs, equipment, raw materials, supplies and oilfield services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inherent uncertainties over our estimated reserves, the development of our proved undeveloped reserves or the yield from project areas on our properties;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geographical concentration of our producing properties and reserves in the Permian Basin and in a small number of producing horizons;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safety, health, environmental, tax and other regulations or requirements impacting us or our operators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security threats, including cybersecurity threats and disruptions to our business from breaches of Diamondback’s information technology systems, or from breaches of information technology systems of our operators or third parties with whom we transact business;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lack of, or disruption in, access to adequate and reliable electrical power, internet and telecommunication infrastructure, information and computer systems, transportation, processing, storage and other facilities impacting our operators;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severe weather conditions and natural disasters;</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geopolitics, regional conflicts, 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changes in the financial strength of counterparties to the Revolving Credit Facility (as defined below) and hedging contracts of our operating subsidiary;</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substantial indebtedness and changes in our credit rating;</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failure to develop or acquire additional reserves and identify, complete or integrate acquisitions such as the Pending Riverbend Acquisition (as defined below);</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our operational dependence on, and control by, Diamondback and potential conflicts of interest thereof;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other risks and factors disclosed under </w:t>
      </w:r>
      <w:hyperlink w:anchor="i8a4d921f96b0461ca4b5dcc2b847ded7_145">
        <w:r>
          <w:rPr>
            <w:rStyle w:val="InternetLink"/>
            <w:rFonts w:ascii="Times New Roman;serif" w:hAnsi="Times New Roman;serif"/>
            <w:b w:val="false"/>
            <w:color w:val="0000FF"/>
            <w:sz w:val="20"/>
            <w:u w:val="single"/>
          </w:rPr>
          <w:t>Part II. Item 1A. Risk Factors</w:t>
        </w:r>
      </w:hyperlink>
      <w:r>
        <w:rPr>
          <w:color w:val="000000"/>
        </w:rPr>
        <w:t xml:space="preserve"> </w:t>
      </w:r>
      <w:r>
        <w:rPr>
          <w:rFonts w:ascii="Times New Roman;serif" w:hAnsi="Times New Roman;serif"/>
          <w:b w:val="false"/>
          <w:color w:val="000000"/>
          <w:sz w:val="20"/>
        </w:rPr>
        <w:t xml:space="preserve">and our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light of these factors, the events anticipated by our forward-looking statements may not occur at the time anticipated or at all. Moreover,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vi</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ind w:left="0" w:right="0" w:firstLine="720"/>
        <w:jc w:val="center"/>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9928" w:type="dxa"/>
        <w:jc w:val="left"/>
        <w:tblInd w:w="0" w:type="dxa"/>
        <w:tblLayout w:type="fixed"/>
        <w:tblCellMar>
          <w:top w:w="28" w:type="dxa"/>
          <w:left w:w="28" w:type="dxa"/>
          <w:bottom w:w="28" w:type="dxa"/>
          <w:right w:w="28" w:type="dxa"/>
        </w:tblCellMar>
      </w:tblPr>
      <w:tblGrid>
        <w:gridCol w:w="1705"/>
        <w:gridCol w:w="1500"/>
        <w:gridCol w:w="1505"/>
        <w:gridCol w:w="502"/>
        <w:gridCol w:w="1219"/>
        <w:gridCol w:w="259"/>
        <w:gridCol w:w="259"/>
        <w:gridCol w:w="259"/>
        <w:gridCol w:w="259"/>
        <w:gridCol w:w="502"/>
        <w:gridCol w:w="1219"/>
        <w:gridCol w:w="259"/>
        <w:gridCol w:w="109"/>
        <w:gridCol w:w="109"/>
        <w:gridCol w:w="109"/>
        <w:gridCol w:w="154"/>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5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1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shares:</w:t>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5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5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Weighted average number of common shares outstanding:</w:t>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181,304 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120,926 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181,419 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121,030 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45"/>
        <w:gridCol w:w="2255"/>
        <w:gridCol w:w="2193"/>
        <w:gridCol w:w="245"/>
        <w:gridCol w:w="839"/>
        <w:gridCol w:w="126"/>
        <w:gridCol w:w="126"/>
        <w:gridCol w:w="126"/>
        <w:gridCol w:w="126"/>
        <w:gridCol w:w="255"/>
        <w:gridCol w:w="875"/>
        <w:gridCol w:w="194"/>
      </w:tblGrid>
      <w:tr>
        <w:trPr/>
        <w:tc>
          <w:tcPr>
            <w:tcW w:w="284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19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par values and share data)</w:t>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4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 (net of allowance for credit losses)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 receivable—related party</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Unproved properties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 and impairment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(2,662)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11,422 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 (net of allowances)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12,048 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Liabilities and Stockholders’ Equity</w:t>
            </w:r>
          </w:p>
        </w:tc>
        <w:tc>
          <w:tcPr>
            <w:tcW w:w="12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w:t>
            </w:r>
          </w:p>
        </w:tc>
        <w:tc>
          <w:tcPr>
            <w:tcW w:w="24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net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0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1,683 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12)</w:t>
            </w:r>
          </w:p>
        </w:tc>
        <w:tc>
          <w:tcPr>
            <w:tcW w:w="12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A Common Stock, $0.000001 par value: 1,000,000,000 shares authorized; 194,311,958 shares issued and outstanding at March 31, 2026, and 170,942,687 shares issued and outstanding at December 31, 2025</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Class B Common Stock, $0.000001 par value: 1,000,000,000 shares authorized; 164,810,547 shares issued and outstanding at March 31, 2026, and 187,023,698 shares issued and outstanding at December 31, 2025</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 (accumulated deficit)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Viper Energy, Inc. stockholders’ equity</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5,114 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4,448 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0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12,048 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12,671 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8682" w:type="dxa"/>
        <w:jc w:val="left"/>
        <w:tblInd w:w="0" w:type="dxa"/>
        <w:tblLayout w:type="fixed"/>
        <w:tblCellMar>
          <w:top w:w="28" w:type="dxa"/>
          <w:left w:w="28" w:type="dxa"/>
          <w:bottom w:w="28" w:type="dxa"/>
          <w:right w:w="28" w:type="dxa"/>
        </w:tblCellMar>
      </w:tblPr>
      <w:tblGrid>
        <w:gridCol w:w="2260"/>
        <w:gridCol w:w="1982"/>
        <w:gridCol w:w="1998"/>
        <w:gridCol w:w="262"/>
        <w:gridCol w:w="564"/>
        <w:gridCol w:w="146"/>
        <w:gridCol w:w="146"/>
        <w:gridCol w:w="146"/>
        <w:gridCol w:w="146"/>
        <w:gridCol w:w="262"/>
        <w:gridCol w:w="564"/>
        <w:gridCol w:w="206"/>
      </w:tblGrid>
      <w:tr>
        <w:trPr/>
        <w:tc>
          <w:tcPr>
            <w:tcW w:w="2260" w:type="dxa"/>
            <w:tcBorders/>
            <w:vAlign w:val="center"/>
          </w:tcPr>
          <w:p>
            <w:pPr>
              <w:pStyle w:val="TableContents"/>
              <w:bidi w:val="0"/>
              <w:spacing w:before="0" w:after="283"/>
              <w:jc w:val="left"/>
              <w:rPr>
                <w:sz w:val="4"/>
                <w:szCs w:val="4"/>
              </w:rPr>
            </w:pPr>
            <w:r>
              <w:rPr>
                <w:sz w:val="4"/>
                <w:szCs w:val="4"/>
              </w:rPr>
            </w:r>
          </w:p>
        </w:tc>
        <w:tc>
          <w:tcPr>
            <w:tcW w:w="1982"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provided by operating activities: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(benefit from) deferred income taxes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Depletion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derivative instruments,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receipts (payments) on derivatives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Royalty income receivable—related party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accrued liabilities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operating activities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328 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9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properties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Acquisitions of oil and natural gas properties—related party</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oil and natural gas properties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investing activities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581 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(486)</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97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(556)</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proceeds from public offering</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1,232 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shares of Class A Common Stock as part of the repurchase program</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Repurchases of OpCo Units as part of the repurchase program</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stockholders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Dividends to Diamondback </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other non-controlling interest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in) financing activities</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cash and cash equivalents</w:t>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paid</w:t>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non—cash transactions:</w:t>
            </w:r>
          </w:p>
        </w:tc>
        <w:tc>
          <w:tcPr>
            <w:tcW w:w="9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OpCo Units issued for acquisitions</w:t>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972"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before="0" w:after="0"/>
        <w:ind w:left="0" w:right="0" w:firstLine="720"/>
        <w:jc w:val="center"/>
        <w:rPr/>
      </w:pPr>
      <w:r>
        <w:rPr/>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021"/>
        <w:gridCol w:w="434"/>
        <w:gridCol w:w="436"/>
        <w:gridCol w:w="413"/>
        <w:gridCol w:w="413"/>
        <w:gridCol w:w="212"/>
        <w:gridCol w:w="112"/>
        <w:gridCol w:w="112"/>
        <w:gridCol w:w="112"/>
        <w:gridCol w:w="413"/>
        <w:gridCol w:w="413"/>
        <w:gridCol w:w="212"/>
        <w:gridCol w:w="109"/>
        <w:gridCol w:w="109"/>
        <w:gridCol w:w="109"/>
        <w:gridCol w:w="211"/>
        <w:gridCol w:w="616"/>
        <w:gridCol w:w="109"/>
        <w:gridCol w:w="109"/>
        <w:gridCol w:w="109"/>
        <w:gridCol w:w="109"/>
        <w:gridCol w:w="312"/>
        <w:gridCol w:w="712"/>
        <w:gridCol w:w="162"/>
        <w:gridCol w:w="109"/>
        <w:gridCol w:w="109"/>
        <w:gridCol w:w="109"/>
        <w:gridCol w:w="311"/>
        <w:gridCol w:w="908"/>
        <w:gridCol w:w="162"/>
        <w:gridCol w:w="109"/>
        <w:gridCol w:w="109"/>
        <w:gridCol w:w="109"/>
        <w:gridCol w:w="211"/>
        <w:gridCol w:w="721"/>
        <w:gridCol w:w="159"/>
      </w:tblGrid>
      <w:tr>
        <w:trPr/>
        <w:tc>
          <w:tcPr>
            <w:tcW w:w="102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w:t>
              <w:br/>
              <w:t>Shares</w:t>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shares in thousands)</w:t>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7"/>
              </w:rPr>
            </w:pPr>
            <w:r>
              <w:rPr>
                <w:rFonts w:ascii="Times New Roman;serif" w:hAnsi="Times New Roman;serif"/>
                <w:b/>
                <w:color w:val="000000"/>
                <w:sz w:val="17"/>
              </w:rPr>
              <w:t>Balance at December 31, 2025</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170,943 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187,024 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5,915 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shares of Class A Common Stock under repurchase program</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OpCo Units and cancellation of Class B Common Stock under repurchase program</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Exchange of Class B Common Stock and OpCo Units to Class A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24,560 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(21,213)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tax withholding on vested equity awards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2026</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194,312 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164,811 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5,251 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10,365 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1891"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par values of the outstanding shares of Class A Common Stock and Class B Common Stock each round to zero during the periods presented.</w:t>
      </w:r>
    </w:p>
    <w:p>
      <w:pPr>
        <w:pStyle w:val="TextBody"/>
        <w:bidi w:val="0"/>
        <w:spacing w:before="0" w:after="0"/>
        <w:ind w:left="0" w:right="0" w:hanging="360"/>
        <w:jc w:val="both"/>
        <w:rPr/>
      </w:pPr>
      <w:r>
        <w:rPr/>
      </w:r>
    </w:p>
    <w:tbl>
      <w:tblPr>
        <w:tblW w:w="10205" w:type="dxa"/>
        <w:jc w:val="center"/>
        <w:tblInd w:w="0" w:type="dxa"/>
        <w:tblLayout w:type="fixed"/>
        <w:tblCellMar>
          <w:top w:w="28" w:type="dxa"/>
          <w:left w:w="28" w:type="dxa"/>
          <w:bottom w:w="28" w:type="dxa"/>
          <w:right w:w="28" w:type="dxa"/>
        </w:tblCellMar>
      </w:tblPr>
      <w:tblGrid>
        <w:gridCol w:w="1014"/>
        <w:gridCol w:w="528"/>
        <w:gridCol w:w="530"/>
        <w:gridCol w:w="413"/>
        <w:gridCol w:w="413"/>
        <w:gridCol w:w="216"/>
        <w:gridCol w:w="120"/>
        <w:gridCol w:w="120"/>
        <w:gridCol w:w="120"/>
        <w:gridCol w:w="360"/>
        <w:gridCol w:w="361"/>
        <w:gridCol w:w="215"/>
        <w:gridCol w:w="109"/>
        <w:gridCol w:w="109"/>
        <w:gridCol w:w="109"/>
        <w:gridCol w:w="211"/>
        <w:gridCol w:w="616"/>
        <w:gridCol w:w="109"/>
        <w:gridCol w:w="109"/>
        <w:gridCol w:w="109"/>
        <w:gridCol w:w="109"/>
        <w:gridCol w:w="318"/>
        <w:gridCol w:w="703"/>
        <w:gridCol w:w="165"/>
        <w:gridCol w:w="109"/>
        <w:gridCol w:w="109"/>
        <w:gridCol w:w="109"/>
        <w:gridCol w:w="311"/>
        <w:gridCol w:w="908"/>
        <w:gridCol w:w="162"/>
        <w:gridCol w:w="109"/>
        <w:gridCol w:w="109"/>
        <w:gridCol w:w="109"/>
        <w:gridCol w:w="211"/>
        <w:gridCol w:w="616"/>
        <w:gridCol w:w="157"/>
      </w:tblGrid>
      <w:tr>
        <w:trPr/>
        <w:tc>
          <w:tcPr>
            <w:tcW w:w="101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9"/>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Common Stock</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b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A</w:t>
              <w:br/>
              <w:t>Shares</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Class B</w:t>
              <w:b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vMerge w:val="continue"/>
            <w:tcBorders/>
            <w:tcMar>
              <w:top w:w="0" w:type="dxa"/>
              <w:left w:w="0" w:type="dxa"/>
              <w:bottom w:w="0" w:type="dxa"/>
              <w:right w:w="0" w:type="dxa"/>
            </w:tcMar>
            <w:vAlign w:val="center"/>
          </w:tcPr>
          <w:p>
            <w:pPr>
              <w:pStyle w:val="Normal"/>
              <w:bidi w:val="0"/>
              <w:jc w:val="left"/>
              <w:rPr/>
            </w:pPr>
            <w:r>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shares in thousands)</w:t>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December 31, 2024</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102,977 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85,431 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issued for acquisition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2,400 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OpCo Units issued for acquisition</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proceeds from the issuance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28,336 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stockholders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Diamondback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to other non-controlling interest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shares upon vesting of equity awards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ownership of consolidated subsidiaries, net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 at March 31, 2025</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131,323 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87,831 </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2,649 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5,323 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par values of the outstanding shares of Class A Common Stock and Class B Common Stock each round to zero during the periods presented.</w:t>
      </w:r>
    </w:p>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    ORGANIZATION AND BASIS OF PRESENTATION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Viper Energy, Inc. is a publicly traded Delaware corporation. Viper (as defined below) and its consolidated subsidiaries are focused on owning and acquiring mineral interests and royalty interests in oil and natural gas properties primarily in the Permian Basin.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upon completion of the Sitio Acquisition (as defined and discussed in Note 4—</w:t>
      </w:r>
      <w:hyperlink w:anchor="i8a4d921f96b0461ca4b5dcc2b847ded7_49">
        <w:r>
          <w:rPr>
            <w:rStyle w:val="InternetLink"/>
            <w:rFonts w:ascii="Times New Roman;serif" w:hAnsi="Times New Roman;serif"/>
            <w:b w:val="false"/>
            <w:color w:val="0000FF"/>
            <w:sz w:val="20"/>
            <w:u w:val="single"/>
          </w:rPr>
          <w:t>Acquisitions and Divestitures</w:t>
        </w:r>
      </w:hyperlink>
      <w:r>
        <w:rPr>
          <w:rFonts w:ascii="Times New Roman;serif" w:hAnsi="Times New Roman;serif"/>
          <w:b w:val="false"/>
          <w:color w:val="000000"/>
          <w:sz w:val="20"/>
        </w:rPr>
        <w:t>), VNOM Sub, Inc. (formerly known as Viper Energy Inc., “Former Viper”) became a wholly owned subsidiary of Viper Energy, Inc. (formerly known as New Cobra Pubco, Inc., “New Viper”), as a result of a merger contemplated by the documents governing the Sitio Acquisition (such merger, the “Viper PubCo Merger”).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Upon completion of the Viper PubCo Merger, each share of Former Viper’s Class A common stock, par value $0.000001 per share, issued and outstanding immediately prior to the effective time of the Viper PubCo Merger (other than certain excluded shares) was canceled and automatically converted into one share of New Viper Class A common stock, par value $0.000001 per share, and each share of Former Viper’s Class B common stock, par value $0.000001 per share, issued and outstanding immediately prior to the effective time of the Viper PubCo Merger was automatically canceled and converted into one share of New Viper’s Class B common stock, par value $0.000001 per share.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23, 2025, the Company completed an internal reorganization (the “Reorganization”), pursuant to which, among other things, each outstanding OpCo Unit of Viper Energy Partners LLC, a Delaware limited liability company and Viper’s operating subsidiary (“Old OpCo”), was converted into an equivalent OpCo Unit issued by a newly-formed subsidiary of Viper, VNOM Holding Company LLC (“New OpCo”).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in the accompanying condensed consolidated financial statements and related notes thereto to “Viper” refer to (A) New Viper following the Viper PubCo Merger, and (B) Former Viper prior to the Viper PubCo Merger. References to the “Company,” “our company,” “we,” “our,” “us” or like terms refer collectively to Viper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References to the “Operating Company” or “OpCo” refer to (A) New OpCo following the Reorganization, and (B) Old OpCo prior to the Reorganization. References to “OpCo Units” are to the units representing limited liability company interests in the Operating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Viper, through its subsidiaries, owned approximately 53.1% of the outstanding OpCo Units and was the managing member of New OpCo.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subsidiary of Diamondback. References to “Diamondback” refer collectively to it and its subsidiaries other than the Company. As neither Viper nor its subsidiaries have any employees, Diamondback provides personnel and general and administrative services to the Company, including the services of the executive officers and other employees, pursuant to a services and secondment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As of March 31, 2026, Diamondback beneficially owned approximately 38.9% of the outstanding voting power of the Company’s Common Stock on a fully diluted basis after giving effect to the outstanding TWR Class B Option (as defined and discussed in Note 7—</w:t>
      </w:r>
      <w:hyperlink w:anchor="i8a4d921f96b0461ca4b5dcc2b847ded7_58">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related notes thereto were prepared in accordance with GAAP. All material intercompany balances and transactions have been eliminated upon consolidation. The Company reports its operations in one reportable segment.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pPr>
      <w:r>
        <w:rPr>
          <w:rFonts w:ascii="Times New Roman;serif" w:hAnsi="Times New Roman;serif"/>
          <w:b w:val="false"/>
          <w:color w:val="000000"/>
          <w:sz w:val="20"/>
        </w:rPr>
        <w:t xml:space="preserve">included in financial statements prepared in accordance with GAAP have been omitted pursuant to SEC rules and regulations, although the Company believes the disclosures are adequate to make the information presented not misleading. This report should be read in conjunction with the Company’s most recent </w:t>
      </w:r>
      <w:hyperlink r:id="rId2">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fiscal year ended December 31, 2025, which contains a summary of the Company’s significant accounting policies and other disclosures.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Reclassifications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prior period amounts have been reclassified to conform to the current period financial statement presentation. These reclassifications had no effect on the previously reported total assets, total liabilities, stockholders’ equity, results of operations or cash flows.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Making accurate estimates and assumptions is particularly difficult in the oil and natural gas industry given the challenges resulting from volatility in oil and natural gas prices. For instance, geopolitical global conflicts, elevated interest rates, effects of tariffs, actions taken by OPEC and OPEC+, global supply chain disruptions and measures to combat persistent inflation have contributed to recent economic and pricing volatility. The financial results of companies in the oil and natural gas industry have been and may continue to be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evaluates these estimates on an ongoing basis, using historical experience, consultation with experts and other methods the Company considers reasonable in each particular circumstance.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including those acquired by the Company, and related present value estimates of future net cash flows therefrom, the carrying value of oil and natural gas properties, estimates of third-party operated royalty income related to expected sales volumes and prices, the recoverability of costs of unevaluated properties and estimates of income taxes, including deferred tax valuation allowances. Other areas requiring estimation include commodity derivatives and various fair values of non-oil and gas assets and liabilities.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Related Party Transactions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Royalty Income Receivable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Diamondback, either directly or through its consolidated subsidiaries, owed the Company $17 million and $88 million, respectively, for royalty income received from third parties for the Company’s production, which had not yet been remitted to the Company.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Lease Bonus Income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Diamondback and its subsidiaries paid the Company $1 million of lease bonus income for three new leases covering 61 acres in Martin and Pecos Counties, Texas during the three months ended March 31, 2026. Lease bonus income for the three months ended March 31, 2025 was immaterial.</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Related Party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4—</w:t>
      </w:r>
      <w:hyperlink w:anchor="i8a4d921f96b0461ca4b5dcc2b847ded7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for significant related party acquisitions of oil and natural gas properties.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7—</w:t>
      </w:r>
      <w:hyperlink w:anchor="i8a4d921f96b0461ca4b5dcc2b847ded7_58">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for further details regarding equity transactions with related parties.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other significant related party transactions with Diamondback or its affiliates have been stated on the face of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Accrued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Accrued liabilities consist of the following as of the dates indicated:</w:t>
      </w:r>
    </w:p>
    <w:p>
      <w:pPr>
        <w:pStyle w:val="TextBody"/>
        <w:bidi w:val="0"/>
        <w:spacing w:before="0" w:after="0"/>
        <w:ind w:left="0" w:right="0" w:firstLine="720"/>
        <w:jc w:val="both"/>
        <w:rPr/>
      </w:pPr>
      <w:r>
        <w:rPr/>
      </w:r>
    </w:p>
    <w:tbl>
      <w:tblPr>
        <w:tblW w:w="5081" w:type="dxa"/>
        <w:jc w:val="left"/>
        <w:tblInd w:w="0" w:type="dxa"/>
        <w:tblLayout w:type="fixed"/>
        <w:tblCellMar>
          <w:top w:w="28" w:type="dxa"/>
          <w:left w:w="28" w:type="dxa"/>
          <w:bottom w:w="28" w:type="dxa"/>
          <w:right w:w="28" w:type="dxa"/>
        </w:tblCellMar>
      </w:tblPr>
      <w:tblGrid>
        <w:gridCol w:w="971"/>
        <w:gridCol w:w="855"/>
        <w:gridCol w:w="859"/>
        <w:gridCol w:w="274"/>
        <w:gridCol w:w="469"/>
        <w:gridCol w:w="141"/>
        <w:gridCol w:w="109"/>
        <w:gridCol w:w="109"/>
        <w:gridCol w:w="109"/>
        <w:gridCol w:w="300"/>
        <w:gridCol w:w="664"/>
        <w:gridCol w:w="221"/>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payable</w:t>
            </w:r>
          </w:p>
        </w:tc>
        <w:tc>
          <w:tcPr>
            <w:tcW w:w="27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 payable</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liabilities</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pronouncements adopted during the three months ended March 31,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 Disaggregation of Income Statement Expenses,” which requires additional disclosure about specified categories of expenses included in relevant expense captions presented on the income statement. The amendments are effective for annual periods beginning after December 15, 2026, and for interim periods within fiscal years beginning after December 15, 2027. Early adoption is permitted. The amendments may be applied either prospectively or retrospectively. Management is currently evaluating this ASU to determine its impact on the Company’s disclosures. Adoption of the update will not impact the Company’s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considers the applicability and impact of all ASUs. ASUs not discussed above were assessed and determined to be either not applicable, previously disclosed, or not material upon adoption.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3.    </w:t>
      </w:r>
      <w:r>
        <w:rPr>
          <w:rFonts w:ascii="Times New Roman;serif" w:hAnsi="Times New Roman;serif"/>
          <w:b/>
          <w:color w:val="000000"/>
          <w:sz w:val="20"/>
          <w:shd w:fill="FFFFFF" w:val="clear"/>
        </w:rPr>
        <w:t>REVENUE FROM CONTRACTS WITH CUSTOMERS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represents the right to receive revenues from oil, natural gas and natural gas liquids sales obtained from third-party purchasers by the operator of the wells in which the Company owns a royalty interest. Royalty income is recognized at the point control of the product is transferred to the purchaser at the wellhead or at the gas processing facility based on the Company’s percentage ownership share of the revenue, net of any deductions for gathering and transportation. Virtually all of the pricing provisions in the Company’s contracts are tied to a market index.</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disaggregates the Company’s revenue from oil, natural gas and natural gas liquids by revenue generated from production on properties operated by Diamondback and revenue generated from production on properties operated by third parties: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00"/>
        <w:gridCol w:w="253"/>
        <w:gridCol w:w="254"/>
        <w:gridCol w:w="408"/>
        <w:gridCol w:w="879"/>
        <w:gridCol w:w="229"/>
        <w:gridCol w:w="109"/>
        <w:gridCol w:w="109"/>
        <w:gridCol w:w="109"/>
        <w:gridCol w:w="376"/>
        <w:gridCol w:w="809"/>
        <w:gridCol w:w="211"/>
        <w:gridCol w:w="109"/>
        <w:gridCol w:w="109"/>
        <w:gridCol w:w="109"/>
        <w:gridCol w:w="196"/>
        <w:gridCol w:w="421"/>
        <w:gridCol w:w="109"/>
        <w:gridCol w:w="109"/>
        <w:gridCol w:w="109"/>
        <w:gridCol w:w="109"/>
        <w:gridCol w:w="408"/>
        <w:gridCol w:w="879"/>
        <w:gridCol w:w="229"/>
        <w:gridCol w:w="109"/>
        <w:gridCol w:w="109"/>
        <w:gridCol w:w="109"/>
        <w:gridCol w:w="429"/>
        <w:gridCol w:w="726"/>
        <w:gridCol w:w="241"/>
        <w:gridCol w:w="109"/>
        <w:gridCol w:w="109"/>
        <w:gridCol w:w="109"/>
        <w:gridCol w:w="196"/>
        <w:gridCol w:w="421"/>
        <w:gridCol w:w="109"/>
        <w:gridCol w:w="109"/>
        <w:gridCol w:w="109"/>
        <w:gridCol w:w="109"/>
        <w:gridCol w:w="160"/>
      </w:tblGrid>
      <w:tr>
        <w:trPr/>
        <w:tc>
          <w:tcPr>
            <w:tcW w:w="30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gridSpan w:val="2"/>
            <w:tcBorders/>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Diamondback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Revenue Generated from Third-Party Operated Properties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1" w:type="dxa"/>
            <w:gridSpan w:val="3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Oil income</w:t>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220 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120 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income</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Natural gas liquids income</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Total royalty income</w:t>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245 </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251 </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496 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2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106" w:type="dxa"/>
            <w:gridSpan w:val="22"/>
            <w:tcBorders/>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63" w:type="dxa"/>
            <w:gridSpan w:val="16"/>
            <w:tcBorders/>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5106" w:type="dxa"/>
            <w:gridSpan w:val="22"/>
            <w:tcBorders/>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0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4.    ACQUISITIONS AND DIVESTITURES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February 9, 2026, the Company divested all of its non-Permian assets, including those acquired from Sitio Royalties Corp. (“Sitio”), to an affiliate of GRP Energy Capital LLC and Warwick Capital Partners LLP for net cash proceeds of approximately $610 million, including transaction costs and customary post-closing adjustments (the “Non-Permian Divestiture”). The divested properties consisted of approximately 9,400 net royalty acres in the Denver-Julesburg, Eagle Ford and Williston basins with then-current production of approximately 4,750 BO/d. Proceeds from the Non-Permian Divestiture were used to (i) repay the Company’s $500 million Term Loan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6—</w:t>
      </w:r>
      <w:hyperlink w:anchor="i8a4d921f96b0461ca4b5dcc2b847ded7_5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xml:space="preserve">) in full, (ii) fully repay $90 million of then-outstanding borrowings under the Revolving Credit Facility (as defined and discussed in </w:t>
      </w:r>
      <w:r>
        <w:rPr>
          <w:rFonts w:ascii="Times New Roman;serif" w:hAnsi="Times New Roman;serif"/>
          <w:b w:val="false"/>
          <w:color w:val="000000"/>
          <w:sz w:val="20"/>
          <w:shd w:fill="FFFFFF" w:val="clear"/>
        </w:rPr>
        <w:t xml:space="preserve">Note </w:t>
      </w:r>
      <w:r>
        <w:rPr>
          <w:rFonts w:ascii="Times New Roman;serif" w:hAnsi="Times New Roman;serif"/>
          <w:b w:val="false"/>
          <w:color w:val="000000"/>
          <w:sz w:val="20"/>
        </w:rPr>
        <w:t>6—</w:t>
      </w:r>
      <w:hyperlink w:anchor="i8a4d921f96b0461ca4b5dcc2b847ded7_5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and (iii)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Other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acquired, in individually insignificant transactions from unrelated third-party sellers, mineral and royalty interests representing approximately 55 net royalty acres in the Permian Basin for an aggregate purchase price of approximately $18 million, subject to customary post-closing adjustments. Additionally, during the three months ended March 31, 2026, the Company acquired mineral and royalty interests from Diamondback representing approximately 59 net royalty acres in the Permian Basin for an aggregate purchase price of approximately $12 million, subject to customary post-closing adjustments.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2025 Significant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Sitio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August 19, 2025, the Company completed a series of transactions in which New Viper acquired Sitio, Sitio Royalties Operating Partnership, LP (“Sitio OpCo”) and their respective subsidiaries, pursuant to the Agreement and Plan of Merger, dated June 2, 2025, by and among Former Viper, the Operating Company, Sitio, Sitio OpCo, New Viper, Cobra Merger Sub, Inc. and Scorpion Merger Sub, Inc. (the “Sitio Acquisition”). The Sitio Acquisition was an all-equity transaction valued at approximately $4.0 billion, including transaction costs and customary post-closing adjustments and the partial retirement of Sitio’s net debt of approximately $1.2 billion. The Company funded the retirement of Sitio’s net debt through a combination of cash on hand, proceeds from the issuance of the Guaranteed Senior Notes and borrowings under the Term Loan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6—</w:t>
      </w:r>
      <w:hyperlink w:anchor="i8a4d921f96b0461ca4b5dcc2b847ded7_5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part of the Sitio Acquisition, New Viper issued 38,536,236 shares of Class A Common Stock, 35,619,951 shares of Class B Common Stock and 35,619,951 OpCo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mineral and royalty interests acquired in the Sitio Acquisition represent approximately 25,300 net royalty acres in the Permian Basin and approximately 9,000 net royalty acres in the Denver-Julesburg, Eagle Ford and Williston basins, for total acreage of approximately 34,300 net royalty acres. The non-Permian mineral and royalty interests acquired in the Sitio Acquisition were subsequently divested as discussed above in “—</w:t>
      </w:r>
      <w:hyperlink w:anchor="i8a4d921f96b0461ca4b5dcc2b847ded7_49">
        <w:r>
          <w:rPr>
            <w:rStyle w:val="InternetLink"/>
            <w:rFonts w:ascii="Times New Roman;serif" w:hAnsi="Times New Roman;serif"/>
            <w:b w:val="false"/>
            <w:i/>
            <w:color w:val="0000FF"/>
            <w:sz w:val="20"/>
            <w:u w:val="single"/>
          </w:rPr>
          <w:t>Divestiture of Non-Permian Assets</w:t>
        </w:r>
      </w:hyperlink>
      <w:r>
        <w:rPr>
          <w:color w:val="000000"/>
        </w:rPr>
        <w:t>”</w:t>
      </w:r>
      <w:r>
        <w:rPr>
          <w:rFonts w:ascii="Times New Roman;serif" w:hAnsi="Times New Roman;serif"/>
          <w:b w:val="false"/>
          <w:color w:val="000000"/>
          <w:sz w:val="20"/>
        </w:rPr>
        <w: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Sitio Acquisition was accounted for as an asset acquisition in accordance with ASC 805.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2025, the Company acquired all of the issued and outstanding equity interests of certain Diamondback subsidiaries for consideration consisting of (i) approximately $873 million in cash including customary post-closing adjustments, and (ii) the issuance of 69,626,640 OpCo Units and an equivalent number of shares of the Company’s Class B Common Stock (collectively, the “Drop Down Equity Issuance”) (the “2025 Drop Down”).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acquired in the 2025 Drop Down represented approximately 24,446 net royalty acres in the Permian Basin, 69% of which were operated by Diamondback, and had an average net royalty interest of approximately 2.2% and then-current oil production of approximately 17,097 BO/d (the “Endeavor Mineral and Royalty Interests”). The Endeavor Mineral and Royalty Interests include interests in horizontal wells comprised of 5,574 gross proved developed production wells (of which approximately 32% are operated by Diamondback), 116 gross completed wells and 394 gross drilled but uncompleted wells, all of which are principally concentrated in the Midland Basin, with the balance located primarily in the Delaware and Williston basins.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funded the cash consideration for the 2025 Drop Down with a portion of the proceeds from the 2025 Equity Offering (</w:t>
      </w:r>
      <w:r>
        <w:rPr>
          <w:rFonts w:ascii="Times New Roman;serif" w:hAnsi="Times New Roman;serif"/>
          <w:b w:val="false"/>
          <w:color w:val="000000"/>
          <w:sz w:val="20"/>
          <w:shd w:fill="FFFFFF" w:val="clear"/>
        </w:rPr>
        <w:t xml:space="preserve">as defined and discussed in Note </w:t>
      </w:r>
      <w:r>
        <w:rPr>
          <w:rFonts w:ascii="Times New Roman;serif" w:hAnsi="Times New Roman;serif"/>
          <w:b w:val="false"/>
          <w:color w:val="000000"/>
          <w:sz w:val="20"/>
        </w:rPr>
        <w:t>7—</w:t>
      </w:r>
      <w:hyperlink w:anchor="i8a4d921f96b0461ca4b5dcc2b847ded7_58">
        <w:r>
          <w:rPr>
            <w:rStyle w:val="InternetLink"/>
            <w:rFonts w:ascii="Times New Roman;serif" w:hAnsi="Times New Roman;serif"/>
            <w:b w:val="false"/>
            <w:color w:val="0000FF"/>
            <w:sz w:val="20"/>
            <w:u w:val="single"/>
          </w:rPr>
          <w:t>Stockholders’ Equity</w:t>
        </w:r>
      </w:hyperlink>
      <w:r>
        <w:rPr>
          <w:rFonts w:ascii="Times New Roman;serif" w:hAnsi="Times New Roman;serif"/>
          <w:b w:val="false"/>
          <w:color w:val="000000"/>
          <w:sz w:val="20"/>
        </w:rPr>
        <w:t xml:space="preserve">) and borrowings under the Revolving Credit Facility (as defined and discussed in </w:t>
      </w:r>
      <w:r>
        <w:rPr>
          <w:rFonts w:ascii="Times New Roman;serif" w:hAnsi="Times New Roman;serif"/>
          <w:b w:val="false"/>
          <w:color w:val="000000"/>
          <w:sz w:val="20"/>
          <w:shd w:fill="FFFFFF" w:val="clear"/>
        </w:rPr>
        <w:t xml:space="preserve">Note </w:t>
      </w:r>
      <w:r>
        <w:rPr>
          <w:rFonts w:ascii="Times New Roman;serif" w:hAnsi="Times New Roman;serif"/>
          <w:b w:val="false"/>
          <w:color w:val="000000"/>
          <w:sz w:val="20"/>
        </w:rPr>
        <w:t>6—</w:t>
      </w:r>
      <w:hyperlink w:anchor="i8a4d921f96b0461ca4b5dcc2b847ded7_55">
        <w:r>
          <w:rPr>
            <w:rStyle w:val="InternetLink"/>
            <w:rFonts w:ascii="Times New Roman;serif" w:hAnsi="Times New Roman;serif"/>
            <w:b w:val="false"/>
            <w:color w:val="0000FF"/>
            <w:sz w:val="20"/>
            <w:u w:val="single"/>
          </w:rPr>
          <w:t>Debt</w:t>
        </w:r>
      </w:hyperlink>
      <w:r>
        <w:rPr>
          <w:rFonts w:ascii="Times New Roman;serif" w:hAnsi="Times New Roman;serif"/>
          <w:b w:val="false"/>
          <w:color w:val="000000"/>
          <w:sz w:val="20"/>
        </w:rPr>
        <w:t>). The 2025 Drop Down was accounted for as a transaction between entities under common control, with the Endeavor Mineral and Royalty Interests recorded at the seller’s historical carrying value in the Company’s condensed consolidated balance sheet.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For more discussion of the Company’s acquisitions completed during 2025, see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"i636f90b9a2bf4a46ad5fe64678400ed7_124"</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4—Acquisitions and Divestitures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    OIL AND NATURAL GAS PROPERTIES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Oil and natural gas properties include the following for the periods presented:</w:t>
      </w:r>
    </w:p>
    <w:p>
      <w:pPr>
        <w:pStyle w:val="TextBody"/>
        <w:bidi w:val="0"/>
        <w:spacing w:before="0" w:after="0"/>
        <w:ind w:left="0" w:right="0" w:firstLine="720"/>
        <w:jc w:val="both"/>
        <w:rPr/>
      </w:pPr>
      <w:r>
        <w:rPr/>
      </w:r>
    </w:p>
    <w:tbl>
      <w:tblPr>
        <w:tblW w:w="7142" w:type="dxa"/>
        <w:jc w:val="left"/>
        <w:tblInd w:w="0" w:type="dxa"/>
        <w:tblLayout w:type="fixed"/>
        <w:tblCellMar>
          <w:top w:w="28" w:type="dxa"/>
          <w:left w:w="28" w:type="dxa"/>
          <w:bottom w:w="28" w:type="dxa"/>
          <w:right w:w="28" w:type="dxa"/>
        </w:tblCellMar>
      </w:tblPr>
      <w:tblGrid>
        <w:gridCol w:w="1661"/>
        <w:gridCol w:w="1459"/>
        <w:gridCol w:w="1469"/>
        <w:gridCol w:w="211"/>
        <w:gridCol w:w="721"/>
        <w:gridCol w:w="109"/>
        <w:gridCol w:w="109"/>
        <w:gridCol w:w="109"/>
        <w:gridCol w:w="109"/>
        <w:gridCol w:w="230"/>
        <w:gridCol w:w="787"/>
        <w:gridCol w:w="168"/>
      </w:tblGrid>
      <w:tr>
        <w:trPr/>
        <w:tc>
          <w:tcPr>
            <w:tcW w:w="1661"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Proved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Unproved properties</w:t>
            </w:r>
            <w:r>
              <w:rPr>
                <w:rFonts w:ascii="Times New Roman;serif" w:hAnsi="Times New Roman;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4,910 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oil and natural gas properties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14,656 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depletion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and natural gas properties,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equipment and land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net of accumulated depletion and impairment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18"/>
        </w:rPr>
        <w:t>(1)    </w:t>
      </w:r>
      <w:r>
        <w:rPr>
          <w:rFonts w:ascii="Times New Roman;serif" w:hAnsi="Times New Roman;serif"/>
          <w:b w:val="false"/>
          <w:color w:val="000000"/>
          <w:sz w:val="20"/>
        </w:rPr>
        <w:t xml:space="preserve">Unevaluated properties not subject to depletion under full cost pool accounting.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 had mineral and royalty properties representing approximately 86,639 and 96,003 net royalty acres, respectively.</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No impairment expense was recorded on the Company’s proved oil and natural gas properties for either of the three months ended March 31, 2026 and 2025 based on the results of the respective quarterly ceiling tests. In addition to commodity prices, the Company’s production rates, levels of proved reserves, transfers of unevaluated properties, income tax rate assumptions and other factors will determine its actual ceiling test limitations and impairment analysis in future periods. </w:t>
      </w:r>
      <w:r>
        <w:rPr>
          <w:rFonts w:ascii="Times New Roman;serif" w:hAnsi="Times New Roman;serif"/>
          <w:b w:val="false"/>
          <w:color w:val="000000"/>
          <w:sz w:val="20"/>
          <w:shd w:fill="FFFFFF" w:val="clear"/>
        </w:rPr>
        <w:t>If future SEC Prices decline as compared to the com</w:t>
      </w:r>
      <w:r>
        <w:rPr>
          <w:rFonts w:ascii="Times New Roman;serif" w:hAnsi="Times New Roman;serif"/>
          <w:b w:val="false"/>
          <w:color w:val="000000"/>
          <w:sz w:val="20"/>
        </w:rPr>
        <w:t>modity prices used in prior quarters, the Company could have material write-downs in subsequent quarters.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6.    DEBT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5207" w:type="dxa"/>
        <w:jc w:val="left"/>
        <w:tblInd w:w="0" w:type="dxa"/>
        <w:tblLayout w:type="fixed"/>
        <w:tblCellMar>
          <w:top w:w="28" w:type="dxa"/>
          <w:left w:w="28" w:type="dxa"/>
          <w:bottom w:w="28" w:type="dxa"/>
          <w:right w:w="28" w:type="dxa"/>
        </w:tblCellMar>
      </w:tblPr>
      <w:tblGrid>
        <w:gridCol w:w="1000"/>
        <w:gridCol w:w="878"/>
        <w:gridCol w:w="881"/>
        <w:gridCol w:w="211"/>
        <w:gridCol w:w="616"/>
        <w:gridCol w:w="109"/>
        <w:gridCol w:w="109"/>
        <w:gridCol w:w="109"/>
        <w:gridCol w:w="109"/>
        <w:gridCol w:w="255"/>
        <w:gridCol w:w="744"/>
        <w:gridCol w:w="186"/>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4.900% Senior Notes due 2030</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5.700% Senior Notes due 2035</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discount costs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27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The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entered into a credit agreement (as amended, the “Revolving Credit Agreement”), which provides the Company with a credit facility with a commitment of $1.50 billion, a swingline commitment of up to $50 million and a letter of credit commitment of $5 million, which will mature on June 12, 2030 (such facility, the “Revolving Credit Facility”). As of March 31, 2026, there was $20 million in outstanding borrowings and $1.48 billion available for future borrowings under the Revolving Credit Facility. During the three months ended March 31, 2026 and 2025, the weighted average interest rates on the Revolving Credit Facility were 5.19% and 6.57%,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As of March 31, 2026, the Company</w:t>
      </w:r>
      <w:r>
        <w:rPr>
          <w:color w:val="000000"/>
        </w:rPr>
        <w:t xml:space="preserve"> </w:t>
      </w:r>
      <w:r>
        <w:rPr>
          <w:rFonts w:ascii="Times New Roman;serif" w:hAnsi="Times New Roman;serif"/>
          <w:b w:val="false"/>
          <w:color w:val="000000"/>
          <w:sz w:val="20"/>
        </w:rPr>
        <w:t>was in compliance with all financial maintenance covenants under the Revolving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Term Loan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July 23, 2025, in connection with the Sitio Acquisition, Former Viper, as guarantor, entered into a $500 million term loan credit agreement with the Operating Company, as borrower, and Goldman Sachs Bank USA, as administrative agent (the “Term Loan”). On August 19, 2025, the Term Loan was fully drawn and New Viper became a co-guarantor of the Term Loan. On February 13, 2026, the Term Loan was repaid in full using proceeds from the Non-Permian Divestiture.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 had a total of 194,311,958 shares of Class A Common Stock issued and outstanding and 164,810,547 shares of Class B Common Stock issued and outstanding. Additionally, at March 31, 2026, Tumbleweed Royalty IV, LLC (“TWR IV”) held 6,746,384 OpCo Units and the option, but not the obligation, to acquire an equivalent number of shares of the Company’s Class B Common Stock (the “TWR Class B Option”).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Members of New OpCo may require the Company to redeem all or a portion of the shares of the Company’s Class B Common Stock held by such member, together with an equal number of OpCo Units (one share of Class B Common Stock together with one OpCo Unit) in exchange for (i) an equivalent number of shares of the Company’s Class A Common Stock, or (ii) cash consideration subject to the terms and conditions included in the Amended and Restated Limited Liability Company Agreement of New OpCo. TWR IV may exchange its OpCo Units directly for an equivalent number of shares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Company’s Class A Common Stock and any OpCo Units so exchanged will reduce the number of shares of Class B Common Stock subject to the TWR Class B Option.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2026 Secondary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the Company completed a secondary public offering with Diamondback, EnCap Energy Capital Fund X, L.P. (“EnCap”), TWR IV, Opps IX Source Holdings PT, L.P. (“Source Holdings”) and Opps IX Source Holdings II PT, L.P. (“Source Holdings II” and together with Source Holdings, the “Sitio OpCo Former Equity Holders”) (all selling stockholders collectively, the “Selling Stockholders”) and J.P. Morgan Securities LLC and Goldman Sachs &amp; Co. LLC, as underwriters (the “Underwriters”) (the “2026 Secondary Offering”). The 2026 Secondary Offering authorized the Selling Stockholders to sell an aggregate of (i) 17,391,304 shares of Class A Common Stock, and (ii) up to 2,608,696 shares of Class A Common Stock upon exercise of the Underwriters’ option to purchase additional shares of Class A Common Stock from certain Selling Stockholders at the public offering price of $45.90 per share, less underwriting discounts and commissions (the “Underwriter Option”). To effect the offering, (i) Diamondback, EnCap and the Sitio OpCo Former Equity Holders collectively exchanged 14,044,018 shares of the Company’s Class B Common Stock and an equivalent number of OpCo Units for 14,044,018 shares of the Company’s Class A Common Stock, and (ii) TWR IV exchanged 3,347,286 of its OpCo Units for an equivalent number of shares of the Company’s Class A Common Stock.</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19, 2026, the Underwriters exercised a portion of the Underwriter Option and purchased an additional 954,809 shares of Class A Common Stock (the “Shoe Exercise”). To effect the offering of additional shares pursuant to the Shoe Exercise, Diamondback and the Sitio OpCo Former Equity Holders collectively exchanged 954,809 shares of the Company’s Class B Common Stock and an equivalent number of OpCo Units for 954,809 shares of the Company’s Class A Common Stock. Viper did not receive any proceeds from the sale of shares in the 2026 Secondary Offering or the Shoe Exercise. Pursuant to the Company’s registration rights agreements, the Company paid all expenses relating to the registration, offering and listing of the shares sold in the 2026 Secondary Offering and Shoe Exercise, except that the Selling Stockholders paid the discounts and commissions of the Underwriters, any transfer taxes and certain attorney’s fees.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beneficial ownership of Common Stock and OpCo Units as of March 31, 2026:</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966"/>
        <w:gridCol w:w="626"/>
        <w:gridCol w:w="630"/>
        <w:gridCol w:w="976"/>
        <w:gridCol w:w="626"/>
        <w:gridCol w:w="628"/>
        <w:gridCol w:w="109"/>
        <w:gridCol w:w="109"/>
        <w:gridCol w:w="109"/>
        <w:gridCol w:w="409"/>
        <w:gridCol w:w="299"/>
        <w:gridCol w:w="745"/>
        <w:gridCol w:w="109"/>
        <w:gridCol w:w="109"/>
        <w:gridCol w:w="109"/>
        <w:gridCol w:w="849"/>
        <w:gridCol w:w="514"/>
        <w:gridCol w:w="508"/>
        <w:gridCol w:w="109"/>
        <w:gridCol w:w="109"/>
        <w:gridCol w:w="109"/>
        <w:gridCol w:w="382"/>
        <w:gridCol w:w="285"/>
        <w:gridCol w:w="781"/>
      </w:tblGrid>
      <w:tr>
        <w:trPr/>
        <w:tc>
          <w:tcPr>
            <w:tcW w:w="96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Shares of Common Stock Beneficially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Percentage Ownership</w:t>
            </w:r>
            <w:r>
              <w:rPr>
                <w:rFonts w:ascii="Times New Roman;serif" w:hAnsi="Times New Roman;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OpCo Units Beneficially Owned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Percentage Ownership</w:t>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Public equity holders of Class A Common Stock</w:t>
            </w:r>
          </w:p>
        </w:tc>
        <w:tc>
          <w:tcPr>
            <w:tcW w:w="1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194,311,958 </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and subsidiaries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194,311,958 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Diamondback and subsidiaries</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142,156,718 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142,156,718 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Sitio OpCo Former Equity Holders</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21,338,299 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21,338,299 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TWR IV</w:t>
            </w:r>
            <w:r>
              <w:rPr>
                <w:rFonts w:ascii="Times New Roman;serif" w:hAnsi="Times New Roman;serif"/>
                <w:b w:val="false"/>
                <w:color w:val="000000"/>
                <w:sz w:val="13"/>
              </w:rPr>
              <w:t>(1)</w:t>
            </w:r>
          </w:p>
        </w:tc>
        <w:tc>
          <w:tcPr>
            <w:tcW w:w="1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6,746,384 </w:t>
            </w:r>
          </w:p>
        </w:tc>
        <w:tc>
          <w:tcPr>
            <w:tcW w:w="6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6,746,384 </w:t>
            </w:r>
          </w:p>
        </w:tc>
        <w:tc>
          <w:tcPr>
            <w:tcW w:w="5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7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EnCap</w:t>
            </w:r>
          </w:p>
        </w:tc>
        <w:tc>
          <w:tcPr>
            <w:tcW w:w="1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1,315,530 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1,315,530 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Total Ownership</w:t>
            </w:r>
            <w:r>
              <w:rPr>
                <w:rFonts w:ascii="Times New Roman;serif" w:hAnsi="Times New Roman;serif"/>
                <w:b/>
                <w:color w:val="000000"/>
                <w:sz w:val="12"/>
              </w:rPr>
              <w:t>(1)</w:t>
            </w:r>
          </w:p>
        </w:tc>
        <w:tc>
          <w:tcPr>
            <w:tcW w:w="160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365,868,889 </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365,868,889 </w:t>
            </w:r>
          </w:p>
        </w:tc>
        <w:tc>
          <w:tcPr>
            <w:tcW w:w="5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(1)On a fully diluted basis, assuming TWR IV exercises the TWR Class B Option.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Equity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On February 3, 2025, the Company completed an underwritten public offering of 28,336,000 shares of Class A Common Stock, at a price to the public of $44.50 per share for total net proceeds of approximately $1.2 billion, after the underwriters’ discount and transaction costs (the “2025 Equity Offering”). </w:t>
      </w:r>
      <w:r>
        <w:rPr>
          <w:rFonts w:ascii="Times New Roman;serif" w:hAnsi="Times New Roman;serif"/>
          <w:b w:val="false"/>
          <w:color w:val="000000"/>
          <w:sz w:val="20"/>
          <w:shd w:fill="FFFFFF" w:val="clear"/>
        </w:rPr>
        <w:t xml:space="preserve">The Company used the net proceeds from the </w:t>
      </w:r>
      <w:r>
        <w:rPr>
          <w:rFonts w:ascii="Times New Roman;serif" w:hAnsi="Times New Roman;serif"/>
          <w:b w:val="false"/>
          <w:color w:val="000000"/>
          <w:sz w:val="20"/>
        </w:rPr>
        <w:t>2025 Equity Offering</w:t>
      </w:r>
      <w:r>
        <w:rPr>
          <w:color w:val="000000"/>
          <w:shd w:fill="FFFFFF" w:val="clear"/>
        </w:rPr>
        <w:t xml:space="preserve"> </w:t>
      </w:r>
      <w:r>
        <w:rPr>
          <w:rFonts w:ascii="Times New Roman;serif" w:hAnsi="Times New Roman;serif"/>
          <w:b w:val="false"/>
          <w:color w:val="000000"/>
          <w:sz w:val="20"/>
          <w:shd w:fill="FFFFFF" w:val="clear"/>
        </w:rPr>
        <w:t>to fund the cash consideration for certain acquisitions and for general corporate purposes.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Repurchase Program</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On February 18, 2026, the Company’s board of directors</w:t>
      </w:r>
      <w:r>
        <w:rPr>
          <w:color w:val="000000"/>
        </w:rPr>
        <w:t xml:space="preserve"> </w:t>
      </w:r>
      <w:r>
        <w:rPr>
          <w:rFonts w:ascii="Times New Roman;serif" w:hAnsi="Times New Roman;serif"/>
          <w:b w:val="false"/>
          <w:color w:val="000000"/>
          <w:sz w:val="20"/>
        </w:rPr>
        <w:t>increased the authorization</w:t>
      </w:r>
      <w:r>
        <w:rPr>
          <w:color w:val="000000"/>
          <w:shd w:fill="FFFFFF" w:val="clear"/>
        </w:rPr>
        <w:t xml:space="preserve"> </w:t>
      </w:r>
      <w:r>
        <w:rPr>
          <w:rFonts w:ascii="Times New Roman;serif" w:hAnsi="Times New Roman;serif"/>
          <w:b w:val="false"/>
          <w:color w:val="000000"/>
          <w:sz w:val="20"/>
          <w:shd w:fill="FFFFFF" w:val="clear"/>
        </w:rPr>
        <w:t xml:space="preserve">under the Company’s repurchase program to </w:t>
      </w:r>
      <w:r>
        <w:rPr>
          <w:rFonts w:ascii="Times New Roman;serif" w:hAnsi="Times New Roman;serif"/>
          <w:b w:val="false"/>
          <w:color w:val="000000"/>
          <w:sz w:val="20"/>
        </w:rPr>
        <w:t>$1.75 billion, excluding excise tax.</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repurchased approximately (i) $50 million of its Class A Common Stock, and (ii) $46 million of its OpCo Units related to the repurchase of 1,000,000 OpCo Units from affiliates of Oaktree Capital Management, L.P. (“Oaktree”) in conjunction with the 2026 Secondary Offering. Concurrently, a corresponding number of shares of the Company’s Class B Common Stock owned by Oaktree were canceled. There were no repurchases of Common Stock or OpCo Units during the three months ended March 31, 2025. As of March 31, 2026, approximately $1.15 billion remained available under the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board of directors of the Company has established a dividend policy, whereby the Operating Company distributes all or a portion of its available cash on a quarterly basis to holders of the OpCo Units. Viper in turn distributes all or a portion of the available cash it receives from the Operating Company to holders of its Class A Common Stock through base and variable dividends that take into account capital returned to stockholders via its repurchase program. The Company’s available cash and the available cash of the Operating Company for each quarter is determined by the board of directors following the end of such quarter.</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Company expects that its available cash will generally equal the Adjusted EBITDA attributable to the Company for the applicable quarter, less cash needed for income taxes payable; debt service, contractual obligations, fixed charges and reserves for future operating or capital needs that the Company’s board of directors deems necessary or appropriate; lease bonus income (net of applicable taxes); dividend equivalent rights payments; preferred dividends, if any; and further adjusted for the tax impact from divestitures. For a detailed description of the Company’s and the Operating Company’s dividend policy, see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"i636f90b9a2bf4a46ad5fe64678400ed7_133"</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7—Stockholders’ Equity—Cash Dividends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The percentage of cash available for di</w:t>
      </w:r>
      <w:r>
        <w:rPr>
          <w:rFonts w:ascii="Times New Roman;serif" w:hAnsi="Times New Roman;serif"/>
          <w:b w:val="false"/>
          <w:color w:val="000000"/>
          <w:sz w:val="20"/>
        </w:rPr>
        <w:t>stribution by the Operating Company pursuant to the distribution policy may change quarterly to enable the Operating Company to retain cash flow to help strengthen the Company’s balance sheet while also expanding the return of capital program through the Company’s repurchase program. The Company i</w:t>
      </w:r>
      <w:r>
        <w:rPr>
          <w:rFonts w:ascii="Times New Roman;serif" w:hAnsi="Times New Roman;serif"/>
          <w:b w:val="false"/>
          <w:color w:val="000000"/>
          <w:sz w:val="20"/>
          <w:shd w:fill="FFFFFF" w:val="clear"/>
        </w:rPr>
        <w:t>s not required to pay dividends to the holders of its Class A Common Stock on a quarterly or other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information regarding cash dividends paid during the three months ended March 31, 2026 and 2025 (in millions except per share amounts):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20"/>
        <w:gridCol w:w="193"/>
        <w:gridCol w:w="196"/>
        <w:gridCol w:w="109"/>
        <w:gridCol w:w="109"/>
        <w:gridCol w:w="109"/>
        <w:gridCol w:w="212"/>
        <w:gridCol w:w="505"/>
        <w:gridCol w:w="118"/>
        <w:gridCol w:w="109"/>
        <w:gridCol w:w="109"/>
        <w:gridCol w:w="109"/>
        <w:gridCol w:w="409"/>
        <w:gridCol w:w="880"/>
        <w:gridCol w:w="229"/>
        <w:gridCol w:w="109"/>
        <w:gridCol w:w="109"/>
        <w:gridCol w:w="109"/>
        <w:gridCol w:w="227"/>
        <w:gridCol w:w="540"/>
        <w:gridCol w:w="126"/>
        <w:gridCol w:w="109"/>
        <w:gridCol w:w="109"/>
        <w:gridCol w:w="109"/>
        <w:gridCol w:w="300"/>
        <w:gridCol w:w="647"/>
        <w:gridCol w:w="169"/>
        <w:gridCol w:w="109"/>
        <w:gridCol w:w="109"/>
        <w:gridCol w:w="109"/>
        <w:gridCol w:w="329"/>
        <w:gridCol w:w="329"/>
        <w:gridCol w:w="330"/>
        <w:gridCol w:w="109"/>
        <w:gridCol w:w="109"/>
        <w:gridCol w:w="109"/>
        <w:gridCol w:w="372"/>
        <w:gridCol w:w="372"/>
        <w:gridCol w:w="373"/>
        <w:gridCol w:w="109"/>
        <w:gridCol w:w="109"/>
        <w:gridCol w:w="109"/>
        <w:gridCol w:w="242"/>
        <w:gridCol w:w="242"/>
        <w:gridCol w:w="356"/>
      </w:tblGrid>
      <w:tr>
        <w:trPr/>
        <w:tc>
          <w:tcPr>
            <w:tcW w:w="22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rPr/>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 per OpCo Unit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Operating Company Distributions to 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per Class A Common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Class A Common Stockholders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Class A Common Stockholder 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Payment Date</w:t>
            </w:r>
          </w:p>
        </w:tc>
      </w:tr>
      <w:tr>
        <w:trPr/>
        <w:tc>
          <w:tcPr>
            <w:tcW w:w="10205" w:type="dxa"/>
            <w:gridSpan w:val="45"/>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2026</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Q4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0.52 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February 18,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12, 2026</w:t>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2025</w:t>
            </w:r>
          </w:p>
        </w:tc>
      </w:tr>
      <w:tr>
        <w:trPr/>
        <w:tc>
          <w:tcPr>
            <w:tcW w:w="6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Q4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0.65 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January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6,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18"/>
              </w:rPr>
            </w:pPr>
            <w:r>
              <w:rPr>
                <w:rFonts w:ascii="Times New Roman;serif" w:hAnsi="Times New Roman;serif"/>
                <w:b w:val="false"/>
                <w:color w:val="000000"/>
                <w:sz w:val="18"/>
              </w:rPr>
              <w:t>March 13, 2025</w:t>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r>
        <w:trPr/>
        <w:tc>
          <w:tcPr>
            <w:tcW w:w="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Non-controlling interest in the accompanying condensed consolidated financial statements represents the ownership interests of Diamondback, </w:t>
      </w:r>
      <w:r>
        <w:rPr>
          <w:rFonts w:ascii="Times New Roman;serif" w:hAnsi="Times New Roman;serif"/>
          <w:b w:val="false"/>
          <w:color w:val="000000"/>
          <w:sz w:val="20"/>
        </w:rPr>
        <w:t>Sitio OpCo Former Equity Holders,</w:t>
      </w:r>
      <w:r>
        <w:rPr>
          <w:color w:val="000000"/>
          <w:shd w:fill="FFFFFF" w:val="clear"/>
        </w:rPr>
        <w:t xml:space="preserve"> </w:t>
      </w:r>
      <w:r>
        <w:rPr>
          <w:rFonts w:ascii="Times New Roman;serif" w:hAnsi="Times New Roman;serif"/>
          <w:b w:val="false"/>
          <w:color w:val="000000"/>
          <w:sz w:val="20"/>
        </w:rPr>
        <w:t>TWR IV and EnCap</w:t>
      </w:r>
      <w:r>
        <w:rPr>
          <w:color w:val="000000"/>
          <w:shd w:fill="FFFFFF" w:val="clear"/>
        </w:rPr>
        <w:t xml:space="preserve"> </w:t>
      </w:r>
      <w:r>
        <w:rPr>
          <w:rFonts w:ascii="Times New Roman;serif" w:hAnsi="Times New Roman;serif"/>
          <w:b w:val="false"/>
          <w:color w:val="000000"/>
          <w:sz w:val="20"/>
          <w:shd w:fill="FFFFFF" w:val="clear"/>
        </w:rPr>
        <w:t>in the net assets of the Operating Company. The non-controlling interests’ relative ownership in the Operating Company can change when transactions impacting the Operating Company’s outstanding equity occur. These changes in ownership percentage</w:t>
      </w:r>
      <w:r>
        <w:rPr>
          <w:color w:val="000000"/>
        </w:rPr>
        <w:t xml:space="preserve"> </w:t>
      </w:r>
      <w:r>
        <w:rPr>
          <w:rFonts w:ascii="Times New Roman;serif" w:hAnsi="Times New Roman;serif"/>
          <w:b w:val="false"/>
          <w:color w:val="000000"/>
          <w:sz w:val="20"/>
          <w:shd w:fill="FFFFFF" w:val="clear"/>
        </w:rPr>
        <w:t>result in adjustments to non-controlling interest and stockholders’ equity, tax effected, but do not impact earnings.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the changes in the Company’s stockholders’ equity due to changes in ownership interest of subsidiaries during the period: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803"/>
        <w:gridCol w:w="2290"/>
        <w:gridCol w:w="2307"/>
        <w:gridCol w:w="250"/>
        <w:gridCol w:w="554"/>
        <w:gridCol w:w="129"/>
        <w:gridCol w:w="129"/>
        <w:gridCol w:w="129"/>
        <w:gridCol w:w="129"/>
        <w:gridCol w:w="250"/>
        <w:gridCol w:w="620"/>
        <w:gridCol w:w="129"/>
        <w:gridCol w:w="109"/>
        <w:gridCol w:w="109"/>
        <w:gridCol w:w="109"/>
        <w:gridCol w:w="159"/>
      </w:tblGrid>
      <w:tr>
        <w:trPr/>
        <w:tc>
          <w:tcPr>
            <w:tcW w:w="2803"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486" w:type="dxa"/>
            <w:gridSpan w:val="4"/>
            <w:tcBorders/>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Company</w:t>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Transfers from the non-controlling interest:</w:t>
            </w:r>
          </w:p>
        </w:tc>
        <w:tc>
          <w:tcPr>
            <w:tcW w:w="9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 in additional paid-in capital due to exchange of Class B Common Stock and OpCo Units into shares of Class A Common Stock</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786 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Other transfers to the non-controlling interest,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4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from net income (loss) attributable to the Company’s stockholders and transfers with non-controlling interest</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815 </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8.    EARNINGS PER COMMON SHARE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net income (loss) per common share on the condensed consolidated statements of operations is based on the net income (loss) attributable to the Company’s Class A Common Stock for the three months ended March 31, 2026, and 2025, respectively.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common share are calculated using the two-class method. The two-class method is an earnings allocation proportional to the respective ownership among holders of Class A Common Stock and participating securities. Basic net income (loss) per common share is calculated by dividing net income (loss) by the weighted-average shares of Class A Common Stock outstanding during the period. Diluted net income (loss) per common share gives effect, when applicable, to unvested restricted stock units and performance restricted stock units granted under the LTIP.</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77"/>
        <w:gridCol w:w="1726"/>
        <w:gridCol w:w="1741"/>
        <w:gridCol w:w="460"/>
        <w:gridCol w:w="1063"/>
        <w:gridCol w:w="226"/>
        <w:gridCol w:w="226"/>
        <w:gridCol w:w="226"/>
        <w:gridCol w:w="226"/>
        <w:gridCol w:w="460"/>
        <w:gridCol w:w="1063"/>
        <w:gridCol w:w="226"/>
        <w:gridCol w:w="109"/>
        <w:gridCol w:w="109"/>
        <w:gridCol w:w="109"/>
        <w:gridCol w:w="158"/>
      </w:tblGrid>
      <w:tr>
        <w:trPr/>
        <w:tc>
          <w:tcPr>
            <w:tcW w:w="2077"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gridSpan w:val="2"/>
            <w:tcBorders/>
          </w:tcPr>
          <w:p>
            <w:pPr>
              <w:pStyle w:val="TableContents"/>
              <w:bidi w:val="0"/>
              <w:spacing w:before="0" w:after="283"/>
              <w:jc w:val="left"/>
              <w:rPr>
                <w:sz w:val="4"/>
                <w:szCs w:val="4"/>
              </w:rPr>
            </w:pPr>
            <w:r>
              <w:rPr>
                <w:sz w:val="4"/>
                <w:szCs w:val="4"/>
              </w:rPr>
            </w:r>
          </w:p>
        </w:tc>
      </w:tr>
      <w:tr>
        <w:trPr/>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6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per share amounts, shares in thousands)</w:t>
            </w:r>
          </w:p>
        </w:tc>
        <w:tc>
          <w:tcPr>
            <w:tcW w:w="485" w:type="dxa"/>
            <w:gridSpan w:val="4"/>
            <w:tcBorders/>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the period</w:t>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Less: distributed and undistributed earnings allocated to participating securities</w:t>
            </w:r>
            <w:r>
              <w:rPr>
                <w:rFonts w:ascii="Times New Roman;serif" w:hAnsi="Times New Roman;serif"/>
                <w:b w:val="false"/>
                <w:color w:val="000000"/>
                <w:sz w:val="13"/>
              </w:rPr>
              <w:t>(1)</w:t>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common stockholders</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 average common shares outstanding</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181,304 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120,926 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Potential common shares issuable</w:t>
            </w:r>
            <w:r>
              <w:rPr>
                <w:rFonts w:ascii="Times New Roman;serif" w:hAnsi="Times New Roman;serif"/>
                <w:b w:val="false"/>
                <w:color w:val="000000"/>
                <w:sz w:val="13"/>
              </w:rPr>
              <w:t>(2)</w:t>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Diluted weighted average common shares outstanding</w:t>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181,419 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121,030 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basic</w:t>
            </w:r>
          </w:p>
        </w:tc>
        <w:tc>
          <w:tcPr>
            <w:tcW w:w="4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0.54 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per common share, diluted</w:t>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0.53 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0.62 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(1)Unvested restricted stock units and performance restricted stock units that contain non-forfeitable dividend equivalent rights are considered participating securities and are therefore included in the earnings per share calculation pursuant to the two-class method.</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(2)For the three months ended March 31, 2026, and 2025, there were no other significant potential common shares excluded from the computation of diluted earnings per common share.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Company’s provision for (benefit from) income taxes and the effective income tax rate for the dates indicated:</w:t>
      </w:r>
    </w:p>
    <w:p>
      <w:pPr>
        <w:pStyle w:val="TextBody"/>
        <w:bidi w:val="0"/>
        <w:spacing w:before="0" w:after="0"/>
        <w:ind w:left="0" w:right="0" w:firstLine="720"/>
        <w:jc w:val="both"/>
        <w:rPr/>
      </w:pPr>
      <w:r>
        <w:rPr/>
      </w:r>
    </w:p>
    <w:tbl>
      <w:tblPr>
        <w:tblW w:w="6491" w:type="dxa"/>
        <w:jc w:val="left"/>
        <w:tblInd w:w="0" w:type="dxa"/>
        <w:tblLayout w:type="fixed"/>
        <w:tblCellMar>
          <w:top w:w="28" w:type="dxa"/>
          <w:left w:w="28" w:type="dxa"/>
          <w:bottom w:w="28" w:type="dxa"/>
          <w:right w:w="28" w:type="dxa"/>
        </w:tblCellMar>
      </w:tblPr>
      <w:tblGrid>
        <w:gridCol w:w="1243"/>
        <w:gridCol w:w="1094"/>
        <w:gridCol w:w="1098"/>
        <w:gridCol w:w="270"/>
        <w:gridCol w:w="462"/>
        <w:gridCol w:w="347"/>
        <w:gridCol w:w="139"/>
        <w:gridCol w:w="139"/>
        <w:gridCol w:w="139"/>
        <w:gridCol w:w="270"/>
        <w:gridCol w:w="462"/>
        <w:gridCol w:w="347"/>
        <w:gridCol w:w="109"/>
        <w:gridCol w:w="109"/>
        <w:gridCol w:w="109"/>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 except for tax rate)</w:t>
            </w:r>
          </w:p>
        </w:tc>
        <w:tc>
          <w:tcPr>
            <w:tcW w:w="481" w:type="dxa"/>
            <w:gridSpan w:val="4"/>
            <w:tcBorders/>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3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effective income tax rates for the three months ended March 31, 2026, and 2025, differed from the amounts computed by applying the United States federal statutory tax rate to pre-tax income for the periods primarily due to net income attributable to the non-controlling interest.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recognized a $95 million increase in its deferred tax asset through additional paid-in capital, including $61 million in connection with the 2026 Secondary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10.    DERIVATIVES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Commodity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historically has used fixed price swap contracts, fixed price basis swap contracts, deferred premium puts and costless collars with corresponding put and call options to reduce price volatility associated with certain of its royalty income. At March 31, 2026, the Company had puts, put spreads, roll swaps, costless collars and fixed price basis swaps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the Revolving Credit Facility, each of whom has been deemed an acceptable credit risk. As such, collateral is not required from either the counterparties or the Company on its outstanding commodity derivative contracts. Market risks involved in the Company’s use of derivative instruments relate to its potential inability to realize the benefits of any increases in commodity prices above the prices established by its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 Company had the following outstanding derivative contracts. When aggregating multiple contracts, the weighted average contract price is disclosed.</w:t>
      </w:r>
    </w:p>
    <w:p>
      <w:pPr>
        <w:pStyle w:val="TextBody"/>
        <w:bidi w:val="0"/>
        <w:spacing w:before="0" w:after="0"/>
        <w:ind w:left="0" w:right="0" w:firstLine="720"/>
        <w:jc w:val="both"/>
        <w:rPr/>
      </w:pPr>
      <w:r>
        <w:rPr/>
      </w:r>
    </w:p>
    <w:tbl>
      <w:tblPr>
        <w:tblW w:w="13408"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90"/>
        <w:gridCol w:w="290"/>
        <w:gridCol w:w="291"/>
        <w:gridCol w:w="109"/>
        <w:gridCol w:w="109"/>
        <w:gridCol w:w="109"/>
        <w:gridCol w:w="255"/>
        <w:gridCol w:w="255"/>
        <w:gridCol w:w="256"/>
        <w:gridCol w:w="109"/>
        <w:gridCol w:w="109"/>
        <w:gridCol w:w="109"/>
        <w:gridCol w:w="220"/>
        <w:gridCol w:w="220"/>
        <w:gridCol w:w="221"/>
        <w:gridCol w:w="109"/>
        <w:gridCol w:w="109"/>
        <w:gridCol w:w="109"/>
        <w:gridCol w:w="234"/>
        <w:gridCol w:w="234"/>
        <w:gridCol w:w="238"/>
        <w:gridCol w:w="109"/>
        <w:gridCol w:w="109"/>
        <w:gridCol w:w="109"/>
        <w:gridCol w:w="314"/>
        <w:gridCol w:w="314"/>
        <w:gridCol w:w="318"/>
        <w:gridCol w:w="109"/>
        <w:gridCol w:w="109"/>
        <w:gridCol w:w="109"/>
        <w:gridCol w:w="109"/>
        <w:gridCol w:w="202"/>
        <w:gridCol w:w="481"/>
        <w:gridCol w:w="113"/>
        <w:gridCol w:w="109"/>
        <w:gridCol w:w="109"/>
        <w:gridCol w:w="109"/>
        <w:gridCol w:w="202"/>
        <w:gridCol w:w="481"/>
        <w:gridCol w:w="113"/>
        <w:gridCol w:w="109"/>
        <w:gridCol w:w="109"/>
        <w:gridCol w:w="109"/>
        <w:gridCol w:w="240"/>
        <w:gridCol w:w="240"/>
        <w:gridCol w:w="241"/>
        <w:gridCol w:w="109"/>
        <w:gridCol w:w="109"/>
        <w:gridCol w:w="109"/>
        <w:gridCol w:w="196"/>
        <w:gridCol w:w="481"/>
        <w:gridCol w:w="109"/>
        <w:gridCol w:w="109"/>
        <w:gridCol w:w="109"/>
        <w:gridCol w:w="109"/>
        <w:gridCol w:w="196"/>
        <w:gridCol w:w="556"/>
        <w:gridCol w:w="109"/>
        <w:gridCol w:w="327"/>
        <w:gridCol w:w="196"/>
        <w:gridCol w:w="55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Swaps</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Puts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Put Spread</w:t>
            </w:r>
          </w:p>
        </w:tc>
      </w:tr>
      <w:tr>
        <w:trPr/>
        <w:tc>
          <w:tcPr>
            <w:tcW w:w="8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Month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Settlement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Type of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Bbls/MMBtu Per Day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Index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Ceiling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Strike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Average</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Deferred Premium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Floor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Short Put Price</w:t>
            </w:r>
          </w:p>
        </w:tc>
      </w:tr>
      <w:tr>
        <w:trPr/>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$52.05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$55.23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Mar.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Jun.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Jul. - Sep.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Put Spread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Roll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WTI Cushing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$3.97</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4"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Sep.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$(1.99)</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Oct.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Swaps</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$(1.74)</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Jan. - Dec.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Basis Swaps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40,000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Waha Hub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$(1.40)</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Apr. - Dec.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Costless Collar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60,000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Henry Hub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2.75 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    The Company’s fixed price basis swaps for natural gas are for the spread between the Waha Hub natural gas price and the Henry Hub natural gas price. The weighted average differential represents the amount of reduction to the WTI Cushing oil price and the Waha Hub natural gas price for the notional volumes covered by the basis swap contracts.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completed multiple acquisitions during 2024 with TWR IV, TWR IV SellCo Parent, LLC, Tumbleweed-Q Royalties, LLC, MC TWR Royalties, LP and MC TWR Intermediate, LLC. The terms of these acquisitions included provisions for contingent cash consideration based on the average price of WTI sweet crude oil prompt month futures contracts for the calendar year 2025 (the “2026 WTI Contingent Liability”), which resulted in an aggregate payment of $20 million in January 2026. The changes in fair value of the 2026 WTI Contingent Liability were recognized in “Gain (loss) on derivative instruments, net” on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Balance Sheet Offsetting of Derivative Assets and Liabilities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Changes in the fair value of the Company’s derivative instruments are recognized in “Gain (loss) on derivative instruments, net” on the Company’s condensed consolidated statements of operations. See Note 11—</w:t>
      </w:r>
      <w:hyperlink w:anchor="i8a4d921f96b0461ca4b5dcc2b847ded7_70">
        <w:r>
          <w:rPr>
            <w:rStyle w:val="InternetLink"/>
            <w:rFonts w:ascii="Times New Roman;serif" w:hAnsi="Times New Roman;serif"/>
            <w:b w:val="false"/>
            <w:color w:val="0000FF"/>
            <w:sz w:val="20"/>
            <w:u w:val="single"/>
          </w:rPr>
          <w:t>Fair Value Measurements</w:t>
        </w:r>
      </w:hyperlink>
      <w:r>
        <w:rPr>
          <w:color w:val="000000"/>
        </w:rPr>
        <w:t xml:space="preserve"> </w:t>
      </w:r>
      <w:r>
        <w:rPr>
          <w:rFonts w:ascii="Times New Roman;serif" w:hAnsi="Times New Roman;serif"/>
          <w:b w:val="false"/>
          <w:color w:val="000000"/>
          <w:sz w:val="20"/>
        </w:rPr>
        <w:t>for further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Gains and Losses on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gains and losses on derivative instruments included in the condensed consolidated statements of operations and the net cash receipts (payments) on derivatives for the periods presented:</w:t>
      </w:r>
    </w:p>
    <w:p>
      <w:pPr>
        <w:pStyle w:val="TextBody"/>
        <w:bidi w:val="0"/>
        <w:spacing w:before="0" w:after="0"/>
        <w:ind w:left="0" w:right="0" w:firstLine="720"/>
        <w:jc w:val="both"/>
        <w:rPr/>
      </w:pPr>
      <w:r>
        <w:rPr/>
      </w:r>
    </w:p>
    <w:tbl>
      <w:tblPr>
        <w:tblW w:w="6746" w:type="dxa"/>
        <w:jc w:val="left"/>
        <w:tblInd w:w="0" w:type="dxa"/>
        <w:tblLayout w:type="fixed"/>
        <w:tblCellMar>
          <w:top w:w="28" w:type="dxa"/>
          <w:left w:w="28" w:type="dxa"/>
          <w:bottom w:w="28" w:type="dxa"/>
          <w:right w:w="28" w:type="dxa"/>
        </w:tblCellMar>
      </w:tblPr>
      <w:tblGrid>
        <w:gridCol w:w="1335"/>
        <w:gridCol w:w="1175"/>
        <w:gridCol w:w="1179"/>
        <w:gridCol w:w="322"/>
        <w:gridCol w:w="551"/>
        <w:gridCol w:w="166"/>
        <w:gridCol w:w="166"/>
        <w:gridCol w:w="166"/>
        <w:gridCol w:w="166"/>
        <w:gridCol w:w="322"/>
        <w:gridCol w:w="551"/>
        <w:gridCol w:w="166"/>
        <w:gridCol w:w="109"/>
        <w:gridCol w:w="109"/>
        <w:gridCol w:w="109"/>
        <w:gridCol w:w="154"/>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 WTI Contingent Liability</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contracts</w:t>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discussed in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"i636f90b9a2bf4a46ad5fe64678400ed7_145"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Note 11—Fair Value Measurements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 certain assets and liabilities are reported at fair value on a recurring basis on the Company’s condensed consolidated balance sheets, including the Company’s commodity derivative instruments and in 2025, the 2026 WTI Contingent Liability.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Company’s commodity derivative contracts are measured internally using established commodity futures price strips for the underlying commodity provided by a reputable third-party, the contracted notional volumes and time to maturity. The net amounts are classified as current or noncurrent based on their anticipated settlement dates. The fair value of the 2026 WTI Contingent Liability was estimated using observable market data and a Monte Carlo pricing model, which are considered Level 2 inputs in the fair value hierarchy.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 following tables provide (i) the condensed consolidated balance sheet classification where the Company’s commodity derivative instrument assets and liabilities and for 2025, the 2026 WTI Contingent Liability are recorded, (ii) fair value measurement information, (iii) the gross amounts of recognized assets and liabilities, (iv) the amounts offset under master netting arrangements with counterparties, and (v) the resulting net amounts presented in the Company’s condensed consolidated balance sheets </w:t>
      </w:r>
      <w:r>
        <w:rPr>
          <w:rFonts w:ascii="Times New Roman;serif" w:hAnsi="Times New Roman;serif"/>
          <w:b w:val="false"/>
          <w:color w:val="000000"/>
          <w:sz w:val="20"/>
          <w:shd w:fill="FFFFFF" w:val="clear"/>
        </w:rPr>
        <w:t>as of March 31, 2026, and December 31, 2025:</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675"/>
        <w:gridCol w:w="593"/>
        <w:gridCol w:w="594"/>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23"/>
        <w:gridCol w:w="553"/>
        <w:gridCol w:w="166"/>
        <w:gridCol w:w="109"/>
        <w:gridCol w:w="109"/>
        <w:gridCol w:w="109"/>
        <w:gridCol w:w="465"/>
        <w:gridCol w:w="830"/>
        <w:gridCol w:w="241"/>
        <w:gridCol w:w="109"/>
        <w:gridCol w:w="109"/>
        <w:gridCol w:w="109"/>
        <w:gridCol w:w="454"/>
        <w:gridCol w:w="875"/>
        <w:gridCol w:w="341"/>
      </w:tblGrid>
      <w:tr>
        <w:trPr/>
        <w:tc>
          <w:tcPr>
            <w:tcW w:w="67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r>
      <w:tr>
        <w:trPr/>
        <w:tc>
          <w:tcPr>
            <w:tcW w:w="18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18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18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r>
      <w:tr>
        <w:trPr/>
        <w:tc>
          <w:tcPr>
            <w:tcW w:w="18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740"/>
        <w:gridCol w:w="650"/>
        <w:gridCol w:w="652"/>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312"/>
        <w:gridCol w:w="534"/>
        <w:gridCol w:w="161"/>
        <w:gridCol w:w="109"/>
        <w:gridCol w:w="109"/>
        <w:gridCol w:w="109"/>
        <w:gridCol w:w="426"/>
        <w:gridCol w:w="819"/>
        <w:gridCol w:w="222"/>
        <w:gridCol w:w="109"/>
        <w:gridCol w:w="109"/>
        <w:gridCol w:w="109"/>
        <w:gridCol w:w="433"/>
        <w:gridCol w:w="836"/>
        <w:gridCol w:w="325"/>
      </w:tblGrid>
      <w:tr>
        <w:trPr/>
        <w:tc>
          <w:tcPr>
            <w:tcW w:w="74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r>
      <w:tr>
        <w:trPr/>
        <w:tc>
          <w:tcPr>
            <w:tcW w:w="20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20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Gross 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Gross Amounts Offset in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Net Fair Value Presented in Balance Sheet</w:t>
            </w:r>
          </w:p>
        </w:tc>
      </w:tr>
      <w:tr>
        <w:trPr/>
        <w:tc>
          <w:tcPr>
            <w:tcW w:w="20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r>
      <w:tr>
        <w:trPr/>
        <w:tc>
          <w:tcPr>
            <w:tcW w:w="204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liabilities (2026 WTI Contingent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Not Recorded at Fair Value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6019" w:type="dxa"/>
        <w:jc w:val="left"/>
        <w:tblInd w:w="0" w:type="dxa"/>
        <w:tblLayout w:type="fixed"/>
        <w:tblCellMar>
          <w:top w:w="28" w:type="dxa"/>
          <w:left w:w="28" w:type="dxa"/>
          <w:bottom w:w="28" w:type="dxa"/>
          <w:right w:w="28" w:type="dxa"/>
        </w:tblCellMar>
      </w:tblPr>
      <w:tblGrid>
        <w:gridCol w:w="185"/>
        <w:gridCol w:w="162"/>
        <w:gridCol w:w="164"/>
        <w:gridCol w:w="294"/>
        <w:gridCol w:w="859"/>
        <w:gridCol w:w="152"/>
        <w:gridCol w:w="109"/>
        <w:gridCol w:w="109"/>
        <w:gridCol w:w="109"/>
        <w:gridCol w:w="211"/>
        <w:gridCol w:w="616"/>
        <w:gridCol w:w="109"/>
        <w:gridCol w:w="109"/>
        <w:gridCol w:w="109"/>
        <w:gridCol w:w="109"/>
        <w:gridCol w:w="294"/>
        <w:gridCol w:w="859"/>
        <w:gridCol w:w="152"/>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8"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2,186 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fair values of the Revolving Credit Facility and at December 31, 2025, the Term Loan, approximate their carrying values based on borrowing rates available to the Company for bank loans with similar terms and maturities and are classified as Level 2 in the fair value hierarchy. The fair values of the Guaranteed Senior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Assets and Liabilities Measured at Fair Value on a Nonrecurring Basis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Certain assets and liabilities are measured at fair value on a nonrecurring basis in certain circumstances. These assets and liabilities can include mineral and royalty interests acquired in asset acquisitions and subsequent write-downs of the Company’s proved oil and natural gas properties to fair value when they are impaired or held for sale.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has other financial instruments consisting of cash and cash equivalents, royalty income receivables, income tax receivables, certain prepaid expenses and other current assets, accounts payable, accrued liabilities and income taxes payable. The carrying value of these instruments approximates their fair values because of the short-term nature of the instruments.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12.    COMMITMENTS AND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 is a party to various routine legal proceedings, disputes and claims from time to time arising in the ordinary course of its business.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Viper Energy,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 - (Continued)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13.    SUBSEQUENT EVENTS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Pending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2026, the Company and Viper Energy Partners LP, an indirect wholly owned subsidiary of the Company, entered into a definitive purchase and sale agreement to acquire all of the equity interests of Riverbend Oil &amp; Gas IX, L.L.C., an entity owning certain mineral and royalty interests, from Riverbend Oil &amp; Gas IX (AIV), L.L.C. and ROG IX, L.L.C. (collectively, “Riverbend”) for consideration consisting of (i) approximately $337 million in cash, and (ii) 3,689,865 shares of the Company’s Class A Common Stock, in each case, subject to customary closing adjustments (the “Pending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mineral and royalty interests to be acquired in the Pending Riverbend Acquisition represent approximately 3,064 net royalty acres in the Permian Basin with expected next 12 months’ average oil production of approximately 2,000 BO/d, and expected to add approximately 1,000 BO/d of production to the midpoint of the Company’s standalone full year production guidance.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Pending Riverbend Acquisition is expected to close during the third quarter of 2026, subject to customary closing conditions. The Company intends to fund the cash portion of the Pending Riverbend Acquisition through a combination of cash on hand and borrowings under the Company’s Revolving Credit Facility.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Cash Dividend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April 29, 2026, our board of directors approved a cash dividend for the first quarter of 2026 of $0.68 per share of Class A Common Stock and $0.86 per OpCo Unit, in each case, payable on May 21, 2026, to holders of record at the close of business on May 14, 2026. The dividend on Class A Common Stock consists of a base quarterly dividend of $0.38 per share and a variable quarterly dividend of $0.30 per share.</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The Company is managed on a consolidated basis as a single operating and reportable segment which is focused on owning and acquiring mineral and royalty interests primarily in the Permian Basin in West Texas. The Company’s operating segment primarily derives its revenue from customers through the receipt of royalty income on the sale of oil and natural gas products as well as other immaterial service contracts. See Note 3—</w:t>
      </w:r>
      <w:hyperlink w:anchor="i8a4d921f96b0461ca4b5dcc2b847ded7_46">
        <w:r>
          <w:rPr>
            <w:rStyle w:val="InternetLink"/>
            <w:rFonts w:ascii="Times New Roman;serif" w:hAnsi="Times New Roman;serif"/>
            <w:b w:val="false"/>
            <w:color w:val="0000FF"/>
            <w:sz w:val="20"/>
            <w:u w:val="single"/>
          </w:rPr>
          <w:t>Revenue from Contracts with Customers</w:t>
        </w:r>
      </w:hyperlink>
      <w:r>
        <w:rPr>
          <w:color w:val="000000"/>
        </w:rPr>
        <w:t xml:space="preserve"> </w:t>
      </w:r>
      <w:r>
        <w:rPr>
          <w:rFonts w:ascii="Times New Roman;serif" w:hAnsi="Times New Roman;serif"/>
          <w:b w:val="false"/>
          <w:color w:val="000000"/>
          <w:sz w:val="20"/>
        </w:rPr>
        <w:t>for further discussion of the Company’s sources of revenue.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Company’s Chief Operating Decision Maker (“CODM”), a senior executive committee that is comprised of the Company’s Chief Executive Officer and President, uses the Company’s condensed consolidated financial results to assess performance, allocate resources and make key operating decisions, obtaining the board’s approval as required. The measures of segment profit or loss and total assets utilized by the CODM are net income and total assets, as reported on the condensed consolidated statements of operations and the condensed consolidated balance sheets, respectively. The significant expense categories, their amounts and other segment items that are regularly provided to the CODM are those that are reported in the Company’s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CODM uses consolidated net income as a measure of profitability to evaluate segment performance and to make capital allocation decisions such as reinvestment in the business or return of capital through the payment of base and variable dividends or repurchases under the share repurchase program.</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The following discussion and analysis should be read in conjunction with our unaudited condensed consolidated financial statements and notes thereto presented in this report as well as our audited financial statements and notes thereto included in our </w:t>
      </w:r>
      <w:hyperlink r:id="rId3">
        <w:r>
          <w:rPr>
            <w:rStyle w:val="InternetLink"/>
            <w:rFonts w:ascii="Times New Roman;serif" w:hAnsi="Times New Roman;serif"/>
            <w:b w:val="false"/>
            <w:i/>
            <w:color w:val="0000FF"/>
            <w:sz w:val="20"/>
            <w:u w:val="single"/>
          </w:rPr>
          <w:t>Annual Report on Form 10-K</w:t>
        </w:r>
      </w:hyperlink>
      <w:r>
        <w:rPr>
          <w:color w:val="000000"/>
        </w:rPr>
        <w:t xml:space="preserve"> </w:t>
      </w:r>
      <w:r>
        <w:rPr>
          <w:rFonts w:ascii="Times New Roman;serif" w:hAnsi="Times New Roman;serif"/>
          <w:b w:val="false"/>
          <w:i/>
          <w:color w:val="000000"/>
          <w:sz w:val="20"/>
        </w:rPr>
        <w:t xml:space="preserve">for the year ended December 31, 2025.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i8a4d921f96b0461ca4b5dcc2b847ded7_145">
        <w:r>
          <w:rPr>
            <w:rStyle w:val="InternetLink"/>
            <w:rFonts w:ascii="Times New Roman;serif" w:hAnsi="Times New Roman;serif"/>
            <w:b w:val="false"/>
            <w:i/>
            <w:color w:val="0000FF"/>
            <w:sz w:val="20"/>
            <w:u w:val="single"/>
          </w:rPr>
          <w:t>Part II. Item 1A. Risk Factors</w:t>
        </w:r>
      </w:hyperlink>
      <w:r>
        <w:rPr>
          <w:rFonts w:ascii="Times New Roman;serif" w:hAnsi="Times New Roman;serif"/>
          <w:b w:val="false"/>
          <w:i/>
          <w:color w:val="000000"/>
          <w:sz w:val="20"/>
        </w:rPr>
        <w:t xml:space="preserve">, </w:t>
      </w:r>
      <w:r>
        <w:fldChar w:fldCharType="begin"/>
      </w:r>
      <w:r>
        <w:rPr>
          <w:rStyle w:val="InternetLink"/>
          <w:sz w:val="20"/>
          <w:i/>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i/>
          <w:u w:val="single"/>
          <w:b w:val="false"/>
          <w:rFonts w:ascii="Times New Roman;serif" w:hAnsi="Times New Roman;serif"/>
          <w:color w:val="0000FF"/>
        </w:rPr>
        <w:fldChar w:fldCharType="separate"/>
      </w:r>
      <w:r>
        <w:rPr>
          <w:rStyle w:val="InternetLink"/>
          <w:rFonts w:ascii="Times New Roman;serif" w:hAnsi="Times New Roman;serif"/>
          <w:b w:val="false"/>
          <w:i/>
          <w:color w:val="0000FF"/>
          <w:sz w:val="20"/>
          <w:u w:val="single"/>
        </w:rPr>
        <w:t>Part I. Item 1A. Risk Factors in our Annual Report on Form 10-K</w:t>
      </w:r>
      <w:r>
        <w:rPr>
          <w:rStyle w:val="InternetLink"/>
          <w:sz w:val="20"/>
          <w:i/>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i/>
          <w:color w:val="000000"/>
          <w:sz w:val="20"/>
        </w:rPr>
        <w:t xml:space="preserve">for the year ended December 31, 2025 and </w:t>
      </w:r>
      <w:hyperlink w:anchor="i8a4d921f96b0461ca4b5dcc2b847ded7_16">
        <w:r>
          <w:rPr>
            <w:rStyle w:val="InternetLink"/>
            <w:rFonts w:ascii="Times New Roman;serif" w:hAnsi="Times New Roman;serif"/>
            <w:b w:val="false"/>
            <w:i/>
            <w:color w:val="0000FF"/>
            <w:sz w:val="20"/>
            <w:u w:val="single"/>
          </w:rPr>
          <w:t>Cautionary Statement Regarding Forward-Looking Statements</w:t>
        </w:r>
      </w:hyperlink>
      <w:r>
        <w:rPr>
          <w:rFonts w:ascii="Times New Roman;serif" w:hAnsi="Times New Roman;serif"/>
          <w:b w:val="false"/>
          <w:i/>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We are a publicly traded Delaware corporation focused on owning and acquiring mineral and royalty interests in oil and natural gas properties primarily in the Permian Basin. We operate in one reportable segment.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Pending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May 1, 2026, we and Viper Energy Partners LP entered into a definitive purchase and sale agreement to acquire all of the equity interests of Riverbend Oil &amp; Gas IX, L.L.C., from Riverbend for consideration consisting of (i) approximately $337 million in cash, and (ii) 3,689,865 shares of our Class A Common Stock, in each case, subject to customary closing adjustments. The mineral and royalty interests to be acquired in the Pending Riverbend Acquisition represent approximately 3,064 net royalty acres in the Permian Basin. The Pending Riverbend Acquisition is expected to close during the third quarter of 2026, subject to customary closing conditions. See Note 13—</w:t>
      </w:r>
      <w:hyperlink w:anchor="i8a4d921f96b0461ca4b5dcc2b847ded7_76">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the Pending Riverbend Acquisition.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Secondary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March 4, 2026, we completed the 2026 Secondary Offering, which authorized the Selling Stockholders to sell an aggregate of (i) 17,391,304 shares of Class A Common Stock, and (ii) up to an additional 2,608,696 shares of Class A Common Stock at the public offering price of $45.90. On March 19, 2026, the Underwriters exercised a portion of the Underwriter Option and purchased an additional 954,809 shares of Class A Common Stock. We did not receive any proceeds from the 2026 Secondary Offering or the Shoe Exercise.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Increase in Repurchase Program Authorization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On F</w:t>
      </w:r>
      <w:r>
        <w:rPr>
          <w:rFonts w:ascii="Times New Roman;serif" w:hAnsi="Times New Roman;serif"/>
          <w:b w:val="false"/>
          <w:color w:val="000000"/>
          <w:sz w:val="20"/>
          <w:shd w:fill="FFFFFF" w:val="clear"/>
        </w:rPr>
        <w:t>ebruary 18, 2026</w:t>
      </w:r>
      <w:r>
        <w:rPr>
          <w:rFonts w:ascii="Times New Roman;serif" w:hAnsi="Times New Roman;serif"/>
          <w:b w:val="false"/>
          <w:color w:val="000000"/>
          <w:sz w:val="20"/>
        </w:rPr>
        <w:t>, our board of directors approved an increase in authorization under our existing repurchase program from $750 million to $1.75 billion, excluding excise tax. As of May 1, 2026, approximately $1.14 billion remained available for future repurchases under our repurchase program, excluding excise tax.</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Divestiture Update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Divestiture of Non-Permian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February 9, 2026, we completed the Non-Permian Divestiture for net cash proceeds of approximately $610 million, including transaction costs and customary post-closing adjustments. The divested properties consisted of approximately 9,400 net royalty acres in the Denver-Julesburg, Eagle Ford and Williston basins with then-current production of approximately 4,750 BO/d. Proceeds from the Non-Permian Divestiture were used to (i) repay the $500 million Term Loan in full, (ii) fully repay $90 million of then-outstanding borrowings under our Revolving Credit Facility, and (iii) for general corporate purposes.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At March 31, 2026, our footprint of mineral and royalty interests totaled approximately 86,639 net royalty acres, approximately 38% of which are operated by Diamondback. See Note 4—</w:t>
      </w:r>
      <w:hyperlink w:anchor="i8a4d921f96b0461ca4b5dcc2b847ded7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our acquisitions and divestitures.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Commodity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Prices for oil, natural gas and natural gas liquids are determined primarily by prevailing market conditions. Geopolitical global conflicts, tariffs or other trade barriers and any resulting trade tensions, regional and worldwide economic activity, changes in trade or other government policies or regulations, including with respect to U.S. energy and monetary policies, extreme weather conditions and other substantially variable factors influence market conditions for these products. For example, in the last quarter the global crude oil market shifted from a supply-demand surplus to a deficit, materially reducing crude oil and refined products from the markets, and increasing benchmark crude oil prices. These factors are beyond our control and are difficult to predict. OPEC+ continues to meet regularly to evaluate the state of global oil supply, demand and inventory levels and can heavily influence volatility in oil prices. During the three months ended March 31, 2026, and 2025, WTI prices averaged $72.67 and $71.42 per Bbl, respectively, and Henry Hub prices averaged $3.47 and $3.87 per MMBtu, respectively.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Production and Operational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there were 88 gross rigs operating on our mineral and royalty acreage, 13 of which are operated by Diamondback. We delivered a strong start to 2026, with first quarter production exceeding expectations and an increased growth outlook for the remainder of 2026. With the Pending Riverbend Acquisition, we continue our strategy to consolidate the highly fragmented minerals and royalty sector. Currently, excluding the Pending Riverbend Acquisition, we estimate full year production levels in 2026 may range between approximately 126 MBOE/d to 130 MBOE/d.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gross well information for the first quarter ended March 31, 2026:</w:t>
      </w:r>
    </w:p>
    <w:p>
      <w:pPr>
        <w:pStyle w:val="TextBody"/>
        <w:bidi w:val="0"/>
        <w:spacing w:before="0" w:after="0"/>
        <w:ind w:left="0" w:right="0" w:firstLine="720"/>
        <w:jc w:val="both"/>
        <w:rPr/>
      </w:pPr>
      <w:r>
        <w:rPr/>
      </w:r>
    </w:p>
    <w:tbl>
      <w:tblPr>
        <w:tblW w:w="9023" w:type="dxa"/>
        <w:jc w:val="left"/>
        <w:tblInd w:w="0" w:type="dxa"/>
        <w:tblLayout w:type="fixed"/>
        <w:tblCellMar>
          <w:top w:w="28" w:type="dxa"/>
          <w:left w:w="28" w:type="dxa"/>
          <w:bottom w:w="28" w:type="dxa"/>
          <w:right w:w="28" w:type="dxa"/>
        </w:tblCellMar>
      </w:tblPr>
      <w:tblGrid>
        <w:gridCol w:w="1402"/>
        <w:gridCol w:w="1232"/>
        <w:gridCol w:w="1235"/>
        <w:gridCol w:w="437"/>
        <w:gridCol w:w="437"/>
        <w:gridCol w:w="1091"/>
        <w:gridCol w:w="109"/>
        <w:gridCol w:w="109"/>
        <w:gridCol w:w="109"/>
        <w:gridCol w:w="399"/>
        <w:gridCol w:w="399"/>
        <w:gridCol w:w="1001"/>
        <w:gridCol w:w="109"/>
        <w:gridCol w:w="109"/>
        <w:gridCol w:w="109"/>
        <w:gridCol w:w="203"/>
        <w:gridCol w:w="203"/>
        <w:gridCol w:w="330"/>
      </w:tblGrid>
      <w:tr>
        <w:trPr/>
        <w:tc>
          <w:tcPr>
            <w:tcW w:w="1402"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Diamondback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Third-Party Operated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Q1 2026 horizontal wells turned to production</w:t>
            </w:r>
            <w:r>
              <w:rPr>
                <w:rFonts w:ascii="Times New Roman;serif" w:hAnsi="Times New Roman;serif"/>
                <w:b/>
                <w:color w:val="000000"/>
                <w:sz w:val="12"/>
              </w:rPr>
              <w:t>(1)</w:t>
            </w:r>
            <w:r>
              <w:rPr>
                <w:rFonts w:ascii="Times New Roman;serif" w:hAnsi="Times New Roman;serif"/>
                <w:b/>
                <w:color w:val="000000"/>
                <w:sz w:val="18"/>
              </w:rPr>
              <w:t>:</w:t>
            </w:r>
          </w:p>
        </w:tc>
        <w:tc>
          <w:tcPr>
            <w:tcW w:w="19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655</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Horizontal producing well count: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20,413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24,622</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584.4</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Horizontal active development well count</w:t>
            </w:r>
            <w:r>
              <w:rPr>
                <w:rFonts w:ascii="Times New Roman;serif" w:hAnsi="Times New Roman;serif"/>
                <w:b/>
                <w:color w:val="000000"/>
                <w:sz w:val="12"/>
              </w:rPr>
              <w:t>(2)</w:t>
            </w:r>
            <w:r>
              <w:rPr>
                <w:rFonts w:ascii="Times New Roman;serif" w:hAnsi="Times New Roman;serif"/>
                <w:b/>
                <w:color w:val="000000"/>
                <w:sz w:val="18"/>
              </w:rPr>
              <w:t>:</w:t>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1,370</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18"/>
              </w:rPr>
              <w:t>Line of sight wells</w:t>
            </w:r>
            <w:r>
              <w:rPr>
                <w:rFonts w:ascii="Times New Roman;serif" w:hAnsi="Times New Roman;serif"/>
                <w:b/>
                <w:color w:val="000000"/>
                <w:sz w:val="12"/>
              </w:rPr>
              <w:t>(3)</w:t>
            </w:r>
            <w:r>
              <w:rPr>
                <w:rFonts w:ascii="Times New Roman;serif" w:hAnsi="Times New Roman;serif"/>
                <w:b/>
                <w:color w:val="000000"/>
                <w:sz w:val="18"/>
              </w:rPr>
              <w:t>:</w:t>
            </w:r>
          </w:p>
        </w:tc>
        <w:tc>
          <w:tcPr>
            <w:tcW w:w="1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wells</w:t>
            </w:r>
          </w:p>
        </w:tc>
        <w:tc>
          <w:tcPr>
            <w:tcW w:w="19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1,351</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100% royalty interest wells</w:t>
            </w:r>
          </w:p>
        </w:tc>
        <w:tc>
          <w:tcPr>
            <w:tcW w:w="19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percent net royalty interest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0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(1)Average lateral length of 11,583 feet.</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total 1,370 gross wells currently in the process of active development are those wells that have been spud and are expected to be turned to production within approximately the next six to eight months.</w:t>
      </w:r>
    </w:p>
    <w:p>
      <w:pPr>
        <w:pStyle w:val="TextBody"/>
        <w:bidi w:val="0"/>
        <w:spacing w:lineRule="auto" w:line="288" w:before="0" w:after="0"/>
        <w:ind w:left="0" w:right="0" w:hanging="360"/>
        <w:jc w:val="both"/>
        <w:rPr/>
      </w:pPr>
      <w:r>
        <w:rPr>
          <w:rFonts w:ascii="Times New Roman;serif" w:hAnsi="Times New Roman;serif"/>
          <w:b w:val="false"/>
          <w:color w:val="000000"/>
          <w:sz w:val="20"/>
        </w:rPr>
        <w:t>(3)The total 1,351 gross line-of-sight wells are those that are not currently in the process of active development, but for which we have reason to believe will be turned to production within approximately the next 15 to 18 months. The expected timing of th</w:t>
      </w:r>
      <w:r>
        <w:rPr>
          <w:rFonts w:ascii="Times New Roman;serif" w:hAnsi="Times New Roman;serif"/>
          <w:b w:val="false"/>
          <w:color w:val="000000"/>
          <w:sz w:val="20"/>
          <w:shd w:fill="FFFFFF" w:val="clear"/>
        </w:rPr>
        <w:t>ese line-of-sight wells is based primarily on permitting by third-party operators or Diamondback’s current expected completion schedule. Existing permits or active development of our royalty acreage does not ensure that those wells will be turned to production given th</w:t>
      </w:r>
      <w:r>
        <w:rPr>
          <w:rFonts w:ascii="Times New Roman;serif" w:hAnsi="Times New Roman;serif"/>
          <w:b w:val="false"/>
          <w:color w:val="000000"/>
          <w:sz w:val="20"/>
        </w:rPr>
        <w:t>e volatility in oil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December 31,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and expenses for the periods indicated:</w:t>
      </w:r>
    </w:p>
    <w:p>
      <w:pPr>
        <w:pStyle w:val="TextBody"/>
        <w:bidi w:val="0"/>
        <w:spacing w:before="0" w:after="0"/>
        <w:ind w:left="0" w:right="0" w:firstLine="720"/>
        <w:jc w:val="both"/>
        <w:rPr/>
      </w:pPr>
      <w:r>
        <w:rPr/>
      </w:r>
    </w:p>
    <w:tbl>
      <w:tblPr>
        <w:tblW w:w="7917" w:type="dxa"/>
        <w:jc w:val="left"/>
        <w:tblInd w:w="0" w:type="dxa"/>
        <w:tblLayout w:type="fixed"/>
        <w:tblCellMar>
          <w:top w:w="28" w:type="dxa"/>
          <w:left w:w="28" w:type="dxa"/>
          <w:bottom w:w="28" w:type="dxa"/>
          <w:right w:w="28" w:type="dxa"/>
        </w:tblCellMar>
      </w:tblPr>
      <w:tblGrid>
        <w:gridCol w:w="1705"/>
        <w:gridCol w:w="1500"/>
        <w:gridCol w:w="1505"/>
        <w:gridCol w:w="346"/>
        <w:gridCol w:w="765"/>
        <w:gridCol w:w="179"/>
        <w:gridCol w:w="109"/>
        <w:gridCol w:w="109"/>
        <w:gridCol w:w="109"/>
        <w:gridCol w:w="387"/>
        <w:gridCol w:w="918"/>
        <w:gridCol w:w="285"/>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07"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3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Impairment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689 </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11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(267)</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1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w:t>
            </w:r>
          </w:p>
        </w:tc>
        <w:tc>
          <w:tcPr>
            <w:tcW w:w="2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8771" w:type="dxa"/>
        <w:jc w:val="left"/>
        <w:tblInd w:w="0" w:type="dxa"/>
        <w:tblLayout w:type="fixed"/>
        <w:tblCellMar>
          <w:top w:w="28" w:type="dxa"/>
          <w:left w:w="28" w:type="dxa"/>
          <w:bottom w:w="28" w:type="dxa"/>
          <w:right w:w="28" w:type="dxa"/>
        </w:tblCellMar>
      </w:tblPr>
      <w:tblGrid>
        <w:gridCol w:w="2013"/>
        <w:gridCol w:w="1774"/>
        <w:gridCol w:w="1777"/>
        <w:gridCol w:w="291"/>
        <w:gridCol w:w="849"/>
        <w:gridCol w:w="150"/>
        <w:gridCol w:w="109"/>
        <w:gridCol w:w="109"/>
        <w:gridCol w:w="109"/>
        <w:gridCol w:w="342"/>
        <w:gridCol w:w="999"/>
        <w:gridCol w:w="249"/>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6,110 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19,668 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12,328 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66,413 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130,711 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134,000 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w:t>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58.43 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57.28 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0.81 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9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(3)Hedged prices reflect the impact of cash settlements of our matured commodity derivative transactions on our average sales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changes in our revenues and expenses between the first quarter of 2026 and the fourth quarter of 2025 are discussed further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Royalty Income. </w:t>
      </w:r>
      <w:r>
        <w:rPr>
          <w:rFonts w:ascii="Times New Roman;serif" w:hAnsi="Times New Roman;serif"/>
          <w:b w:val="false"/>
          <w:color w:val="000000"/>
          <w:sz w:val="20"/>
        </w:rPr>
        <w:t>Our royalty income is a function of oil, natural gas and natural gas liquids production volumes sold and average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increased by $74 million during the first quarter of 2026 compared to the fourth quarter of 2025. This net increase consisted of an additional $91 million in royalty income attributable to higher average commodity prices received primarily for our oil production in the first quarter of 2026 compared to the fourth quarter of 2025, partially offset by a reduction of $17 million due to a 5% decrease in our production.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Of the 5% decrease in production, approximately 3% was attributable to the Non-Permian Divestiture, with the remaining change largely due to having two fewer days in the first quarter of 2026 compared to the fourth quarter of 2025. See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erif" w:hAnsi="Times New Roman;serif"/>
          <w:b w:val="false"/>
          <w:color w:val="000000"/>
          <w:sz w:val="20"/>
        </w:rPr>
        <w:t>Note 4—</w:t>
      </w:r>
      <w:hyperlink w:anchor="i8a4d921f96b0461ca4b5dcc2b847ded7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and Ad Valorem Taxes. </w:t>
      </w:r>
      <w:r>
        <w:rPr>
          <w:rFonts w:ascii="Times New Roman;serif" w:hAnsi="Times New Roman;serif"/>
          <w:b w:val="false"/>
          <w:color w:val="000000"/>
          <w:sz w:val="20"/>
        </w:rPr>
        <w:t>The following table presents production and ad valorem taxes</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periods indicated</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2"/>
        <w:gridCol w:w="633"/>
        <w:gridCol w:w="271"/>
        <w:gridCol w:w="466"/>
        <w:gridCol w:w="141"/>
        <w:gridCol w:w="109"/>
        <w:gridCol w:w="109"/>
        <w:gridCol w:w="109"/>
        <w:gridCol w:w="211"/>
        <w:gridCol w:w="511"/>
        <w:gridCol w:w="109"/>
        <w:gridCol w:w="109"/>
        <w:gridCol w:w="109"/>
        <w:gridCol w:w="109"/>
        <w:gridCol w:w="346"/>
        <w:gridCol w:w="346"/>
        <w:gridCol w:w="864"/>
        <w:gridCol w:w="109"/>
        <w:gridCol w:w="109"/>
        <w:gridCol w:w="109"/>
        <w:gridCol w:w="271"/>
        <w:gridCol w:w="466"/>
        <w:gridCol w:w="141"/>
        <w:gridCol w:w="109"/>
        <w:gridCol w:w="109"/>
        <w:gridCol w:w="109"/>
        <w:gridCol w:w="211"/>
        <w:gridCol w:w="511"/>
        <w:gridCol w:w="109"/>
        <w:gridCol w:w="109"/>
        <w:gridCol w:w="109"/>
        <w:gridCol w:w="109"/>
        <w:gridCol w:w="331"/>
        <w:gridCol w:w="326"/>
        <w:gridCol w:w="956"/>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taxes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Ad valorem taxes are based, among other factors, on property values driven by prior year commodity prices. Production taxes and ad valorem taxes as a percentage of royalty income for the first quarter of 2026 were relatively consistent with the fourth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Depletion. </w:t>
      </w:r>
      <w:r>
        <w:rPr>
          <w:rFonts w:ascii="Times New Roman;serif" w:hAnsi="Times New Roman;serif"/>
          <w:b w:val="false"/>
          <w:color w:val="000000"/>
          <w:sz w:val="20"/>
        </w:rPr>
        <w:t>The decrease in depletion expense of $28 million for the first quarter of 2026 compared to the fourth quarter of 2025 consisted primarily of (i) $17 million due to a reduction in the depletion rate to $17.51 per BOE for the first quarter of 2026 compared to $18.98 per BOE for the fourth quarter of 2025, and (ii) $11 million from the decline in production volumes. The rate decrease largely resulted from reductions in the depletable base related to the Non-Permian Divestiture and the ceiling test impairment recorded in the fourth quarter of 2025 as discussed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Impairment.</w:t>
      </w:r>
      <w:r>
        <w:rPr>
          <w:color w:val="000000"/>
        </w:rPr>
        <w:t xml:space="preserve"> </w:t>
      </w:r>
      <w:r>
        <w:rPr>
          <w:rFonts w:ascii="Times New Roman;serif" w:hAnsi="Times New Roman;serif"/>
          <w:b w:val="false"/>
          <w:color w:val="000000"/>
          <w:sz w:val="20"/>
        </w:rPr>
        <w:t>No impairment expense was recorded in the first quarter of 2026. In the fourth quarter of 2025, we recorded a non-cash ceiling test impairment charge of $408 million due to the carrying value of our proved reserves exceeding their estimated future net cash flows utilizing the SEC’s methodology and pricing at December 31, 2025. The excess value resulted primarily from recording properties acquired in the 2025 Drop Down at the seller’s historical carrying value, which exceeded the value calculated in the ceiling test due primarily to declining SEC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Impairment charges affect our results of operations but do not reduce our cash flow. In addition to commodity prices, our production rates, levels of proved reserves, transfers of unevaluated properties, income tax rate assumptions and other factors will determine our actual ceiling test calculation and impairment analysis in future periods. Given the overall increase in SEC Prices through the first quarter of 2026 and into the second quarter of 2026, we currently do not anticipate recording a material non-cash impairment of our assets in the second quarter of 2026; however, based on the number of factors that may impact our future estimate of proved reserves, we could have material write-downs in subsequent quarters.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Interest Expense, Net. </w:t>
      </w:r>
      <w:r>
        <w:rPr>
          <w:rFonts w:ascii="Times New Roman;serif" w:hAnsi="Times New Roman;serif"/>
          <w:b w:val="false"/>
          <w:color w:val="000000"/>
          <w:sz w:val="20"/>
        </w:rPr>
        <w:t>Interest expense, net decreased by approximately $9 million in the first quarter of 2026 compared to the fourth quarter of 2025, primarily due to the repayment of the Term Loan in February 2026 and the early termination of the Notes in the fourth quarter of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Derivative Instruments. </w:t>
      </w:r>
      <w:r>
        <w:rPr>
          <w:rFonts w:ascii="Times New Roman;serif" w:hAnsi="Times New Roman;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6856" w:type="dxa"/>
        <w:jc w:val="left"/>
        <w:tblInd w:w="0" w:type="dxa"/>
        <w:tblLayout w:type="fixed"/>
        <w:tblCellMar>
          <w:top w:w="28" w:type="dxa"/>
          <w:left w:w="28" w:type="dxa"/>
          <w:bottom w:w="28" w:type="dxa"/>
          <w:right w:w="28" w:type="dxa"/>
        </w:tblCellMar>
      </w:tblPr>
      <w:tblGrid>
        <w:gridCol w:w="1313"/>
        <w:gridCol w:w="1156"/>
        <w:gridCol w:w="1160"/>
        <w:gridCol w:w="399"/>
        <w:gridCol w:w="684"/>
        <w:gridCol w:w="206"/>
        <w:gridCol w:w="116"/>
        <w:gridCol w:w="116"/>
        <w:gridCol w:w="116"/>
        <w:gridCol w:w="462"/>
        <w:gridCol w:w="790"/>
        <w:gridCol w:w="338"/>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 xml:space="preserve">Three Months Ended </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39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39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The $5 million decrease in the gain on derivative instruments, net in the first quarter of 2026 compared to the fourth quarter of 2025 consisted primarily of (i) a reduction of approximately $9 million in the value of our open oil contracts, (ii) a gain of approximately $7 million on our 2026 WTI Contingent Liability recorded in the fourth quarter of 2025, and (iii) a reduction of approximately $3 million in the value of our open natural gas contracts primarily due to changes in the differential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between prices for Waha Hub and Henry Hub. These decreases in the gain on derivative instruments were partially offset by an increase of approximately $12 million in cash receipts on settled natural gas basis swaps, and other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10—</w:t>
      </w:r>
      <w:hyperlink w:anchor="i8a4d921f96b0461ca4b5dcc2b847ded7_6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open contracts at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$49 million change to income tax expense in the first quarter of 2026 from income tax benefit in the fourth quarter of 2025 was primarily driven by the $408 million non-cash impairment recorded in the fourth quarter of 2025. See Note 9—</w:t>
      </w:r>
      <w:hyperlink w:anchor="i8a4d921f96b0461ca4b5dcc2b847ded7_64">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income tax expense.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Net Income (Loss) Attributable to Non-Controlling Interest. </w:t>
      </w:r>
      <w:r>
        <w:rPr>
          <w:rFonts w:ascii="Times New Roman;serif" w:hAnsi="Times New Roman;serif"/>
          <w:b w:val="false"/>
          <w:color w:val="000000"/>
          <w:sz w:val="20"/>
        </w:rPr>
        <w:t>The change to $118 million in net income attributable to non-controlling interest for the first quarter of 2026 from a net loss attributable to non-controlling interest of $143 million in the fourth quarter of 2025 was primarily due to (i) the $408 million non-cash impairment recorded in the fourth quarter of 2025, and (ii) a dilution of the non-controlling interest following the 2026 Secondary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income and expenses for the periods indicated:</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705"/>
        <w:gridCol w:w="1500"/>
        <w:gridCol w:w="1505"/>
        <w:gridCol w:w="285"/>
        <w:gridCol w:w="629"/>
        <w:gridCol w:w="147"/>
        <w:gridCol w:w="147"/>
        <w:gridCol w:w="147"/>
        <w:gridCol w:w="147"/>
        <w:gridCol w:w="285"/>
        <w:gridCol w:w="629"/>
        <w:gridCol w:w="208"/>
      </w:tblGrid>
      <w:tr>
        <w:trPr/>
        <w:tc>
          <w:tcPr>
            <w:tcW w:w="1705"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71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62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Operating income:</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income</w:t>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income</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income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Royalty income</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bonus income—related party</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Costs and expenses:</w:t>
            </w:r>
          </w:p>
        </w:tc>
        <w:tc>
          <w:tcPr>
            <w:tcW w:w="10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expenses—related party</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from operations</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Other income (expense):</w:t>
            </w:r>
          </w:p>
        </w:tc>
        <w:tc>
          <w:tcPr>
            <w:tcW w:w="10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early extinguishment of debt</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(benefit from) income taxes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215 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non-controlling interest</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Viper Energy, Inc.</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production data, average sales prices and average costs for the periods indicated:</w:t>
      </w:r>
    </w:p>
    <w:p>
      <w:pPr>
        <w:pStyle w:val="TextBody"/>
        <w:bidi w:val="0"/>
        <w:spacing w:before="0" w:after="0"/>
        <w:ind w:left="0" w:right="0" w:firstLine="720"/>
        <w:jc w:val="both"/>
        <w:rPr/>
      </w:pPr>
      <w:r>
        <w:rPr/>
      </w:r>
    </w:p>
    <w:tbl>
      <w:tblPr>
        <w:tblW w:w="8184" w:type="dxa"/>
        <w:jc w:val="left"/>
        <w:tblInd w:w="0" w:type="dxa"/>
        <w:tblLayout w:type="fixed"/>
        <w:tblCellMar>
          <w:top w:w="28" w:type="dxa"/>
          <w:left w:w="28" w:type="dxa"/>
          <w:bottom w:w="28" w:type="dxa"/>
          <w:right w:w="28" w:type="dxa"/>
        </w:tblCellMar>
      </w:tblPr>
      <w:tblGrid>
        <w:gridCol w:w="2013"/>
        <w:gridCol w:w="1774"/>
        <w:gridCol w:w="1777"/>
        <w:gridCol w:w="246"/>
        <w:gridCol w:w="720"/>
        <w:gridCol w:w="127"/>
        <w:gridCol w:w="127"/>
        <w:gridCol w:w="127"/>
        <w:gridCol w:w="127"/>
        <w:gridCol w:w="246"/>
        <w:gridCol w:w="720"/>
        <w:gridCol w:w="180"/>
      </w:tblGrid>
      <w:tr>
        <w:trPr/>
        <w:tc>
          <w:tcPr>
            <w:tcW w:w="2013" w:type="dxa"/>
            <w:tcBorders/>
            <w:vAlign w:val="center"/>
          </w:tcPr>
          <w:p>
            <w:pPr>
              <w:pStyle w:val="TableContents"/>
              <w:bidi w:val="0"/>
              <w:spacing w:before="0" w:after="283"/>
              <w:jc w:val="left"/>
              <w:rPr>
                <w:sz w:val="4"/>
                <w:szCs w:val="4"/>
              </w:rPr>
            </w:pPr>
            <w:r>
              <w:rPr>
                <w:sz w:val="4"/>
                <w:szCs w:val="4"/>
              </w:rPr>
            </w:r>
          </w:p>
        </w:tc>
        <w:tc>
          <w:tcPr>
            <w:tcW w:w="177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Production data:</w:t>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(MMcf)</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18,088 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7,221 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(MBbls)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volumes (MBOE)</w:t>
            </w:r>
            <w:r>
              <w:rPr>
                <w:rFonts w:ascii="Times New Roman;serif" w:hAnsi="Times New Roman;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11,764 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5,164 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oil volumes (BO/d)</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65,000 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31,311 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Average daily combined volumes (BOE/d)</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130,711 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57,378 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sales prices:</w:t>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Oil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($/Mcf)</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($/Bbl)</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($/BOE)</w:t>
            </w:r>
            <w:r>
              <w:rPr>
                <w:rFonts w:ascii="Times New Roman;serif" w:hAnsi="Times New Roman;serif"/>
                <w:b w:val="false"/>
                <w:color w:val="000000"/>
                <w:sz w:val="13"/>
              </w:rPr>
              <w:t>(2)</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47.25 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Oil, hedged ($/Bbl)</w:t>
            </w:r>
            <w:r>
              <w:rPr>
                <w:rFonts w:ascii="Times New Roman;serif" w:hAnsi="Times New Roman;serif"/>
                <w:b w:val="false"/>
                <w:color w:val="000000"/>
                <w:sz w:val="13"/>
              </w:rPr>
              <w:t>(3)</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70.26 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hedged ($/Mcf)</w:t>
            </w:r>
            <w:r>
              <w:rPr>
                <w:rFonts w:ascii="Times New Roman;serif" w:hAnsi="Times New Roman;serif"/>
                <w:b w:val="false"/>
                <w:color w:val="000000"/>
                <w:sz w:val="13"/>
              </w:rPr>
              <w:t>(3)</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Natural gas liquids ($/Bbl)</w:t>
            </w:r>
            <w:r>
              <w:rPr>
                <w:rFonts w:ascii="Times New Roman;serif" w:hAnsi="Times New Roman;serif"/>
                <w:b w:val="false"/>
                <w:color w:val="000000"/>
                <w:sz w:val="13"/>
              </w:rPr>
              <w:t>(3)</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Combined price, hedged ($/BOE)</w:t>
            </w:r>
            <w:r>
              <w:rPr>
                <w:rFonts w:ascii="Times New Roman;serif" w:hAnsi="Times New Roman;serif"/>
                <w:b w:val="false"/>
                <w:color w:val="000000"/>
                <w:sz w:val="13"/>
              </w:rPr>
              <w:t>(3)</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48.99 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Average costs ($/BOE):</w:t>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and ad valorem taxes</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cash component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 - cash</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 non-cash stock compensation expense</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Depletion</w:t>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(1)Bbl equivalents are calculated using a conversion rate of six Mcf per one Bbl.</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(2)Realized price net of all deducts for gathering, transportation and processing.</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(3)Hedged prices reflect the impact of cash settlements of our matured commodity derivative transactions on our average sales prices.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Significant changes in our revenues and expenses for the three months ended March 31, 2026, as compared to the three months ended March 31, 2025, are discussed further below.</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Royalty Income. </w:t>
      </w:r>
      <w:r>
        <w:rPr>
          <w:rFonts w:ascii="Times New Roman;serif" w:hAnsi="Times New Roman;serif"/>
          <w:b w:val="false"/>
          <w:color w:val="000000"/>
          <w:sz w:val="20"/>
        </w:rPr>
        <w:t>Our royalty income is a function of oil, natural gas and natural gas liquids production volumes sold and average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Royalty income increased $252 million during the three months ended March 31, 2026, compared to the same period in 2025. This net increase was primarily due to an additional $282 million in royalty income from the 128% growth in production, partially offset by a net decrease of $30 million from lower average natural gas and natural gas liquids prices received for our production during the first quarter of 2026 compared to the same period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Of the 128% growth in production, approximately 54% was attributable to the Sitio Acquisition and 45% was attributable to the 2025 Drop Down. The remainder of the growth is primarily from new wells added between periods. See Note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erif" w:hAnsi="Times New Roman;serif"/>
          <w:b w:val="false"/>
          <w:color w:val="000000"/>
          <w:sz w:val="20"/>
        </w:rPr>
        <w:t>4—</w:t>
      </w:r>
      <w:hyperlink w:anchor="i8a4d921f96b0461ca4b5dcc2b847ded7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Production and Ad Valorem Taxes. </w:t>
      </w:r>
      <w:r>
        <w:rPr>
          <w:rFonts w:ascii="Times New Roman;serif" w:hAnsi="Times New Roman;serif"/>
          <w:b w:val="false"/>
          <w:color w:val="000000"/>
          <w:sz w:val="20"/>
        </w:rPr>
        <w:t>The following table presents production and ad valorem taxes</w:t>
      </w:r>
      <w:r>
        <w:rPr>
          <w:color w:val="000000"/>
          <w:shd w:fill="FFFFFF" w:val="clear"/>
        </w:rPr>
        <w:t xml:space="preserve"> </w:t>
      </w:r>
      <w:r>
        <w:rPr>
          <w:rFonts w:ascii="Times New Roman;serif" w:hAnsi="Times New Roman;serif"/>
          <w:b w:val="false"/>
          <w:color w:val="000000"/>
          <w:sz w:val="20"/>
          <w:shd w:fill="FFFFFF" w:val="clear"/>
        </w:rPr>
        <w:t>for the</w:t>
      </w:r>
      <w:r>
        <w:rPr>
          <w:color w:val="000000"/>
        </w:rPr>
        <w:t xml:space="preserve"> </w:t>
      </w:r>
      <w:r>
        <w:rPr>
          <w:rFonts w:ascii="Times New Roman;serif" w:hAnsi="Times New Roman;serif"/>
          <w:b w:val="false"/>
          <w:color w:val="000000"/>
          <w:sz w:val="20"/>
        </w:rPr>
        <w:t>periods indicated</w:t>
      </w:r>
      <w:r>
        <w:rPr>
          <w:rFonts w:ascii="Times New Roman;serif" w:hAnsi="Times New Roman;serif"/>
          <w:b w:val="false"/>
          <w:color w:val="000000"/>
          <w:sz w:val="20"/>
          <w:shd w:fill="FFFFFF" w:val="clear"/>
        </w:rPr>
        <w:t>:</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8"/>
        <w:gridCol w:w="632"/>
        <w:gridCol w:w="633"/>
        <w:gridCol w:w="271"/>
        <w:gridCol w:w="466"/>
        <w:gridCol w:w="141"/>
        <w:gridCol w:w="109"/>
        <w:gridCol w:w="109"/>
        <w:gridCol w:w="109"/>
        <w:gridCol w:w="211"/>
        <w:gridCol w:w="511"/>
        <w:gridCol w:w="109"/>
        <w:gridCol w:w="109"/>
        <w:gridCol w:w="109"/>
        <w:gridCol w:w="109"/>
        <w:gridCol w:w="346"/>
        <w:gridCol w:w="346"/>
        <w:gridCol w:w="864"/>
        <w:gridCol w:w="109"/>
        <w:gridCol w:w="109"/>
        <w:gridCol w:w="109"/>
        <w:gridCol w:w="271"/>
        <w:gridCol w:w="466"/>
        <w:gridCol w:w="141"/>
        <w:gridCol w:w="109"/>
        <w:gridCol w:w="109"/>
        <w:gridCol w:w="109"/>
        <w:gridCol w:w="211"/>
        <w:gridCol w:w="511"/>
        <w:gridCol w:w="109"/>
        <w:gridCol w:w="109"/>
        <w:gridCol w:w="109"/>
        <w:gridCol w:w="109"/>
        <w:gridCol w:w="331"/>
        <w:gridCol w:w="326"/>
        <w:gridCol w:w="956"/>
      </w:tblGrid>
      <w:tr>
        <w:trPr/>
        <w:tc>
          <w:tcPr>
            <w:tcW w:w="71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Amount </w:t>
            </w:r>
          </w:p>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 BOE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Royalty Income</w:t>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Production taxes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98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 valorem taxes</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86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9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production and ad valorem taxes</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9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general, production taxes are directly related to production revenues and are based upon current year commodity prices. Ad valorem taxes are based, among other factors, on property values driven by prior year commodity prices. Production taxes and ad valorem taxes as a percentage of royalty income for the three months ended March 31, 2026, were relatively consistent with the same period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Depletion. </w:t>
      </w:r>
      <w:r>
        <w:rPr>
          <w:rFonts w:ascii="Times New Roman;serif" w:hAnsi="Times New Roman;serif"/>
          <w:b w:val="false"/>
          <w:color w:val="000000"/>
          <w:sz w:val="20"/>
        </w:rPr>
        <w:t>The increase in depletion expense of $139 million for the three months ended March 31, 2026, compared to the same period in 2025 consisted primarily of (i) $86 million from growth in production volumes, and (ii) $53 million due to an increase in the depletion rate to $17.51 per BOE for the three months ended March 31, 2026, resulting primarily from the addition of leasehold costs and reserves from the 2025 Drop Down and the Sitio Acquisition compared to $12.97 per BOE for the same period in 2025.</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Interest Expense, Net. </w:t>
      </w:r>
      <w:r>
        <w:rPr>
          <w:rFonts w:ascii="Times New Roman;serif" w:hAnsi="Times New Roman;serif"/>
          <w:b w:val="false"/>
          <w:color w:val="000000"/>
          <w:sz w:val="20"/>
        </w:rPr>
        <w:t>The increase in interest expense, net of $14 million for the three months ended March 31, 2026, compared to the same period in 2025 consisted primarily of (i) approximately $22 million in additional expense incurred for our Guaranteed Senior Notes, (ii) approximately $3 million in additional interest expense incurred on the Term Loan prior to its termination, and (iii) a reduction of approximately $3 million in interest income. These increases in interest expense, net were partially offset by interest cost savings of approximately $13 million due to the early termination of the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Derivative Instruments. </w:t>
      </w:r>
      <w:r>
        <w:rPr>
          <w:rFonts w:ascii="Times New Roman;serif" w:hAnsi="Times New Roman;serif"/>
          <w:b w:val="false"/>
          <w:color w:val="000000"/>
          <w:sz w:val="20"/>
        </w:rPr>
        <w:t>The following table shows the net gain (loss) on derivative instruments and the net cash receipts (payments) on derivatives for the periods presented:</w:t>
      </w:r>
    </w:p>
    <w:p>
      <w:pPr>
        <w:pStyle w:val="TextBody"/>
        <w:bidi w:val="0"/>
        <w:spacing w:before="0" w:after="0"/>
        <w:ind w:left="0" w:right="0" w:firstLine="720"/>
        <w:jc w:val="both"/>
        <w:rPr/>
      </w:pPr>
      <w:r>
        <w:rPr/>
      </w:r>
    </w:p>
    <w:tbl>
      <w:tblPr>
        <w:tblW w:w="6252" w:type="dxa"/>
        <w:jc w:val="left"/>
        <w:tblInd w:w="0" w:type="dxa"/>
        <w:tblLayout w:type="fixed"/>
        <w:tblCellMar>
          <w:top w:w="28" w:type="dxa"/>
          <w:left w:w="28" w:type="dxa"/>
          <w:bottom w:w="28" w:type="dxa"/>
          <w:right w:w="28" w:type="dxa"/>
        </w:tblCellMar>
      </w:tblPr>
      <w:tblGrid>
        <w:gridCol w:w="1313"/>
        <w:gridCol w:w="1156"/>
        <w:gridCol w:w="1160"/>
        <w:gridCol w:w="319"/>
        <w:gridCol w:w="546"/>
        <w:gridCol w:w="165"/>
        <w:gridCol w:w="165"/>
        <w:gridCol w:w="165"/>
        <w:gridCol w:w="165"/>
        <w:gridCol w:w="319"/>
        <w:gridCol w:w="546"/>
        <w:gridCol w:w="233"/>
      </w:tblGrid>
      <w:tr>
        <w:trPr/>
        <w:tc>
          <w:tcPr>
            <w:tcW w:w="131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derivative instruments, net</w:t>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receipts (payments) on derivatives</w:t>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$14 million decrease in the gain on derivative instruments, net for the three months ended March 31, 2026, compared to the same period in 2025 consisted primarily of (i) a reduction of approximately $14 million in the value of our open natural gas contracts due primarily to changes in the differential between prices for Waha Hub and Henry Hub, (ii) a reduction of approximately $9 million in the value of our open oil contracts, and (iii) an increase of approximately $2 million in cash paid to settle oil contracts. These decreases in the gain on derivative instruments were partially offset by an increase of approximately $13 million in cash receipts on settled natural gas basis swaps and other insignificant changes.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10—</w:t>
      </w:r>
      <w:hyperlink w:anchor="i8a4d921f96b0461ca4b5dcc2b847ded7_6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 of our open contracts at March 31,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Provision for (Benefit from) Income Taxes. </w:t>
      </w:r>
      <w:r>
        <w:rPr>
          <w:rFonts w:ascii="Times New Roman;serif" w:hAnsi="Times New Roman;serif"/>
          <w:b w:val="false"/>
          <w:color w:val="000000"/>
          <w:sz w:val="20"/>
        </w:rPr>
        <w:t>The $7 million increase in income tax expense for the three months ended March 31, 2026, compared to the same period in 2025 primarily resulted from an increase in pre-tax income attributable to Viper. See Note 9—</w:t>
      </w:r>
      <w:hyperlink w:anchor="i8a4d921f96b0461ca4b5dcc2b847ded7_64">
        <w:r>
          <w:rPr>
            <w:rStyle w:val="InternetLink"/>
            <w:rFonts w:ascii="Times New Roman;serif" w:hAnsi="Times New Roman;serif"/>
            <w:b w:val="false"/>
            <w:color w:val="0000FF"/>
            <w:sz w:val="20"/>
            <w:u w:val="single"/>
          </w:rPr>
          <w:t>Income Taxes</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income tax expense.</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i/>
          <w:color w:val="000000"/>
          <w:sz w:val="20"/>
        </w:rPr>
        <w:t xml:space="preserve">Net Income (Loss) Attributable to Non-Controlling Interest. </w:t>
      </w:r>
      <w:r>
        <w:rPr>
          <w:rFonts w:ascii="Times New Roman;serif" w:hAnsi="Times New Roman;serif"/>
          <w:b w:val="false"/>
          <w:color w:val="000000"/>
          <w:sz w:val="20"/>
        </w:rPr>
        <w:t>The $40 million increase in net income attributable to non-controlling interest for the three months ended March 31, 2026, compared to the same period in 2025 was primarily due to (i) an increase in net income, and (ii) changes in the non-controlling interest in the Operating Company resulting from the Drop Down Equity Issuance and the issuance of OpCo Units to fund the Sitio Acquisition, which were partially offset by a dilution of the non-controlling interest following the 2025 Equity Offering and the 2026 Secondary Offering.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Overview of Sources and Uses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we pursue our business and financial strategy, we regularly consider which capital resources, including cash flow and equity and debt financings, are available to meet our future financial obligations and liquidity requirements. Our future ability to grow proved reserves will be highly dependent on the capital resources available to us. Our primary sources of liquidity have been cash flow from operations, equity and debt offerings, borrowings under </w:t>
      </w:r>
      <w:r>
        <w:rPr>
          <w:rFonts w:ascii="Times New Roman;serif" w:hAnsi="Times New Roman;serif"/>
          <w:b w:val="false"/>
          <w:color w:val="000000"/>
          <w:sz w:val="20"/>
          <w:shd w:fill="FFFFFF" w:val="clear"/>
        </w:rPr>
        <w:t xml:space="preserve">our </w:t>
      </w:r>
      <w:r>
        <w:rPr>
          <w:rFonts w:ascii="Times New Roman;serif" w:hAnsi="Times New Roman;serif"/>
          <w:b w:val="false"/>
          <w:color w:val="000000"/>
          <w:sz w:val="20"/>
        </w:rPr>
        <w:t>Revolving Credit Facility</w:t>
      </w:r>
      <w:r>
        <w:rPr>
          <w:rFonts w:ascii="Times New Roman;serif" w:hAnsi="Times New Roman;serif"/>
          <w:b w:val="false"/>
          <w:color w:val="000000"/>
          <w:sz w:val="20"/>
          <w:shd w:fill="FFFFFF" w:val="clear"/>
        </w:rPr>
        <w:t>, term loan agreements</w:t>
      </w:r>
      <w:r>
        <w:rPr>
          <w:color w:val="000000"/>
        </w:rPr>
        <w:t xml:space="preserve"> </w:t>
      </w:r>
      <w:r>
        <w:rPr>
          <w:rFonts w:ascii="Times New Roman;serif" w:hAnsi="Times New Roman;serif"/>
          <w:b w:val="false"/>
          <w:color w:val="000000"/>
          <w:sz w:val="20"/>
        </w:rPr>
        <w:t>and proceeds from sales of non-core assets. Our primary uses of cash have been dividends to our stockholders, Operating Company distributions to the holders of OpCo Units, repayments of debt, capital expenditures for the acquisition of our mineral and royalty interests in oil and natural gas properties and repurchases of our Common Stock and OpCo Units. At March 31, 2026, we had $1.51 billion of liquidity consisting of $28 million in cash and cash equivalents and $1.48 billion in available borrowings under our Revolving Credit Facility. See “—</w:t>
      </w:r>
      <w:hyperlink w:anchor="i8a4d921f96b0461ca4b5dcc2b847ded7_121">
        <w:r>
          <w:rPr>
            <w:rStyle w:val="InternetLink"/>
          </w:rPr>
          <w:t>Capital Resource</w:t>
        </w:r>
      </w:hyperlink>
      <w:hyperlink w:anchor="i8a4d921f96b0461ca4b5dcc2b847ded7_121">
        <w:r>
          <w:rPr>
            <w:rStyle w:val="InternetLink"/>
          </w:rPr>
          <w:t>s</w:t>
        </w:r>
      </w:hyperlink>
      <w:r>
        <w:rPr>
          <w:color w:val="000000"/>
        </w:rPr>
        <w:t xml:space="preserve">” </w:t>
      </w:r>
      <w:r>
        <w:rPr>
          <w:rFonts w:ascii="Times New Roman;serif" w:hAnsi="Times New Roman;serif"/>
          <w:b w:val="false"/>
          <w:color w:val="000000"/>
          <w:sz w:val="20"/>
        </w:rPr>
        <w:t>below for additional discussions of changes in our sources of cash.</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working capital requirements are supported by our cash and cash equivalents and our Revolving Credit Facility. We may draw on our Revolving Credit Facility to meet short-term cash requirements, or issue debt or equity securities as part of our longer-term liquidity and capital management program. Because of the alternatives available to us as discussed above, we believe our short-term and long-term liquidity are adequate to fund not only our current operations, but also our near-term and long-term funding requirements including dividends, debt service obligations, repayment of debt maturities, any repurchases of our Common Stock, OpCo Units or Guaranteed Senior Notes and any amounts that may ultimately be paid in connection with contingencies.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In order to mitigate volatility in oil and natural gas prices, we have entered into commodity derivative contracts as discussed further in Note 10—</w:t>
      </w:r>
      <w:hyperlink w:anchor="i8a4d921f96b0461ca4b5dcc2b847ded7_67">
        <w:r>
          <w:rPr>
            <w:rStyle w:val="InternetLink"/>
            <w:rFonts w:ascii="Times New Roman;serif" w:hAnsi="Times New Roman;serif"/>
            <w:b w:val="false"/>
            <w:color w:val="0000FF"/>
            <w:sz w:val="20"/>
            <w:u w:val="single"/>
          </w:rPr>
          <w:t>Derivatives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Continued prolonged volatility in the capital, financial and/or credit markets due to changing or adverse macroeconomic conditions, including geopolitical global conflicts, elevated interest rates, effects of tariffs, actions taken by OPEC members and other exporting nations and global supply chain disruptions may limit our access to, or increase our cost of, capital or make capital unavailable on terms acceptable to us or at all. Although we expect that our sources of funding will be adequate to fund our short-term and long-term liquidity requirements, we cannot assure you that the needed capital will be available on acceptable terms or at all.</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Cash Flows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our cash flows for the periods indicated:</w:t>
      </w:r>
    </w:p>
    <w:p>
      <w:pPr>
        <w:pStyle w:val="TextBody"/>
        <w:bidi w:val="0"/>
        <w:spacing w:before="0" w:after="0"/>
        <w:ind w:left="0" w:right="0" w:firstLine="720"/>
        <w:jc w:val="both"/>
        <w:rPr/>
      </w:pPr>
      <w:r>
        <w:rPr/>
      </w:r>
    </w:p>
    <w:tbl>
      <w:tblPr>
        <w:tblW w:w="6944" w:type="dxa"/>
        <w:jc w:val="left"/>
        <w:tblInd w:w="0" w:type="dxa"/>
        <w:tblLayout w:type="fixed"/>
        <w:tblCellMar>
          <w:top w:w="28" w:type="dxa"/>
          <w:left w:w="28" w:type="dxa"/>
          <w:bottom w:w="28" w:type="dxa"/>
          <w:right w:w="28" w:type="dxa"/>
        </w:tblCellMar>
      </w:tblPr>
      <w:tblGrid>
        <w:gridCol w:w="1562"/>
        <w:gridCol w:w="1374"/>
        <w:gridCol w:w="1384"/>
        <w:gridCol w:w="285"/>
        <w:gridCol w:w="629"/>
        <w:gridCol w:w="147"/>
        <w:gridCol w:w="147"/>
        <w:gridCol w:w="147"/>
        <w:gridCol w:w="147"/>
        <w:gridCol w:w="285"/>
        <w:gridCol w:w="629"/>
        <w:gridCol w:w="208"/>
      </w:tblGrid>
      <w:tr>
        <w:trPr/>
        <w:tc>
          <w:tcPr>
            <w:tcW w:w="1562"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operating activities</w:t>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investing activities</w:t>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operating cash flow is sensitive to many variables, the most significant of which are the volatility of prices for oil and natural gas and the volumes of oil and natural gas sold by our operators. The increase in net cash provided by operating activities during the three months ended March 31, 2026, compared to the same period in 2025 was primarily driven by an increase in royalty income, which was partially offset by changes in our working capital accounts including the timing of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pPr>
      <w:r>
        <w:rPr>
          <w:rFonts w:ascii="Times New Roman;serif" w:hAnsi="Times New Roman;serif"/>
          <w:b w:val="false"/>
          <w:color w:val="000000"/>
          <w:sz w:val="20"/>
        </w:rPr>
        <w:t>accounts receivable are collected and when payments are made on accounts payable. See “</w:t>
      </w:r>
      <w:hyperlink w:anchor="i8a4d921f96b0461ca4b5dcc2b847ded7_109">
        <w:r>
          <w:rPr>
            <w:rStyle w:val="InternetLink"/>
            <w:color w:val="0000FF"/>
            <w:u w:val="single"/>
          </w:rPr>
          <w:t>—</w:t>
        </w:r>
      </w:hyperlink>
      <w:hyperlink w:anchor="i8a4d921f96b0461ca4b5dcc2b847ded7_109">
        <w:r>
          <w:rPr>
            <w:rStyle w:val="InternetLink"/>
            <w:rFonts w:ascii="Times New Roman;serif" w:hAnsi="Times New Roman;serif"/>
            <w:b w:val="false"/>
            <w:i/>
            <w:color w:val="0000FF"/>
            <w:sz w:val="20"/>
            <w:u w:val="single"/>
          </w:rPr>
          <w:t>Results of Operations</w:t>
        </w:r>
      </w:hyperlink>
      <w:r>
        <w:rPr>
          <w:color w:val="000000"/>
        </w:rPr>
        <w:t xml:space="preserve">” </w:t>
      </w:r>
      <w:r>
        <w:rPr>
          <w:rFonts w:ascii="Times New Roman;serif" w:hAnsi="Times New Roman;serif"/>
          <w:b w:val="false"/>
          <w:color w:val="000000"/>
          <w:sz w:val="20"/>
        </w:rPr>
        <w:t>for discussion of significant changes in our income and expenses.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Net cash provided by investing activities during the three months ended March 31, 2026, was primarily related to proceeds received from the Non-Permian Divestiture, partially offset by insignificant acquisitions of oil and natural gas properties. See Note 4—</w:t>
      </w:r>
      <w:hyperlink w:anchor="i8a4d921f96b0461ca4b5dcc2b847ded7_49">
        <w:r>
          <w:rPr>
            <w:rStyle w:val="InternetLink"/>
            <w:rFonts w:ascii="Times New Roman;serif" w:hAnsi="Times New Roman;serif"/>
            <w:b w:val="false"/>
            <w:color w:val="0000FF"/>
            <w:sz w:val="20"/>
            <w:u w:val="single"/>
          </w:rPr>
          <w:t>Acquisitions and Divestitures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these transactions.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during the three months ended March 31, 2025, was primarily related to acquisitions of oil and natural gas properties and a $223 million escrow deposit made for the 2025 Drop Down.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during the three months ended March 31, 2026, was primarily attributable to (i) $500 million paid for the retirement of the Term Loan, (ii) $213 million of dividends paid to holders of our OpCo Units and our Class A Common Stock, (iii) $96 million of securities repurchases under our repurchase program, and (iv) net repayments of $85 million on our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during the three months ended March 31, 2025, was primarily attributable to proceeds of $1.2 billion from the 2025 Equity Offering, partially offset by net repayments of $261 million on our Revolving Credit Facility and $153 million of dividends paid to holders of our OpCo Units and our Class A Common Stock.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Revolving Credit Facility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March 31, 2026, our Revolving Credit Facility, which matures on June 12, 2030, had a commitment amount of $1.50 billion, with $20 million in outstanding borrowings and $1.48 billion of availability.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6—</w:t>
      </w:r>
      <w:hyperlink w:anchor="i8a4d921f96b0461ca4b5dcc2b847ded7_55">
        <w:r>
          <w:rPr>
            <w:rStyle w:val="InternetLink"/>
            <w:rFonts w:ascii="Times New Roman;serif" w:hAnsi="Times New Roman;serif"/>
            <w:b w:val="false"/>
            <w:color w:val="0000FF"/>
            <w:sz w:val="20"/>
            <w:u w:val="single"/>
          </w:rPr>
          <w:t>Debt</w:t>
        </w:r>
      </w:hyperlink>
      <w:r>
        <w:rPr>
          <w:color w:val="000000"/>
        </w:rPr>
        <w:t xml:space="preserve"> </w:t>
      </w:r>
      <w:r>
        <w:rPr>
          <w:rFonts w:ascii="Times New Roman;serif" w:hAnsi="Times New Roman;serif"/>
          <w:b w:val="false"/>
          <w:color w:val="000000"/>
          <w:sz w:val="20"/>
        </w:rPr>
        <w:t>of the notes to the condensed consolidated financial statements for additional discussions of our debt.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Capital Requirements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Repurchases of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shd w:fill="FFFFFF" w:val="clear"/>
        </w:rPr>
        <w:t xml:space="preserve">On December 10, 2025, </w:t>
      </w:r>
      <w:r>
        <w:rPr>
          <w:rFonts w:ascii="Times New Roman;serif" w:hAnsi="Times New Roman;serif"/>
          <w:b w:val="false"/>
          <w:color w:val="000000"/>
          <w:sz w:val="20"/>
        </w:rPr>
        <w:t>our board of directors expanded the repurc</w:t>
      </w:r>
      <w:r>
        <w:rPr>
          <w:rFonts w:ascii="Times New Roman;serif" w:hAnsi="Times New Roman;serif"/>
          <w:b w:val="false"/>
          <w:color w:val="000000"/>
          <w:sz w:val="20"/>
          <w:shd w:fill="FFFFFF" w:val="clear"/>
        </w:rPr>
        <w:t xml:space="preserve">hase program to include repurchases of our Class B Common Stock and OpCo Units </w:t>
      </w:r>
      <w:r>
        <w:rPr>
          <w:rFonts w:ascii="Times New Roman;serif" w:hAnsi="Times New Roman;serif"/>
          <w:b w:val="false"/>
          <w:color w:val="000000"/>
          <w:sz w:val="20"/>
        </w:rPr>
        <w:t>in addition to our previously authorized Class A Common Stock</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 xml:space="preserve">On </w:t>
      </w:r>
      <w:r>
        <w:rPr>
          <w:rFonts w:ascii="Times New Roman;serif" w:hAnsi="Times New Roman;serif"/>
          <w:b w:val="false"/>
          <w:color w:val="000000"/>
          <w:sz w:val="20"/>
          <w:shd w:fill="FFFFFF" w:val="clear"/>
        </w:rPr>
        <w:t>February 18, 2026</w:t>
      </w:r>
      <w:r>
        <w:rPr>
          <w:rFonts w:ascii="Times New Roman;serif" w:hAnsi="Times New Roman;serif"/>
          <w:b w:val="false"/>
          <w:color w:val="000000"/>
          <w:sz w:val="20"/>
        </w:rPr>
        <w:t>, our board of directors also approved an increase in our repurchase program authorization from $750 million to $1.75 billion, excluding the 1% U.S. federal excise tax on certain repurchases of stock by publicly traded U.S. corporations enacted as part of the Inflation Reduction Act of 2022. Since the inception of our repurchase program through May 1, 2026, we have repurchased an aggregate of 18,768,257 shares of our Common Stock and 2,000,000 OpCo Units for a total cost of $610 million, excluding any applicable excise tax, leaving approximately $1.14 billion for future</w:t>
      </w:r>
      <w:r>
        <w:rPr>
          <w:color w:val="000000"/>
          <w:shd w:fill="FFFFFF" w:val="clear"/>
        </w:rPr>
        <w:t xml:space="preserve"> </w:t>
      </w:r>
      <w:r>
        <w:rPr>
          <w:rFonts w:ascii="Times New Roman;serif" w:hAnsi="Times New Roman;serif"/>
          <w:b w:val="false"/>
          <w:color w:val="000000"/>
          <w:sz w:val="20"/>
          <w:shd w:fill="FFFFFF" w:val="clear"/>
        </w:rPr>
        <w:t xml:space="preserve">repurchases under the repurchase program. </w:t>
      </w:r>
      <w:r>
        <w:rPr>
          <w:rFonts w:ascii="Times New Roman;serif" w:hAnsi="Times New Roman;serif"/>
          <w:b w:val="false"/>
          <w:color w:val="000000"/>
          <w:sz w:val="20"/>
        </w:rPr>
        <w:t>See Note 7—</w:t>
      </w:r>
      <w:hyperlink w:anchor="i8a4d921f96b0461ca4b5dcc2b847ded7_58">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our 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First Quarter 2026 Cash Dividends and Return of Capital Update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Operating Company will pay a cash distribution for the first quarter of 2026 in accordance with its distribution policy of $0.86 per OpCo Unit on May 21, 2026, to eligible holders of record at the close of business on May 14, 2026.</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capital</w:t>
        <w:noBreakHyphen/>
        <w:t>light business model and high free cash flow margins positioned us to further deliver on our comprehensive capital allocation strategy. As a result, in addition to repurchases under our repurchase program, we will pay a cash dividend for the first quarter of 2026 of $0.68 per share of Class A Common Stock payable on May 21, 2026, to eligible holders of record at the close of business on May 14, 2026. The dividend to stockholders consists of a base quarterly dividend of $0.38 per share of Class A Common Stock and a variable quarterly dividend of $0.30 per share of Class A Common Stock.</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We expect to continue paying quarterly cash dividends in respect of our Class A Common Stock and OpCo Units. Future base and variable dividends are not required and are at the discretion of the board of directors, who may change the dividend policy at any time. See Note 7—</w:t>
      </w:r>
      <w:hyperlink w:anchor="i8a4d921f96b0461ca4b5dcc2b847ded7_58">
        <w:r>
          <w:rPr>
            <w:rStyle w:val="InternetLink"/>
            <w:rFonts w:ascii="Times New Roman;serif" w:hAnsi="Times New Roman;serif"/>
            <w:b w:val="false"/>
            <w:color w:val="0000FF"/>
            <w:sz w:val="20"/>
            <w:u w:val="single"/>
          </w:rPr>
          <w:t>Stockholders’ Equity</w:t>
        </w:r>
      </w:hyperlink>
      <w:r>
        <w:rPr>
          <w:color w:val="000000"/>
        </w:rPr>
        <w:t xml:space="preserve"> </w:t>
      </w:r>
      <w:r>
        <w:rPr>
          <w:rFonts w:ascii="Times New Roman;serif" w:hAnsi="Times New Roman;serif"/>
          <w:b w:val="false"/>
          <w:color w:val="000000"/>
          <w:sz w:val="20"/>
        </w:rPr>
        <w:t>of the notes to the condensed consolidated financial statements for further discussion of the repurchase program and dividends.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Supplemental Guarantor Disclosure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are fully and unconditionally guaranteed by each of Former Viper and New Viper. Following the Reorganization, Viper Energy Partners LP became the issuer of the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Guaranteed Senior Notes and the guarantees are obligations of the issuer and the guarantors that (i) are senior unsecured obligations and rank equally in right of payment with all of their respective existing and future senior indebtedness, including obligations under the Revolving Credit Facility, (ii) rank senior in right of payment to any of their respective future indebtedness that is expressly subordinated in right of payment to the Guaranteed Senior Notes or the guarantees, as applicable, (iii) are effectively subordinated to any of their respective existing and future secured indebtedness to the extent of the value of the collateral securing such indebtedness, and (iv) are structurally subordinated to all existing and future indebtedness and other liabilities (including trade payables) of subsidiaries that are not obligors under the Guaranteed Senior Notes.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the event of bankruptcy, liquidation, reorganization or other winding up of the issuer or a guarantor or upon a default in payment with respect to, or the acceleration of, any senior secured indebtedness of the issuer or a guarantor, the assets that secure such senior secured indebtedness will be available to pay obligations on the Guaranteed Senior Notes and the guarantees only after all obligations under such senior secured indebtedness have been repaid in full from such assets. There may not be sufficient assets remaining to pay amounts due on any or all of the Guaranteed Senior Notes then outstanding and the guarantees.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obligations of the guarantors under the guarantees are limited in a manner designed to prevent the guarantees from constituting a fraudulent conveyance or fraudulent transfer under applicable law, although no assurance can be given that a court would give the holder the benefit of such provision. If a guarantee were rendered voidable, it could be subordinated by a court to all other indebtedness (including contingent liabilities) of such guarantor, and, depending on the amount of such indebtedness, the guarantor’s liability on such guarantee could be reduced to zero.</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accordance with Rule 3-10 of Regulation S-X, subsidiary issuers of obligations guaranteed by the parent are not required to provide separate financial statements, provided that the subsidiary obligor is consolidated into the parent company’s consolidated financial statements, the parent guarantee is “full and unconditional,” except that such guarantee will be released or terminated in certain circumstances set forth in the indentures governing the Guaranteed Senior Notes, and, subject to certain exceptions, the alternative disclosures specified in Rule 13-01 are provided, which include narrative disclosure and summarized financial information. Accordingly, separate consolidated financial statements of the issuer have not been presented. Furthermore, as permitted under Rule 13-01(a)(4)(vi) of Regulation S-X, we have excluded the summarized financial information for the issuer because the assets, liabilities and results of operations of the issuer are not materially different than the corresponding amounts in our consolidated financial statements and management believes such summarized financial information would be repetitive and would not provide incremental value to investors.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There have been no changes to our critical accounting estimates from those disclosed in our </w:t>
      </w:r>
      <w:hyperlink r:id="rId4">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2—</w:t>
      </w:r>
      <w:hyperlink w:anchor="i8a4d921f96b0461ca4b5dcc2b847ded7_43">
        <w:r>
          <w:rPr>
            <w:rStyle w:val="InternetLink"/>
            <w:rFonts w:ascii="Times New Roman;serif" w:hAnsi="Times New Roman;serif"/>
            <w:b w:val="false"/>
            <w:color w:val="0000FF"/>
            <w:sz w:val="20"/>
            <w:u w:val="single"/>
          </w:rPr>
          <w:t>Summary of Significant Accounting Policies</w:t>
        </w:r>
      </w:hyperlink>
      <w:r>
        <w:rPr>
          <w:color w:val="000000"/>
        </w:rPr>
        <w:t xml:space="preserve"> </w:t>
      </w:r>
      <w:r>
        <w:rPr>
          <w:rFonts w:ascii="Times New Roman;serif" w:hAnsi="Times New Roman;serif"/>
          <w:b w:val="false"/>
          <w:color w:val="000000"/>
          <w:sz w:val="20"/>
        </w:rPr>
        <w:t>of the notes to the condensed consolidated financial statements for recent accounting pronouncements not yet adopted, if any.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Other than the repayment and termination of the Term Loan in the first quarter of 2026, information about market risks for the three months ended March 31, 2026 does not differ materially from that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"i636f90b9a2bf4a46ad5fe64678400ed7_88"</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II. Item 7A. Quantitative and Qualitative Disclosures About Market Risk in the Company’s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 Under the direction of our Chief Executive Officer and Chief Financial Officer, we have established disclosure controls and procedures, as defined in Rule 13a-15(e) and 15d-15(e) under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include, without limitation, controls and procedures designed to ensure that information required to be disclosed by us in the reports that we file or submit under the Exchange Act is accumulated and communicated to management, including our Chief Executive Officer and Chief Financial Officer, as appropriate to allow timely decisions regarding required disclosure.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As of March 31, 2026, an evaluation was performed under the supervision and with the participation of management, including our Chief Executive Officer and Chief Financial Officer, of the effectiveness of our disclosure controls and procedures pursuant to Rule 13a-15(b) under the Exchange Act. Based upon our evaluation, our Chief Executive Officer and Chief Financial Officer have concluded that, as of March 31, 2026, our disclosure controls and procedures were effective at the reasonable assurance level.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i/>
          <w:color w:val="000000"/>
          <w:sz w:val="20"/>
        </w:rPr>
        <w:t xml:space="preserve">Changes in Internal Control over Financial Reporting. </w:t>
      </w:r>
      <w:r>
        <w:rPr>
          <w:rFonts w:ascii="Times New Roman;serif" w:hAnsi="Times New Roman;serif"/>
          <w:b w:val="false"/>
          <w:color w:val="000000"/>
          <w:sz w:val="20"/>
        </w:rPr>
        <w:t>We are in the process of integrating the entities acquired in the Sitio Acquisition. As a result of these integration activities, certain controls will be evaluated and may be changed. Except as noted above, there have not been any changes in our internal control over financial reporting that occurred during the first quarter of 2026 that have materially affected, or are reasonably likely to materially affect, our internal control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Due to the nature of our business, we are, from time to time, involved in routine litigation or subject to disputes or claims related to our business activities. In the opinion of our management, none of the pending litigation, disputes or claims against us, if decided adversely, will have a material adverse effect on our financial condition, cash flows or results of operations. See Note 12—</w:t>
      </w:r>
      <w:hyperlink w:anchor="i8a4d921f96b0461ca4b5dcc2b847ded7_73">
        <w:r>
          <w:rPr>
            <w:rStyle w:val="InternetLink"/>
            <w:rFonts w:ascii="Times New Roman;serif" w:hAnsi="Times New Roman;serif"/>
            <w:b w:val="false"/>
            <w:color w:val="0000FF"/>
            <w:sz w:val="20"/>
            <w:u w:val="single"/>
          </w:rPr>
          <w:t>Commitments and Contingencies</w:t>
        </w:r>
      </w:hyperlink>
      <w:r>
        <w:rPr>
          <w:color w:val="000000"/>
        </w:rPr>
        <w:t xml:space="preserve"> </w:t>
      </w:r>
      <w:r>
        <w:rPr>
          <w:rFonts w:ascii="Times New Roman;serif" w:hAnsi="Times New Roman;serif"/>
          <w:b w:val="false"/>
          <w:color w:val="000000"/>
          <w:sz w:val="20"/>
        </w:rPr>
        <w:t>of the notes to the condensed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 xml:space="preserve">As of the date of this filing, we continue to be subject to the risk factors previously disclosed in </w:t>
      </w:r>
      <w:r>
        <w:fldChar w:fldCharType="begin"/>
      </w:r>
      <w:r>
        <w:rPr>
          <w:rStyle w:val="InternetLink"/>
          <w:sz w:val="20"/>
          <w:u w:val="single"/>
          <w:b w:val="false"/>
          <w:rFonts w:ascii="Times New Roman;serif" w:hAnsi="Times New Roman;serif"/>
          <w:color w:val="0000FF"/>
        </w:rPr>
        <w:instrText xml:space="preserve"> HYPERLINK "https://www.sec.gov/ix?doc=/Archives/edgar/data/0002074176/000207417626000010/vnom-20251231.htm" \l "i636f90b9a2bf4a46ad5fe64678400ed7_25"</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Part I. Item 1A. Risk Factors in our Annual Report on Form 10-K</w:t>
      </w:r>
      <w:r>
        <w:rPr>
          <w:rStyle w:val="InternetLink"/>
          <w:sz w:val="20"/>
          <w:u w:val="single"/>
          <w:b w:val="false"/>
          <w:rFonts w:ascii="Times New Roman;serif" w:hAnsi="Times New Roman;serif"/>
          <w:color w:val="0000FF"/>
        </w:rPr>
        <w:fldChar w:fldCharType="end"/>
      </w:r>
      <w:r>
        <w:rPr>
          <w:color w:val="000000"/>
        </w:rPr>
        <w:t xml:space="preserve"> </w:t>
      </w:r>
      <w:r>
        <w:rPr>
          <w:rFonts w:ascii="Times New Roman;serif" w:hAnsi="Times New Roman;serif"/>
          <w:b w:val="false"/>
          <w:color w:val="000000"/>
          <w:sz w:val="20"/>
        </w:rPr>
        <w:t xml:space="preserve">for the year ended December 31, 2025, filed with the SEC on February 25, 2026. There have been no material changes in our risk factors from those described in our </w:t>
      </w:r>
      <w:hyperlink r:id="rId5">
        <w:r>
          <w:rPr>
            <w:rStyle w:val="InternetLink"/>
            <w:rFonts w:ascii="Times New Roman;serif" w:hAnsi="Times New Roman;serif"/>
            <w:b w:val="false"/>
            <w:color w:val="0000FF"/>
            <w:sz w:val="20"/>
            <w:u w:val="single"/>
          </w:rPr>
          <w:t>Annual Report on Form 10-K</w:t>
        </w:r>
      </w:hyperlink>
      <w:r>
        <w:rPr>
          <w:color w:val="000000"/>
        </w:rPr>
        <w:t xml:space="preserve"> </w:t>
      </w:r>
      <w:r>
        <w:rPr>
          <w:rFonts w:ascii="Times New Roman;serif" w:hAnsi="Times New Roman;serif"/>
          <w:b w:val="false"/>
          <w:color w:val="000000"/>
          <w:sz w:val="20"/>
        </w:rPr>
        <w:t>for the year ended December 31, 2025.</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Class A Common Stock repurchase activity for the three months ended March 31, 2026,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578"/>
        <w:gridCol w:w="449"/>
        <w:gridCol w:w="454"/>
        <w:gridCol w:w="109"/>
        <w:gridCol w:w="109"/>
        <w:gridCol w:w="109"/>
        <w:gridCol w:w="484"/>
        <w:gridCol w:w="484"/>
        <w:gridCol w:w="485"/>
        <w:gridCol w:w="109"/>
        <w:gridCol w:w="109"/>
        <w:gridCol w:w="109"/>
        <w:gridCol w:w="296"/>
        <w:gridCol w:w="867"/>
        <w:gridCol w:w="153"/>
        <w:gridCol w:w="109"/>
        <w:gridCol w:w="109"/>
        <w:gridCol w:w="109"/>
        <w:gridCol w:w="709"/>
        <w:gridCol w:w="709"/>
        <w:gridCol w:w="712"/>
        <w:gridCol w:w="109"/>
        <w:gridCol w:w="109"/>
        <w:gridCol w:w="109"/>
        <w:gridCol w:w="538"/>
        <w:gridCol w:w="1575"/>
        <w:gridCol w:w="404"/>
      </w:tblGrid>
      <w:tr>
        <w:trPr/>
        <w:tc>
          <w:tcPr>
            <w:tcW w:w="578"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Total Number of Shares Purchased</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8"/>
              </w:rPr>
              <w:t>Approximate Dollar Value of Shares that May Yet Be Purchased Under the Plan</w:t>
            </w:r>
            <w:r>
              <w:rPr>
                <w:rFonts w:ascii="Times New Roman;serif" w:hAnsi="Times New Roman;serif"/>
                <w:b/>
                <w:color w:val="000000"/>
                <w:sz w:val="12"/>
              </w:rPr>
              <w:t>(1)(3)</w:t>
            </w:r>
          </w:p>
        </w:tc>
      </w:tr>
      <w:tr>
        <w:trPr/>
        <w:tc>
          <w:tcPr>
            <w:tcW w:w="1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7"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 millions, except per share amounts and shares in ones)</w:t>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January 1, 2026 - January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417,516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 2026 - February 28,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1,225 </w:t>
            </w:r>
          </w:p>
        </w:tc>
        <w:tc>
          <w:tcPr>
            <w:tcW w:w="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March 1, 2026 -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804,061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44.20 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792,845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7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1,145 </w:t>
            </w:r>
          </w:p>
        </w:tc>
        <w:tc>
          <w:tcPr>
            <w:tcW w:w="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1,221,577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1,210,361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(1)Includes 11,216 shares of Class A Common Stock repurchased from employees in order to satisfy tax withholding requirements. Such shares are canceled and retired immediately upon repurchase. </w:t>
      </w:r>
      <w:r>
        <w:rPr>
          <w:rFonts w:ascii="Times New Roman;serif" w:hAnsi="Times New Roman;serif"/>
          <w:b w:val="false"/>
          <w:color w:val="000000"/>
          <w:sz w:val="20"/>
          <w:shd w:fill="FFFFFF" w:val="clear"/>
        </w:rPr>
        <w:t>On December 10, 2025, our</w:t>
      </w:r>
      <w:r>
        <w:rPr>
          <w:color w:val="000000"/>
        </w:rPr>
        <w:t xml:space="preserve"> </w:t>
      </w:r>
      <w:r>
        <w:rPr>
          <w:rFonts w:ascii="Times New Roman;serif" w:hAnsi="Times New Roman;serif"/>
          <w:b w:val="false"/>
          <w:color w:val="000000"/>
          <w:sz w:val="20"/>
        </w:rPr>
        <w:t>board of directors approved expanding the repurc</w:t>
      </w:r>
      <w:r>
        <w:rPr>
          <w:rFonts w:ascii="Times New Roman;serif" w:hAnsi="Times New Roman;serif"/>
          <w:b w:val="false"/>
          <w:color w:val="000000"/>
          <w:sz w:val="20"/>
          <w:shd w:fill="FFFFFF" w:val="clear"/>
        </w:rPr>
        <w:t xml:space="preserve">hase program to include repurchases of </w:t>
      </w:r>
      <w:r>
        <w:rPr>
          <w:rFonts w:ascii="Times New Roman;serif" w:hAnsi="Times New Roman;serif"/>
          <w:b w:val="false"/>
          <w:color w:val="000000"/>
          <w:sz w:val="20"/>
        </w:rPr>
        <w:t>Class B Common Stock and OpCo Units. The Class B Common Stock and OpCo Units are not registered securities pursuant to Section 12 of the Exchange Act and as such repurchases of such unregistered securities are excluded from the shares listed in the table above. During March 2026, we repurchased 1,000,000 OpCo Units for an aggregate purchase price of approximately $46 million, or $45.69 per OpCo Unit, and canceled an equal number of shares of Class B Common Stock. The approximately $1.15 billion remaining under the repurchase program for future repurchases at March 31, 2026 in the table above gives effect to such repurchase of OpCo Units.</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(3)On July 26, 2022, our board of directors increased the authorization under our then-in-effect repurchase program from $250 million to $750 million. On February 18, 2026, the board further increased the authorization to $1.75 billion. This repurchase program has no expiration date and remains subject to market conditions, applicable legal requirements, contractual obligations and other factors and may be suspended, modified or extended, from time to time, or may be discontinued at any time, in each case, by our board of directors.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Trading Arrangements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None of our directors or officers adopted or terminated a Rule 10b5-1 trading arrangement or a non-Rule 10b5-1 trading arrangement during our fiscal quarter ended March 31, 2026.</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Pending Riverbend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May 1, 2026, the Company and Viper Energy Partners LP, an indirect wholly owned subsidiary of the Company, entered into a definitive purchase and sale agreement to acquire all of the equity interests of Riverbend Oil &amp; Gas IX, L.L.C., from Riverbend for consideration consisting of (i) approximately $337 million in cash, and (ii) 3,689,865 shares of our Class A Common Stock, in each case, subject to customary closing adjustments. The mineral and royalty interests to be acquired in the Pending Riverbend Acquisition represent approximately 3,064 net royalty acres in the Permian Basin. The Pending Riverbend Acquisition is expected to close during the third quarter of 2026, subject to customary closing conditions.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At the closing of the Pending Riverbend Acquisition, we will be obligated to enter into a registration rights agreement (the “Registration Rights Agreement”) with Riverbend, pursuant to which we will agree to file, no later than five business days following the date of the Registration Rights Agreement, a shelf registration statement under the Securities Act to permit the public resale of certain securities of ours held by Riverbend. We will agree to pay certain expenses of Riverbend incurred in connection with the exercise of Riverbend’s rights under the Registration Rights Agreement and indemnify Riverbend for certain securities law matters in connection with any registration statement filed pursuant thereto.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All of the shares of our Class A Common Stock to be issued to Riverbend in the Pending Riverbend Acquisition will be issued in reliance upon the exemption from the registration requirements of the Securities Act provided by Section 4(a)(2) of the Securities Act as sales by an issuer not involving any public offering.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0"/>
        </w:rPr>
        <w:t>See Note 13—</w:t>
      </w:r>
      <w:hyperlink w:anchor="i8a4d921f96b0461ca4b5dcc2b847ded7_76">
        <w:r>
          <w:rPr>
            <w:rStyle w:val="InternetLink"/>
            <w:rFonts w:ascii="Times New Roman;serif" w:hAnsi="Times New Roman;serif"/>
            <w:b w:val="false"/>
            <w:color w:val="0000FF"/>
            <w:sz w:val="20"/>
            <w:u w:val="single"/>
          </w:rPr>
          <w:t>Subsequent Events</w:t>
        </w:r>
      </w:hyperlink>
      <w:r>
        <w:rPr>
          <w:color w:val="000000"/>
        </w:rPr>
        <w:t xml:space="preserve"> </w:t>
      </w:r>
      <w:r>
        <w:rPr>
          <w:rFonts w:ascii="Times New Roman;serif" w:hAnsi="Times New Roman;serif"/>
          <w:b w:val="false"/>
          <w:color w:val="000000"/>
          <w:sz w:val="20"/>
        </w:rPr>
        <w:t>of the notes to the condensed consolidated financial statements for additional information on the Pending Riverbend Acquisition.</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5"/>
        <w:gridCol w:w="286"/>
        <w:gridCol w:w="288"/>
        <w:gridCol w:w="109"/>
        <w:gridCol w:w="109"/>
        <w:gridCol w:w="109"/>
        <w:gridCol w:w="2628"/>
        <w:gridCol w:w="2616"/>
        <w:gridCol w:w="3735"/>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3735" w:type="dxa"/>
            <w:tcBorders/>
            <w:vAlign w:val="center"/>
          </w:tcPr>
          <w:p>
            <w:pPr>
              <w:pStyle w:val="TableContents"/>
              <w:bidi w:val="0"/>
              <w:spacing w:before="0" w:after="283"/>
              <w:jc w:val="left"/>
              <w:rPr>
                <w:sz w:val="4"/>
                <w:szCs w:val="4"/>
              </w:rPr>
            </w:pPr>
            <w:r>
              <w:rPr>
                <w:sz w:val="4"/>
                <w:szCs w:val="4"/>
              </w:rPr>
            </w:r>
          </w:p>
        </w:tc>
      </w:tr>
      <w:tr>
        <w:trPr/>
        <w:tc>
          <w:tcPr>
            <w:tcW w:w="8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20"/>
              <w:jc w:val="left"/>
              <w:rPr>
                <w:rFonts w:ascii="Times New Roman;serif" w:hAnsi="Times New Roman;serif"/>
                <w:b/>
                <w:color w:val="000000"/>
                <w:sz w:val="18"/>
              </w:rPr>
            </w:pPr>
            <w:r>
              <w:rPr>
                <w:rFonts w:ascii="Times New Roman;serif" w:hAnsi="Times New Roman;serif"/>
                <w:b/>
                <w:color w:val="000000"/>
                <w:sz w:val="18"/>
              </w:rPr>
              <w:t>Description</w:t>
            </w:r>
          </w:p>
        </w:tc>
      </w:tr>
      <w:tr>
        <w:trPr/>
        <w:tc>
          <w:tcPr>
            <w:tcW w:w="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erif" w:hAnsi="Times New Roman;serif"/>
                  <w:b w:val="false"/>
                  <w:color w:val="0000FF"/>
                  <w:sz w:val="20"/>
                  <w:u w:val="single"/>
                </w:rPr>
                <w:t>Amended and Restated Certificate of Incorporation of New Viper (incorporated by reference to Exhibit 3.1 of New Viper’s Current Report on Form 8-K12B (File No. 001-42807), filed on August 19, 2025).</w:t>
              </w:r>
            </w:hyperlink>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7">
              <w:r>
                <w:rPr>
                  <w:rStyle w:val="InternetLink"/>
                  <w:rFonts w:ascii="Times New Roman;serif" w:hAnsi="Times New Roman;serif"/>
                  <w:b w:val="false"/>
                  <w:color w:val="0000FF"/>
                  <w:sz w:val="20"/>
                  <w:u w:val="single"/>
                </w:rPr>
                <w:t>Certificate of Amendment to the Certificate of Incorporation of New Viper (incorporated by reference to Exhibit 3.2 of New Viper’s Current Report on Form 8-K12B (File No. 001-42807), filed on August 19, 2025).</w:t>
              </w:r>
            </w:hyperlink>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8">
              <w:r>
                <w:rPr>
                  <w:rStyle w:val="InternetLink"/>
                  <w:rFonts w:ascii="Times New Roman;serif" w:hAnsi="Times New Roman;serif"/>
                  <w:b w:val="false"/>
                  <w:color w:val="0000FF"/>
                  <w:sz w:val="20"/>
                  <w:u w:val="single"/>
                </w:rPr>
                <w:t>Second Amended and Restated Bylaws of New Viper (incorporated by reference to Exhibit 3.3 of New Viper’s Quarterly Report on Form 10-Q (File No. 001-42807), filed on November 5, 2025).</w:t>
              </w:r>
            </w:hyperlink>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9">
              <w:r>
                <w:rPr>
                  <w:rStyle w:val="InternetLink"/>
                  <w:rFonts w:ascii="Times New Roman;serif" w:hAnsi="Times New Roman;serif"/>
                  <w:b w:val="false"/>
                  <w:color w:val="0000FF"/>
                  <w:sz w:val="20"/>
                  <w:u w:val="single"/>
                </w:rPr>
                <w:t>List of Issuers and Subsidiary Guarantors (incorporated by reference to Exhibit 22.1 of New Viper’s Annual Report on Form 10-K (File No. 001-42807), filed on February 25, 2026.</w:t>
              </w:r>
            </w:hyperlink>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12026viper10-qxex311.htm">
              <w:r>
                <w:rPr>
                  <w:rStyle w:val="InternetLink"/>
                  <w:rFonts w:ascii="Times New Roman;serif" w:hAnsi="Times New Roman;serif"/>
                  <w:b w:val="false"/>
                  <w:color w:val="0000FF"/>
                  <w:sz w:val="20"/>
                  <w:u w:val="single"/>
                </w:rPr>
                <w:t>Certification of Chief Executive Officer pursuant to Rule 13a-14(a) promulgated under the Securities Exchange Act of 1934, as amended.</w:t>
              </w:r>
            </w:hyperlink>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both"/>
              <w:rPr/>
            </w:pPr>
            <w:hyperlink w:anchor="q12026viper10-qxex312.htm">
              <w:r>
                <w:rPr>
                  <w:rStyle w:val="InternetLink"/>
                  <w:rFonts w:ascii="Times New Roman;serif" w:hAnsi="Times New Roman;serif"/>
                  <w:b w:val="false"/>
                  <w:color w:val="0000FF"/>
                  <w:sz w:val="20"/>
                  <w:u w:val="single"/>
                </w:rPr>
                <w:t>Certification of Chief Financial Officer pursuant to Rule 13a-14(a) promulgated under the Securities Exchange Act of 1934, as amended.</w:t>
              </w:r>
            </w:hyperlink>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40"/>
              <w:jc w:val="both"/>
              <w:rPr/>
            </w:pPr>
            <w:hyperlink w:anchor="q12026viper10-qxex321.htm">
              <w:r>
                <w:rPr>
                  <w:rStyle w:val="InternetLink"/>
                  <w:rFonts w:ascii="Times New Roman;serif" w:hAnsi="Times New Roman;serif"/>
                  <w:b w:val="false"/>
                  <w:color w:val="0000FF"/>
                  <w:sz w:val="20"/>
                  <w:u w:val="single"/>
                </w:rPr>
                <w:t>Certification of Chief Executive Officer and Chief Financial Officer pursuant to Rule 13a-14(b) promulgated under the Securities Exchange Act of 1934, as amended, and Section 1350 of Chapter 63 of Title 18 of the United States Code.</w:t>
              </w:r>
            </w:hyperlink>
          </w:p>
        </w:tc>
      </w:tr>
      <w:tr>
        <w:trPr/>
        <w:tc>
          <w:tcPr>
            <w:tcW w:w="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the Registrant’s Quarterly Report on Form 10-Q for the quarter ended March 31, 2026, formatted in Inline XBRL: (i) Condensed Consolidated Statements of Operations, (ii) Condensed Consolidated Balance Sheets, (iii) Condensed Consolidated Statements of Cash Flows, (iv) Condensed Consolidated Statements of Stockholders’ Equity, and (v) Notes to the Condensed Consolidated Financial Statements.</w:t>
            </w:r>
          </w:p>
        </w:tc>
      </w:tr>
      <w:tr>
        <w:trPr/>
        <w:tc>
          <w:tcPr>
            <w:tcW w:w="8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lineRule="auto" w:line="192"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The certifications attached as Exhibit 32.1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a4d921f96b0461ca4b5dcc2b847ded7_7">
        <w:r>
          <w:rPr>
            <w:rStyle w:val="InternetLink"/>
            <w:rFonts w:ascii="Times New Roman;serif" w:hAnsi="Times New Roman;serif"/>
            <w:b w:val="false"/>
            <w:color w:val="0000FF"/>
            <w:sz w:val="16"/>
            <w:u w:val="single"/>
          </w:rPr>
          <w:t>Table of Contents</w:t>
        </w:r>
      </w:hyperlink>
    </w:p>
    <w:p>
      <w:pPr>
        <w:pStyle w:val="TextBody"/>
        <w:bidi w:val="0"/>
        <w:spacing w:before="0" w:after="0"/>
        <w:ind w:left="0" w:right="0" w:firstLine="720"/>
        <w:jc w:val="left"/>
        <w:rPr/>
      </w:pPr>
      <w:r>
        <w:rPr/>
      </w:r>
    </w:p>
    <w:p>
      <w:pPr>
        <w:pStyle w:val="TextBody"/>
        <w:bidi w:val="0"/>
        <w:spacing w:lineRule="auto" w:line="288" w:before="0" w:after="0"/>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ind w:left="0" w:right="0" w:firstLine="720"/>
        <w:jc w:val="center"/>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p>
      <w:pPr>
        <w:pStyle w:val="TextBody"/>
        <w:bidi w:val="0"/>
        <w:spacing w:before="0" w:after="0"/>
        <w:ind w:left="0" w:right="0" w:firstLine="720"/>
        <w:jc w:val="left"/>
        <w:rPr/>
      </w:pPr>
      <w:r>
        <w:rPr/>
      </w:r>
    </w:p>
    <w:tbl>
      <w:tblPr>
        <w:tblW w:w="4745"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327"/>
        <w:gridCol w:w="327"/>
        <w:gridCol w:w="327"/>
        <w:gridCol w:w="605"/>
        <w:gridCol w:w="605"/>
        <w:gridCol w:w="86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ind w:left="0" w:right="0" w:firstLine="7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firstLine="7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8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135"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31.2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Teresa L. Dick, certify that: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Viper Energy, Inc. (the “registrant”); </w:t>
      </w:r>
    </w:p>
    <w:p>
      <w:pPr>
        <w:pStyle w:val="TextBody"/>
        <w:bidi w:val="0"/>
        <w:spacing w:lineRule="auto" w:line="288" w:before="10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074"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586"/>
        <w:gridCol w:w="586"/>
        <w:gridCol w:w="837"/>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42"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PERIOD REPORT </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on Form 10-Q of Viper Energy, Inc. (the “Company”), as filed with the Securities and Exchange Commission on the date hereof (the “Report”), the undersigned, Kaes Van’t Hof, Chief Executive Officer of Viper Energy, Inc., and Teresa L. Dick, Chief Financial Officer of Viper Energy, Inc., certify, pursuant to 18 U.S.C. Section 1350, as adopted pursuant to Section 906 of the Sarbanes-Oxley Act of 2002, that, to their knowledge:</w:t>
      </w:r>
    </w:p>
    <w:p>
      <w:pPr>
        <w:pStyle w:val="TextBody"/>
        <w:bidi w:val="0"/>
        <w:spacing w:lineRule="auto" w:line="288" w:before="18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(1) the Report fully complies with the requirements of Section 13(a) or 15(d) of the Securities Exchange Act of 1934 (15 U.S.C. 78m or 78o(d)); and </w:t>
      </w:r>
    </w:p>
    <w:p>
      <w:pPr>
        <w:pStyle w:val="TextBody"/>
        <w:bidi w:val="0"/>
        <w:spacing w:lineRule="auto" w:line="288" w:before="180" w:after="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both"/>
        <w:rPr>
          <w:color w:val="000000"/>
        </w:rPr>
      </w:pPr>
      <w:r>
        <w:rPr>
          <w:color w:val="000000"/>
        </w:rPr>
        <w:t> </w:t>
      </w:r>
    </w:p>
    <w:tbl>
      <w:tblPr>
        <w:tblW w:w="4135" w:type="dxa"/>
        <w:jc w:val="left"/>
        <w:tblInd w:w="0" w:type="dxa"/>
        <w:tblLayout w:type="fixed"/>
        <w:tblCellMar>
          <w:top w:w="28" w:type="dxa"/>
          <w:left w:w="28" w:type="dxa"/>
          <w:bottom w:w="28" w:type="dxa"/>
          <w:right w:w="28" w:type="dxa"/>
        </w:tblCellMar>
      </w:tblPr>
      <w:tblGrid>
        <w:gridCol w:w="216"/>
        <w:gridCol w:w="191"/>
        <w:gridCol w:w="192"/>
        <w:gridCol w:w="379"/>
        <w:gridCol w:w="379"/>
        <w:gridCol w:w="381"/>
        <w:gridCol w:w="109"/>
        <w:gridCol w:w="109"/>
        <w:gridCol w:w="109"/>
        <w:gridCol w:w="606"/>
        <w:gridCol w:w="606"/>
        <w:gridCol w:w="85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Teresa L. Dick</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Viper Energy, Inc.</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2074176/000207417626000010/vnom-20251231.htm" TargetMode="External"/><Relationship Id="rId3" Type="http://schemas.openxmlformats.org/officeDocument/2006/relationships/hyperlink" Target="https://www.sec.gov/ix?doc=/Archives/edgar/data/0002074176/000207417626000010/vnom-20251231.htm" TargetMode="External"/><Relationship Id="rId4" Type="http://schemas.openxmlformats.org/officeDocument/2006/relationships/hyperlink" Target="https://www.sec.gov/ix?doc=/Archives/edgar/data/0002074176/000207417626000010/vnom-20251231.htm" TargetMode="External"/><Relationship Id="rId5" Type="http://schemas.openxmlformats.org/officeDocument/2006/relationships/hyperlink" Target="https://www.sec.gov/ix?doc=/Archives/edgar/data/0002074176/000207417626000010/vnom-20251231.htm" TargetMode="External"/><Relationship Id="rId6" Type="http://schemas.openxmlformats.org/officeDocument/2006/relationships/hyperlink" Target="https://www.sec.gov/Archives/edgar/data/2074176/000119312525183036/d66098dex31.htm" TargetMode="External"/><Relationship Id="rId7" Type="http://schemas.openxmlformats.org/officeDocument/2006/relationships/hyperlink" Target="https://www.sec.gov/Archives/edgar/data/2074176/000119312525183036/d66098dex32.htm" TargetMode="External"/><Relationship Id="rId8" Type="http://schemas.openxmlformats.org/officeDocument/2006/relationships/hyperlink" Target="https://www.sec.gov/Archives/edgar/data/2074176/000207417625000053/q32025viper10-qxex33.htm" TargetMode="External"/><Relationship Id="rId9" Type="http://schemas.openxmlformats.org/officeDocument/2006/relationships/hyperlink" Target="https://www.sec.gov/Archives/edgar/data/2074176/000207417626000010/viper202510-kxex221.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19989</Words>
  <Characters>109276</Characters>
  <CharactersWithSpaces>127755</CharactersWithSpaces>
  <Paragraphs>2532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