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52705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109855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14" w:lineRule="exact"/>
        <w:rPr>
          <w:sz w:val="24"/>
          <w:szCs w:val="24"/>
          <w:color w:val="auto"/>
        </w:rPr>
      </w:pPr>
    </w:p>
    <w:p>
      <w:pPr>
        <w:ind w:left="640" w:right="12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SECURITIES EXCHANGE ACT OF 1934</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6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98"/>
              </w:rPr>
              <w:t>DE</w:t>
            </w:r>
          </w:p>
        </w:tc>
        <w:tc>
          <w:tcPr>
            <w:tcW w:w="3340" w:type="dxa"/>
            <w:vAlign w:val="bottom"/>
          </w:tcPr>
          <w:p>
            <w:pPr>
              <w:jc w:val="right"/>
              <w:ind w:right="784"/>
              <w:spacing w:after="0"/>
              <w:rPr>
                <w:sz w:val="20"/>
                <w:szCs w:val="20"/>
                <w:color w:val="auto"/>
              </w:rPr>
            </w:pPr>
            <w:r>
              <w:rPr>
                <w:rFonts w:ascii="Arial" w:cs="Arial" w:eastAsia="Arial" w:hAnsi="Arial"/>
                <w:sz w:val="16"/>
                <w:szCs w:val="16"/>
                <w:b w:val="1"/>
                <w:bCs w:val="1"/>
                <w:color w:val="auto"/>
              </w:rPr>
              <w:t>46-5001985</w:t>
            </w:r>
          </w:p>
        </w:tc>
      </w:tr>
      <w:tr>
        <w:trPr>
          <w:trHeight w:val="361"/>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r>
      <w:tr>
        <w:trPr>
          <w:trHeight w:val="411"/>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7"/>
              </w:rPr>
              <w:t>500 West Texas Ave.</w:t>
            </w:r>
          </w:p>
        </w:tc>
        <w:tc>
          <w:tcPr>
            <w:tcW w:w="3340" w:type="dxa"/>
            <w:vAlign w:val="bottom"/>
          </w:tcPr>
          <w:p>
            <w:pPr>
              <w:spacing w:after="0"/>
              <w:rPr>
                <w:sz w:val="24"/>
                <w:szCs w:val="24"/>
                <w:color w:val="auto"/>
              </w:rPr>
            </w:pPr>
          </w:p>
        </w:tc>
      </w:tr>
      <w:tr>
        <w:trPr>
          <w:trHeight w:val="216"/>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Suite 100</w:t>
            </w:r>
          </w:p>
        </w:tc>
        <w:tc>
          <w:tcPr>
            <w:tcW w:w="3340" w:type="dxa"/>
            <w:vAlign w:val="bottom"/>
          </w:tcPr>
          <w:p>
            <w:pPr>
              <w:spacing w:after="0"/>
              <w:rPr>
                <w:sz w:val="18"/>
                <w:szCs w:val="18"/>
                <w:color w:val="auto"/>
              </w:rPr>
            </w:pPr>
          </w:p>
        </w:tc>
      </w:tr>
      <w:tr>
        <w:trPr>
          <w:trHeight w:val="213"/>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rPr>
              <w:t>Midland, TX</w:t>
            </w:r>
          </w:p>
        </w:tc>
        <w:tc>
          <w:tcPr>
            <w:tcW w:w="33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2"/>
              </w:rPr>
              <w:t>(Zip code)</w:t>
            </w:r>
          </w:p>
        </w:tc>
      </w:tr>
    </w:tbl>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3"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164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Common Units</w:t>
            </w:r>
          </w:p>
        </w:tc>
        <w:tc>
          <w:tcPr>
            <w:tcW w:w="42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6"/>
                <w:szCs w:val="16"/>
                <w:color w:val="auto"/>
              </w:rPr>
              <w:t>VNOM</w:t>
            </w:r>
          </w:p>
        </w:tc>
        <w:tc>
          <w:tcPr>
            <w:tcW w:w="30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325" w:lineRule="exact"/>
        <w:rPr>
          <w:sz w:val="24"/>
          <w:szCs w:val="24"/>
          <w:color w:val="auto"/>
        </w:rPr>
      </w:pPr>
    </w:p>
    <w:p>
      <w:pPr>
        <w:ind w:right="2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20"/>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22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4, 2022, the registrant had outstanding 74,185,141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7"/>
                <w:szCs w:val="17"/>
                <w:color w:val="0000FF"/>
                <w:w w:val="95"/>
              </w:rPr>
              <w:t>Glossary of Oil and Natural Gas Terms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center"/>
              <w:ind w:right="280"/>
              <w:spacing w:after="0" w:line="169" w:lineRule="exact"/>
              <w:rPr>
                <w:sz w:val="20"/>
                <w:szCs w:val="20"/>
                <w:color w:val="auto"/>
              </w:rPr>
            </w:pPr>
            <w:r>
              <w:rPr>
                <w:rFonts w:ascii="Arial" w:cs="Arial" w:eastAsia="Arial" w:hAnsi="Arial"/>
                <w:sz w:val="18"/>
                <w:szCs w:val="18"/>
                <w:color w:val="0000FF"/>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gridSpan w:val="23"/>
          </w:tcPr>
          <w:p>
            <w:pPr>
              <w:spacing w:after="0" w:line="183" w:lineRule="exact"/>
              <w:rPr>
                <w:sz w:val="20"/>
                <w:szCs w:val="20"/>
                <w:color w:val="auto"/>
              </w:rPr>
            </w:pPr>
            <w:r>
              <w:rPr>
                <w:rFonts w:ascii="Arial" w:cs="Arial" w:eastAsia="Arial" w:hAnsi="Arial"/>
                <w:sz w:val="18"/>
                <w:szCs w:val="18"/>
                <w:color w:val="0000FF"/>
              </w:rPr>
              <w:t>Glossary of Certain Other Terms</w:t>
            </w: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0000FF"/>
                <w:w w:val="99"/>
              </w:rPr>
              <w:t>iii</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91"/>
              </w:rPr>
              <w:t>iv</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Arial" w:cs="Arial" w:eastAsia="Arial" w:hAnsi="Arial"/>
                <w:sz w:val="18"/>
                <w:szCs w:val="18"/>
                <w:color w:val="0000FF"/>
              </w:rPr>
              <w:t>Item 1. Condensed Consolidated Financial Statements (Unaudited)</w:t>
            </w: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1</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8"/>
            <w:shd w:val="clear" w:color="auto" w:fill="CCEEFF"/>
          </w:tcPr>
          <w:p>
            <w:pPr>
              <w:spacing w:after="0" w:line="182" w:lineRule="exact"/>
              <w:rPr>
                <w:sz w:val="20"/>
                <w:szCs w:val="20"/>
                <w:color w:val="auto"/>
              </w:rPr>
            </w:pPr>
            <w:r>
              <w:rPr>
                <w:rFonts w:ascii="Arial" w:cs="Arial" w:eastAsia="Arial" w:hAnsi="Arial"/>
                <w:sz w:val="18"/>
                <w:szCs w:val="18"/>
                <w:color w:val="0000FF"/>
                <w:w w:val="87"/>
              </w:rPr>
              <w:t>Condensed Consolidated Balance Sheets</w:t>
            </w:r>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sz w:val="20"/>
                <w:szCs w:val="20"/>
                <w:color w:val="auto"/>
              </w:rPr>
            </w:pPr>
            <w:r>
              <w:rPr>
                <w:rFonts w:ascii="Arial" w:cs="Arial" w:eastAsia="Arial" w:hAnsi="Arial"/>
                <w:sz w:val="18"/>
                <w:szCs w:val="18"/>
                <w:color w:val="0000FF"/>
                <w:w w:val="79"/>
              </w:rPr>
              <w:t>1</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2"/>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2</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to Unitholders’ Equity</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3</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8"/>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5</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Condensed Notes to Consolidated Financial Statements</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6</w:t>
            </w: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18</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6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28</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6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29</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9"/>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Arial" w:cs="Arial" w:eastAsia="Arial" w:hAnsi="Arial"/>
                <w:sz w:val="18"/>
                <w:szCs w:val="18"/>
                <w:color w:val="0000FF"/>
              </w:rPr>
              <w:t>Item 1. Legal Proceedings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Arial" w:cs="Arial" w:eastAsia="Arial" w:hAnsi="Arial"/>
                <w:sz w:val="18"/>
                <w:szCs w:val="18"/>
                <w:color w:val="0000FF"/>
              </w:rPr>
              <w:t>Item 1A. Risk Factors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Arial" w:cs="Arial" w:eastAsia="Arial" w:hAnsi="Arial"/>
                <w:sz w:val="18"/>
                <w:szCs w:val="18"/>
                <w:color w:val="0000FF"/>
              </w:rPr>
              <w:t>Item 6. Exhibits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31</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Arial" w:cs="Arial" w:eastAsia="Arial" w:hAnsi="Arial"/>
                <w:sz w:val="18"/>
                <w:szCs w:val="18"/>
                <w:color w:val="0000FF"/>
              </w:rPr>
              <w:t>Signatures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32</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r>
      <w:tr>
        <w:trPr>
          <w:trHeight w:val="237"/>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r>
      <w:tr>
        <w:trPr>
          <w:trHeight w:val="236"/>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barrel of oil.</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BO/d</w:t>
            </w:r>
          </w:p>
        </w:tc>
        <w:tc>
          <w:tcPr>
            <w:tcW w:w="8780" w:type="dxa"/>
            <w:vAlign w:val="bottom"/>
          </w:tcPr>
          <w:p>
            <w:pPr>
              <w:ind w:left="280"/>
              <w:spacing w:after="0"/>
              <w:rPr>
                <w:sz w:val="20"/>
                <w:szCs w:val="20"/>
                <w:color w:val="auto"/>
              </w:rPr>
            </w:pPr>
            <w:r>
              <w:rPr>
                <w:rFonts w:ascii="Arial" w:cs="Arial" w:eastAsia="Arial" w:hAnsi="Arial"/>
                <w:sz w:val="18"/>
                <w:szCs w:val="18"/>
                <w:color w:val="auto"/>
              </w:rPr>
              <w:t>BO per day.</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One barrel of oil equivalent, with six thousand cubic feet of natural gas being equivalent to one barrel of oil.</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drilling mechanisms.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MBOE</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condensate or natural gas liquids.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Mcf</w:t>
            </w:r>
          </w:p>
        </w:tc>
        <w:tc>
          <w:tcPr>
            <w:tcW w:w="8780" w:type="dxa"/>
            <w:vAlign w:val="bottom"/>
          </w:tcPr>
          <w:p>
            <w:pPr>
              <w:ind w:left="280"/>
              <w:spacing w:after="0"/>
              <w:rPr>
                <w:sz w:val="20"/>
                <w:szCs w:val="20"/>
                <w:color w:val="auto"/>
              </w:rPr>
            </w:pPr>
            <w:r>
              <w:rPr>
                <w:rFonts w:ascii="Arial" w:cs="Arial" w:eastAsia="Arial" w:hAnsi="Arial"/>
                <w:sz w:val="18"/>
                <w:szCs w:val="18"/>
                <w:color w:val="auto"/>
              </w:rPr>
              <w:t>One thousand cubic feet of natural gas.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resources.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MMcf</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Million cubic feet of natural gas.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tcPr>
          <w:p>
            <w:pPr>
              <w:ind w:left="280"/>
              <w:spacing w:after="0"/>
              <w:rPr>
                <w:sz w:val="20"/>
                <w:szCs w:val="20"/>
                <w:color w:val="auto"/>
              </w:rPr>
            </w:pPr>
            <w:r>
              <w:rPr>
                <w:rFonts w:ascii="Arial" w:cs="Arial" w:eastAsia="Arial" w:hAnsi="Arial"/>
                <w:sz w:val="18"/>
                <w:szCs w:val="18"/>
                <w:color w:val="auto"/>
              </w:rPr>
              <w:t>Net mineral acres multiplied by the average lease royalty interest and other burdens.</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Prospect</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hydrocarbons.</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0"/>
              </w:rPr>
              <w:t>The estimated quantities of oil, natural gas and natural gas liquids which geological and engineering data demonstrate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7"/>
              </w:rPr>
              <w:t>with reasonable certainty to be commercially recoverable in future years from known reservoirs under existing</w:t>
            </w:r>
          </w:p>
        </w:tc>
      </w:tr>
      <w:tr>
        <w:trPr>
          <w:trHeight w:val="237"/>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economic and operating conditions.</w:t>
            </w:r>
          </w:p>
        </w:tc>
      </w:tr>
      <w:tr>
        <w:trPr>
          <w:trHeight w:val="182"/>
        </w:trPr>
        <w:tc>
          <w:tcPr>
            <w:tcW w:w="2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Reserves</w:t>
            </w:r>
          </w:p>
        </w:tc>
        <w:tc>
          <w:tcPr>
            <w:tcW w:w="8780" w:type="dxa"/>
            <w:vAlign w:val="bottom"/>
            <w:shd w:val="clear" w:color="auto" w:fill="CCEEFF"/>
          </w:tcPr>
          <w:p>
            <w:pPr>
              <w:ind w:left="280"/>
              <w:spacing w:after="0" w:line="182" w:lineRule="exact"/>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r>
      <w:tr>
        <w:trPr>
          <w:trHeight w:val="188"/>
        </w:trPr>
        <w:tc>
          <w:tcPr>
            <w:tcW w:w="2440" w:type="dxa"/>
            <w:vAlign w:val="bottom"/>
            <w:shd w:val="clear" w:color="auto" w:fill="CCEEFF"/>
          </w:tcPr>
          <w:p>
            <w:pPr>
              <w:spacing w:after="0"/>
              <w:rPr>
                <w:sz w:val="16"/>
                <w:szCs w:val="16"/>
                <w:color w:val="auto"/>
              </w:rPr>
            </w:pPr>
          </w:p>
        </w:tc>
        <w:tc>
          <w:tcPr>
            <w:tcW w:w="878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r>
      <w:tr>
        <w:trPr>
          <w:trHeight w:val="176"/>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r>
      <w:tr>
        <w:trPr>
          <w:trHeight w:val="188"/>
        </w:trPr>
        <w:tc>
          <w:tcPr>
            <w:tcW w:w="2440" w:type="dxa"/>
            <w:vAlign w:val="bottom"/>
            <w:shd w:val="clear" w:color="auto" w:fill="CCEEFF"/>
          </w:tcPr>
          <w:p>
            <w:pPr>
              <w:spacing w:after="0"/>
              <w:rPr>
                <w:sz w:val="16"/>
                <w:szCs w:val="16"/>
                <w:color w:val="auto"/>
              </w:rPr>
            </w:pPr>
          </w:p>
        </w:tc>
        <w:tc>
          <w:tcPr>
            <w:tcW w:w="878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r>
      <w:tr>
        <w:trPr>
          <w:trHeight w:val="176"/>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Reservoir</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r>
      <w:tr>
        <w:trPr>
          <w:trHeight w:val="237"/>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182"/>
        </w:trPr>
        <w:tc>
          <w:tcPr>
            <w:tcW w:w="2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Royalty interest</w:t>
            </w:r>
          </w:p>
        </w:tc>
        <w:tc>
          <w:tcPr>
            <w:tcW w:w="8780" w:type="dxa"/>
            <w:vAlign w:val="bottom"/>
            <w:shd w:val="clear" w:color="auto" w:fill="CCEEFF"/>
          </w:tcPr>
          <w:p>
            <w:pPr>
              <w:ind w:left="280"/>
              <w:spacing w:after="0" w:line="182" w:lineRule="exact"/>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Spud</w:t>
            </w:r>
          </w:p>
        </w:tc>
        <w:tc>
          <w:tcPr>
            <w:tcW w:w="8780" w:type="dxa"/>
            <w:vAlign w:val="bottom"/>
          </w:tcPr>
          <w:p>
            <w:pPr>
              <w:ind w:left="280"/>
              <w:spacing w:after="0"/>
              <w:rPr>
                <w:sz w:val="20"/>
                <w:szCs w:val="20"/>
                <w:color w:val="auto"/>
              </w:rPr>
            </w:pPr>
            <w:r>
              <w:rPr>
                <w:rFonts w:ascii="Arial" w:cs="Arial" w:eastAsia="Arial" w:hAnsi="Arial"/>
                <w:sz w:val="18"/>
                <w:szCs w:val="18"/>
                <w:color w:val="auto"/>
              </w:rPr>
              <w:t>Commencement of actual drilling operations.</w:t>
            </w:r>
          </w:p>
        </w:tc>
      </w:tr>
      <w:tr>
        <w:trPr>
          <w:trHeight w:val="230"/>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2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Standards Update.</w:t>
            </w:r>
          </w:p>
        </w:tc>
      </w:tr>
      <w:tr>
        <w:trPr>
          <w:trHeight w:val="202"/>
        </w:trPr>
        <w:tc>
          <w:tcPr>
            <w:tcW w:w="2100" w:type="dxa"/>
            <w:vAlign w:val="bottom"/>
          </w:tcPr>
          <w:p>
            <w:pPr>
              <w:ind w:left="20"/>
              <w:spacing w:after="0" w:line="201" w:lineRule="exact"/>
              <w:rPr>
                <w:sz w:val="20"/>
                <w:szCs w:val="20"/>
                <w:color w:val="auto"/>
              </w:rPr>
            </w:pPr>
            <w:r>
              <w:rPr>
                <w:rFonts w:ascii="Arial" w:cs="Arial" w:eastAsia="Arial" w:hAnsi="Arial"/>
                <w:sz w:val="18"/>
                <w:szCs w:val="18"/>
                <w:color w:val="auto"/>
              </w:rPr>
              <w:t>Adjusted EBITDA</w:t>
            </w:r>
          </w:p>
        </w:tc>
        <w:tc>
          <w:tcPr>
            <w:tcW w:w="9120" w:type="dxa"/>
            <w:vAlign w:val="bottom"/>
          </w:tcPr>
          <w:p>
            <w:pPr>
              <w:ind w:left="620"/>
              <w:spacing w:after="0" w:line="201" w:lineRule="exact"/>
              <w:rPr>
                <w:sz w:val="20"/>
                <w:szCs w:val="20"/>
                <w:color w:val="auto"/>
              </w:rPr>
            </w:pPr>
            <w:r>
              <w:rPr>
                <w:rFonts w:ascii="Arial" w:cs="Arial" w:eastAsia="Arial" w:hAnsi="Arial"/>
                <w:sz w:val="18"/>
                <w:szCs w:val="18"/>
                <w:color w:val="auto"/>
                <w:w w:val="91"/>
              </w:rPr>
              <w:t>Consolidated Adjusted EBITDA, a non-GAAP measure, generally equals its net income (loss) plus net income (loss)</w:t>
            </w:r>
          </w:p>
        </w:tc>
      </w:tr>
      <w:tr>
        <w:trPr>
          <w:trHeight w:val="203"/>
        </w:trPr>
        <w:tc>
          <w:tcPr>
            <w:tcW w:w="2100" w:type="dxa"/>
            <w:vAlign w:val="bottom"/>
          </w:tcPr>
          <w:p>
            <w:pPr>
              <w:spacing w:after="0"/>
              <w:rPr>
                <w:sz w:val="17"/>
                <w:szCs w:val="17"/>
                <w:color w:val="auto"/>
              </w:rPr>
            </w:pPr>
          </w:p>
        </w:tc>
        <w:tc>
          <w:tcPr>
            <w:tcW w:w="9120" w:type="dxa"/>
            <w:vAlign w:val="bottom"/>
          </w:tcPr>
          <w:p>
            <w:pPr>
              <w:ind w:left="620"/>
              <w:spacing w:after="0" w:line="202" w:lineRule="exact"/>
              <w:rPr>
                <w:sz w:val="20"/>
                <w:szCs w:val="20"/>
                <w:color w:val="auto"/>
              </w:rPr>
            </w:pPr>
            <w:r>
              <w:rPr>
                <w:rFonts w:ascii="Arial" w:cs="Arial" w:eastAsia="Arial" w:hAnsi="Arial"/>
                <w:sz w:val="18"/>
                <w:szCs w:val="18"/>
                <w:color w:val="auto"/>
                <w:w w:val="95"/>
              </w:rPr>
              <w:t>attributable to non-controlling interest before interest expense, net, non-cash unit-based compensation expense,</w:t>
            </w:r>
          </w:p>
        </w:tc>
      </w:tr>
      <w:tr>
        <w:trPr>
          <w:trHeight w:val="203"/>
        </w:trPr>
        <w:tc>
          <w:tcPr>
            <w:tcW w:w="2100" w:type="dxa"/>
            <w:vAlign w:val="bottom"/>
          </w:tcPr>
          <w:p>
            <w:pPr>
              <w:spacing w:after="0"/>
              <w:rPr>
                <w:sz w:val="17"/>
                <w:szCs w:val="17"/>
                <w:color w:val="auto"/>
              </w:rPr>
            </w:pPr>
          </w:p>
        </w:tc>
        <w:tc>
          <w:tcPr>
            <w:tcW w:w="9120" w:type="dxa"/>
            <w:vAlign w:val="bottom"/>
          </w:tcPr>
          <w:p>
            <w:pPr>
              <w:ind w:left="620"/>
              <w:spacing w:after="0" w:line="202" w:lineRule="exact"/>
              <w:rPr>
                <w:sz w:val="20"/>
                <w:szCs w:val="20"/>
                <w:color w:val="auto"/>
              </w:rPr>
            </w:pPr>
            <w:r>
              <w:rPr>
                <w:rFonts w:ascii="Arial" w:cs="Arial" w:eastAsia="Arial" w:hAnsi="Arial"/>
                <w:sz w:val="18"/>
                <w:szCs w:val="18"/>
                <w:color w:val="auto"/>
                <w:w w:val="95"/>
              </w:rPr>
              <w:t>depletion expense, non-cash (gain) loss on derivative instruments and provision for (benefit from) income taxes,</w:t>
            </w:r>
          </w:p>
        </w:tc>
      </w:tr>
      <w:tr>
        <w:trPr>
          <w:trHeight w:val="203"/>
        </w:trPr>
        <w:tc>
          <w:tcPr>
            <w:tcW w:w="2100" w:type="dxa"/>
            <w:vAlign w:val="bottom"/>
          </w:tcPr>
          <w:p>
            <w:pPr>
              <w:spacing w:after="0"/>
              <w:rPr>
                <w:sz w:val="17"/>
                <w:szCs w:val="17"/>
                <w:color w:val="auto"/>
              </w:rPr>
            </w:pPr>
          </w:p>
        </w:tc>
        <w:tc>
          <w:tcPr>
            <w:tcW w:w="9120" w:type="dxa"/>
            <w:vAlign w:val="bottom"/>
          </w:tcPr>
          <w:p>
            <w:pPr>
              <w:ind w:left="620"/>
              <w:spacing w:after="0" w:line="202" w:lineRule="exact"/>
              <w:rPr>
                <w:sz w:val="20"/>
                <w:szCs w:val="20"/>
                <w:color w:val="auto"/>
              </w:rPr>
            </w:pPr>
            <w:r>
              <w:rPr>
                <w:rFonts w:ascii="Arial" w:cs="Arial" w:eastAsia="Arial" w:hAnsi="Arial"/>
                <w:sz w:val="18"/>
                <w:szCs w:val="18"/>
                <w:color w:val="auto"/>
                <w:w w:val="96"/>
              </w:rPr>
              <w:t>which measure is used by management to more effectively evaluate the operating performance and determine</w:t>
            </w:r>
          </w:p>
        </w:tc>
      </w:tr>
      <w:tr>
        <w:trPr>
          <w:trHeight w:val="230"/>
        </w:trPr>
        <w:tc>
          <w:tcPr>
            <w:tcW w:w="2100" w:type="dxa"/>
            <w:vAlign w:val="bottom"/>
          </w:tcPr>
          <w:p>
            <w:pPr>
              <w:spacing w:after="0"/>
              <w:rPr>
                <w:sz w:val="20"/>
                <w:szCs w:val="20"/>
                <w:color w:val="auto"/>
              </w:rPr>
            </w:pPr>
          </w:p>
        </w:tc>
        <w:tc>
          <w:tcPr>
            <w:tcW w:w="9120" w:type="dxa"/>
            <w:vAlign w:val="bottom"/>
          </w:tcPr>
          <w:p>
            <w:pPr>
              <w:ind w:left="620"/>
              <w:spacing w:after="0"/>
              <w:rPr>
                <w:sz w:val="20"/>
                <w:szCs w:val="20"/>
                <w:color w:val="auto"/>
              </w:rPr>
            </w:pPr>
            <w:r>
              <w:rPr>
                <w:rFonts w:ascii="Arial" w:cs="Arial" w:eastAsia="Arial" w:hAnsi="Arial"/>
                <w:sz w:val="18"/>
                <w:szCs w:val="18"/>
                <w:color w:val="auto"/>
              </w:rPr>
              <w:t>distributable amounts for purposes of the distribution policy.</w:t>
            </w:r>
          </w:p>
        </w:tc>
      </w:tr>
      <w:tr>
        <w:trPr>
          <w:trHeight w:val="27"/>
        </w:trPr>
        <w:tc>
          <w:tcPr>
            <w:tcW w:w="210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Diamondback Energy, Inc., a Delaware corporation.</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120" w:type="dxa"/>
            <w:vAlign w:val="bottom"/>
          </w:tcPr>
          <w:p>
            <w:pPr>
              <w:ind w:left="620"/>
              <w:spacing w:after="0"/>
              <w:rPr>
                <w:sz w:val="20"/>
                <w:szCs w:val="20"/>
                <w:color w:val="auto"/>
              </w:rPr>
            </w:pPr>
            <w:r>
              <w:rPr>
                <w:rFonts w:ascii="Arial" w:cs="Arial" w:eastAsia="Arial" w:hAnsi="Arial"/>
                <w:sz w:val="18"/>
                <w:szCs w:val="18"/>
                <w:color w:val="auto"/>
              </w:rPr>
              <w:t>The Securities Exchange Act of 1934, as amended.</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General Partner</w:t>
            </w:r>
          </w:p>
        </w:tc>
        <w:tc>
          <w:tcPr>
            <w:tcW w:w="9120" w:type="dxa"/>
            <w:vAlign w:val="bottom"/>
          </w:tcPr>
          <w:p>
            <w:pPr>
              <w:ind w:left="62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London interbank offered rate.</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LTIP</w:t>
            </w:r>
          </w:p>
        </w:tc>
        <w:tc>
          <w:tcPr>
            <w:tcW w:w="9120" w:type="dxa"/>
            <w:vAlign w:val="bottom"/>
          </w:tcPr>
          <w:p>
            <w:pPr>
              <w:ind w:left="620"/>
              <w:spacing w:after="0"/>
              <w:rPr>
                <w:sz w:val="20"/>
                <w:szCs w:val="20"/>
                <w:color w:val="auto"/>
              </w:rPr>
            </w:pPr>
            <w:r>
              <w:rPr>
                <w:rFonts w:ascii="Arial" w:cs="Arial" w:eastAsia="Arial" w:hAnsi="Arial"/>
                <w:sz w:val="18"/>
                <w:szCs w:val="18"/>
                <w:color w:val="auto"/>
              </w:rPr>
              <w:t>Viper Energy Partners LP Long Term Incentive Plan.</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OPEC</w:t>
            </w:r>
          </w:p>
        </w:tc>
        <w:tc>
          <w:tcPr>
            <w:tcW w:w="9120" w:type="dxa"/>
            <w:vAlign w:val="bottom"/>
          </w:tcPr>
          <w:p>
            <w:pPr>
              <w:ind w:left="620"/>
              <w:spacing w:after="0"/>
              <w:rPr>
                <w:sz w:val="20"/>
                <w:szCs w:val="20"/>
                <w:color w:val="auto"/>
              </w:rPr>
            </w:pPr>
            <w:r>
              <w:rPr>
                <w:rFonts w:ascii="Arial" w:cs="Arial" w:eastAsia="Arial" w:hAnsi="Arial"/>
                <w:sz w:val="18"/>
                <w:szCs w:val="18"/>
                <w:color w:val="auto"/>
              </w:rPr>
              <w:t>Organization of the Petroleum Exporting Countries.</w:t>
            </w:r>
          </w:p>
        </w:tc>
      </w:tr>
      <w:tr>
        <w:trPr>
          <w:trHeight w:val="188"/>
        </w:trPr>
        <w:tc>
          <w:tcPr>
            <w:tcW w:w="2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Operating Company</w:t>
            </w:r>
          </w:p>
        </w:tc>
        <w:tc>
          <w:tcPr>
            <w:tcW w:w="9120" w:type="dxa"/>
            <w:vAlign w:val="bottom"/>
            <w:shd w:val="clear" w:color="auto" w:fill="CCEEFF"/>
          </w:tcPr>
          <w:p>
            <w:pPr>
              <w:ind w:left="620"/>
              <w:spacing w:after="0" w:line="189" w:lineRule="exact"/>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30"/>
        </w:trPr>
        <w:tc>
          <w:tcPr>
            <w:tcW w:w="2100" w:type="dxa"/>
            <w:vAlign w:val="bottom"/>
            <w:shd w:val="clear" w:color="auto" w:fill="CCEEFF"/>
          </w:tcPr>
          <w:p>
            <w:pPr>
              <w:spacing w:after="0"/>
              <w:rPr>
                <w:sz w:val="20"/>
                <w:szCs w:val="20"/>
                <w:color w:val="auto"/>
              </w:rPr>
            </w:pP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Partners LP.</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Partnership</w:t>
            </w:r>
          </w:p>
        </w:tc>
        <w:tc>
          <w:tcPr>
            <w:tcW w:w="9120" w:type="dxa"/>
            <w:vAlign w:val="bottom"/>
          </w:tcPr>
          <w:p>
            <w:pPr>
              <w:ind w:left="6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United States Securities and Exchange Commission.</w:t>
            </w:r>
          </w:p>
        </w:tc>
      </w:tr>
      <w:tr>
        <w:trPr>
          <w:trHeight w:val="23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w:t>
            </w:r>
          </w:p>
        </w:tc>
        <w:tc>
          <w:tcPr>
            <w:tcW w:w="91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u w:val="single" w:color="auto"/>
          <w:color w:val="0000FF"/>
        </w:rPr>
        <w:t>Part II. Item 1A. Risk Factors</w:t>
      </w:r>
      <w:r>
        <w:rPr>
          <w:rFonts w:ascii="Arial" w:cs="Arial" w:eastAsia="Arial" w:hAnsi="Arial"/>
          <w:sz w:val="17"/>
          <w:szCs w:val="17"/>
          <w:color w:val="auto"/>
        </w:rPr>
        <w:t xml:space="preserve">, our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our </w:t>
      </w:r>
      <w:hyperlink r:id="rId17">
        <w:r>
          <w:rPr>
            <w:rFonts w:ascii="Arial" w:cs="Arial" w:eastAsia="Arial" w:hAnsi="Arial"/>
            <w:sz w:val="17"/>
            <w:szCs w:val="17"/>
            <w:u w:val="single" w:color="auto"/>
            <w:color w:val="0000FF"/>
          </w:rPr>
          <w:t>Quarterly Report on Form 10-Q</w:t>
        </w:r>
      </w:hyperlink>
      <w:r>
        <w:rPr>
          <w:rFonts w:ascii="Arial" w:cs="Arial" w:eastAsia="Arial" w:hAnsi="Arial"/>
          <w:sz w:val="17"/>
          <w:szCs w:val="17"/>
          <w:color w:val="auto"/>
        </w:rPr>
        <w:t xml:space="preserve"> for the quarterly period ended March 31, 2022 and our </w:t>
      </w:r>
      <w:hyperlink r:id="rId18">
        <w:r>
          <w:rPr>
            <w:rFonts w:ascii="Arial" w:cs="Arial" w:eastAsia="Arial" w:hAnsi="Arial"/>
            <w:sz w:val="17"/>
            <w:szCs w:val="17"/>
            <w:u w:val="single" w:color="auto"/>
            <w:color w:val="0000FF"/>
          </w:rPr>
          <w:t>Quarterly Report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quarterly period ended June 30, 2022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26" w:lineRule="exact"/>
        <w:rPr>
          <w:rFonts w:ascii="Arial" w:cs="Arial" w:eastAsia="Arial" w:hAnsi="Arial"/>
          <w:sz w:val="17"/>
          <w:szCs w:val="17"/>
          <w:color w:val="auto"/>
        </w:rPr>
      </w:pPr>
    </w:p>
    <w:p>
      <w:pPr>
        <w:ind w:left="66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239" w:lineRule="exact"/>
        <w:rPr>
          <w:rFonts w:ascii="Arial" w:cs="Arial" w:eastAsia="Arial" w:hAnsi="Arial"/>
          <w:sz w:val="17"/>
          <w:szCs w:val="17"/>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49"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2"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75"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inflation rates and concerns over a potential economic downturn or recession;</w:t>
      </w:r>
    </w:p>
    <w:p>
      <w:pPr>
        <w:spacing w:after="0" w:line="49"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2" w:lineRule="exact"/>
        <w:rPr>
          <w:rFonts w:ascii="Arial" w:cs="Arial" w:eastAsia="Arial" w:hAnsi="Arial"/>
          <w:sz w:val="18"/>
          <w:szCs w:val="18"/>
          <w:color w:val="auto"/>
        </w:rPr>
      </w:pPr>
    </w:p>
    <w:p>
      <w:pPr>
        <w:ind w:left="1220" w:right="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75"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physical and transition risks relating to climate change;</w:t>
      </w:r>
    </w:p>
    <w:p>
      <w:pPr>
        <w:spacing w:after="0" w:line="103" w:lineRule="exact"/>
        <w:rPr>
          <w:rFonts w:ascii="Arial" w:cs="Arial" w:eastAsia="Arial" w:hAnsi="Arial"/>
          <w:sz w:val="18"/>
          <w:szCs w:val="18"/>
          <w:color w:val="auto"/>
        </w:rPr>
      </w:pPr>
    </w:p>
    <w:p>
      <w:pPr>
        <w:ind w:left="1220" w:hanging="321"/>
        <w:spacing w:after="0" w:line="307" w:lineRule="auto"/>
        <w:tabs>
          <w:tab w:leader="none" w:pos="1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28"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26"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90" w:lineRule="exact"/>
        <w:rPr>
          <w:rFonts w:ascii="Arial" w:cs="Arial" w:eastAsia="Arial" w:hAnsi="Arial"/>
          <w:sz w:val="18"/>
          <w:szCs w:val="18"/>
          <w:color w:val="auto"/>
        </w:rPr>
      </w:pPr>
    </w:p>
    <w:p>
      <w:pPr>
        <w:ind w:left="1220" w:right="20" w:hanging="321"/>
        <w:spacing w:after="0" w:line="291"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25"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and oilfield services impacting our operators;</w:t>
      </w:r>
    </w:p>
    <w:p>
      <w:pPr>
        <w:spacing w:after="0" w:line="103"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49"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from breaches of our information technology systems, or from breaches of information technology systems of third parties with whom we transact business;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of, or disruption in, access to adequate and reliable transportation, processing, storage, and other facilities impacting our operators;</w:t>
      </w:r>
    </w:p>
    <w:p>
      <w:pPr>
        <w:spacing w:after="0" w:line="126" w:lineRule="exact"/>
        <w:rPr>
          <w:rFonts w:ascii="Arial" w:cs="Arial" w:eastAsia="Arial" w:hAnsi="Arial"/>
          <w:sz w:val="16"/>
          <w:szCs w:val="16"/>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103"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the credit agreement and hedging contracts of our operating subsidiary;</w:t>
      </w:r>
    </w:p>
    <w:p>
      <w:pPr>
        <w:spacing w:after="0" w:line="103"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6"/>
              </w:rPr>
              <w:t>(In thousands, except unit amounts)</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78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Royalty income receivable (net of allowance for credit losses)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68,568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receivable—related party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111,149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($1,460,744 and $1,640,172 excluded from</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depletion at September 30, 2022 and December 31, 2021, respectively)</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3,493,979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3,513,590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depletion and impairment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(599,163)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2,920,115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 of allowances)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3,034,021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780"/>
              <w:spacing w:after="0"/>
              <w:rPr>
                <w:sz w:val="20"/>
                <w:szCs w:val="20"/>
                <w:color w:val="auto"/>
              </w:rPr>
            </w:pPr>
            <w:r>
              <w:rPr>
                <w:rFonts w:ascii="Arial" w:cs="Arial" w:eastAsia="Arial" w:hAnsi="Arial"/>
                <w:sz w:val="16"/>
                <w:szCs w:val="16"/>
                <w:b w:val="1"/>
                <w:bCs w:val="1"/>
                <w:color w:val="auto"/>
              </w:rPr>
              <w:t>Liabilities and Unitholders’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776,727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801,193</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General Partner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units (74,156,051 units issued and outstanding as of September 30, 2022 and 78,546,403 units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as of December 31, 2021)</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0" w:type="dxa"/>
            <w:vAlign w:val="bottom"/>
          </w:tcPr>
          <w:p>
            <w:pPr>
              <w:spacing w:after="0"/>
              <w:rPr>
                <w:sz w:val="1"/>
                <w:szCs w:val="1"/>
                <w:color w:val="auto"/>
              </w:rPr>
            </w:pPr>
          </w:p>
        </w:tc>
      </w:tr>
      <w:tr>
        <w:trPr>
          <w:trHeight w:val="175"/>
        </w:trPr>
        <w:tc>
          <w:tcPr>
            <w:tcW w:w="7980" w:type="dxa"/>
            <w:vAlign w:val="bottom"/>
          </w:tcPr>
          <w:p>
            <w:pPr>
              <w:ind w:left="360"/>
              <w:spacing w:after="0" w:line="176" w:lineRule="exact"/>
              <w:rPr>
                <w:sz w:val="20"/>
                <w:szCs w:val="20"/>
                <w:color w:val="auto"/>
              </w:rPr>
            </w:pPr>
            <w:r>
              <w:rPr>
                <w:rFonts w:ascii="Arial" w:cs="Arial" w:eastAsia="Arial" w:hAnsi="Arial"/>
                <w:sz w:val="18"/>
                <w:szCs w:val="18"/>
                <w:color w:val="auto"/>
                <w:w w:val="94"/>
              </w:rPr>
              <w:t>Class B units (90,709,946 units issued and outstanding as of September 30, 2022 and December 31,</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Viper Energy Partners LP unitholders’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1,566,990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1,418,007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2,290,913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2,232,828</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liabilities and unitholders’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2,985,757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3,034,021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r>
      <w:tr>
        <w:trPr>
          <w:trHeight w:val="210"/>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(In thousands, except per unit amounts)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219,909</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127,649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651,828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337,619</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339,130</w:t>
            </w:r>
          </w:p>
        </w:tc>
      </w:tr>
      <w:tr>
        <w:trPr>
          <w:trHeight w:val="193"/>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74,230</w:t>
            </w: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5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103,774</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235,356</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w:t>
            </w: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(70,649)</w:t>
            </w: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552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(94,733)</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140,623</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121,208</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w w:val="99"/>
              </w:rPr>
              <w:t>Weighted average number of common limited partner units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64,724</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2,232,828</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(35,830)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(39,260)</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128,041</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6"/>
                <w:szCs w:val="16"/>
                <w:b w:val="1"/>
                <w:bCs w:val="1"/>
                <w:color w:val="auto"/>
              </w:rPr>
              <w:t>Balance at March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76,966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768,747</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1,472,614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2,242,976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171,620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733,998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2,270,760</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(59,901)</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(59,901)</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(79,535)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79,340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210,102</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2,290,913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1,860,833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(13,043)</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611,172</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1,237,071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1,850,038</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42,378</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594,777</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1,847,022</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(20,933)</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(30,201)</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4,115</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73,445</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1,855,754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2021</w:t>
            </w:r>
          </w:p>
        </w:tc>
      </w:tr>
      <w:tr>
        <w:trPr>
          <w:trHeight w:val="210"/>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509,763</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139,682</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Provision for (benefit from) deferred income taxes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74,230</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70,649</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receipts (payments) on derivatives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(61,188)</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Royalty income receivable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(14,923)</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7,902</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513,241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199,672</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(6,728)</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oil and natural gas interests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87,000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on credit facility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Repayment of senior notes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to public</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(147,117)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(46,102)</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Diamondback</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(65,913)</w:t>
            </w: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(560,684)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(140,525)</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52,419</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19,121</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71,540</w:t>
            </w: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2022, Viper Energy Partners GP LLC (the “General Partner”) held a 100% general partner interest in the Partnership and Diamondback Energy, Inc. (“Diamondback”) beneficially owned approximately 55%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2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which contains a summary of the Partnership’s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the effects of COVID-19, the war in Ukraine and actions by OPEC members and other exporting nations on the supply and demand in global oil and natural gas markets continued to contribute to economic and pricing volatility.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the recoverability of costs of unevaluated properties, the fair value determination of assets and liabilities, including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those acquired by the Partnership, fair value estimates of commodity derivatives and estimates of income taxes, including deferred tax valuation allowances.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the three and nine months ended September 30, 2022, Diamondback, either directly or through its consolidated subsidiaries, paid the Partnership $0.4 million and $6.7 million, respectively, of lease bonus income primarily related to certain leases acquired in the Swallowtail Acquisition.</w:t>
      </w:r>
    </w:p>
    <w:p>
      <w:pPr>
        <w:spacing w:after="0" w:line="15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other significant related party transactions with Diamondback or its affiliates have been stated on the face of the consolidated financial statements included elsewhere in this report as of September 30, 2022 and for the three and nine months ended September 30, 2022 and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There are no recent accounting pronouncements not yet adopted that are expected to have a material effect on the Partnership upon adoption, as applicable.</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09"/>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ind w:left="5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272,450</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30,651</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w:t>
            </w: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 royalty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127,649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337,619</w:t>
            </w:r>
          </w:p>
        </w:tc>
      </w:tr>
      <w:tr>
        <w:trPr>
          <w:trHeight w:val="21"/>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third quarter of 2022, the Partnership acquired, from unrelated third-party sellers, mineral and royalty interests representing 165 net royalty acres in the Permian Basin for an aggregate purchase price of approximately $40.1 million, subject to post-closing adjustments. The Partnership funded these acquisitions with cash on hand and borrowings under the Operating Company’s revolving credit facility.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2022, the Partnership divested 325 net royalty acres of third party operated acreage located entirely in Upton and Reagan counties in the Midland Basin for a net sales price of $29.3 million, including post-closing adjustments.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third quarter of 2022, the Partnership divested 93 net royalty acres of third party operated acreage located entirely in Loving county in the Delaware Basin for an aggregate sales price of $29.9 million, subject to closing adjustments.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1, 2021, the Partnership and the Operating Company acquired certain mineral and royalty interests from Swallowtail Royalties LLC and Swallowtail Royalties II LLC (the “Swallowtail entities”) pursuant to a definitive purchase and sale agreement for approximately 15.25 million common units and approximately $225.3 million in cash (the “Swallowtail Acquisition”). The mineral and royalty interests acquired in the Swallowtail Acquisition represent 2,313 net royalty acres primarily in the Northern Midland Basin, of which 62% were operated by Diamondback as of December 31, 2021. The Swallowtail Acquisition has an effective date of August 1, 2021. In accordance with the terms of the purchase agreement, the Partnership deposited $30.0 million into an escrow account in August 2021, which was released upon the closing of the transaction in October 2021. The cash portion of this transaction was funded through a combination of cash on hand and approximately $190.0 million of borrowings under the Operating Company’s revolving credit facility.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2021 Acquisitions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during the year ended December 31, 2021, the Partnership acquired, from unrelated third party sellers, mineral and royalty interests representing 1,277 gross (392 net royalty) acres in the Permian Basin for an aggregate purchase price of approximately $55.1 million, after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10"/>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2,033,235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1,873,418</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3,493,979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3,513,590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2,804,983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2,914,427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2,810,671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2,920,115</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2022 and December 31, 2021, the Partnership had mineral and royalty interests representing 26,789 and 27,027 net royalty acres, respectively.</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 expense was recorded on the Partnership’s oil and natural gas interests for the three and nine months ended September 30, 2022 and 2021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may have material write-downs in subsequent quarters.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unsecured notes due 2027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304,000</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2022, the Partnership repurchased an aggregate $49.6 million principal amount of the outstanding Notes for total cash consideration of $49.0 million, which resulted in an immaterial loss on extinguishment of debt during the nine months ended September 30, 2022 after including accrued interest and the write-off of related unamortized costs. The Partnership funded the debt repurchases through a combination of cash on hand and borrowings under the Operating Company’s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The Operating Company’s credit agreement, as amended to date, provides for a revolving credit facility in the maximum credit amount of $2.0 billion and a borrowing base of $580.0 million based on the Operating Company’s oil and natural gas reserves and other factors. The borrowing base is scheduled to be redetermined semi-annually in May and November. As of September 30, 2022, the Operating Company had elected a commitment amount of $500.0 million, with</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$245.0 million of outstanding borrowings and $255.0 million available for future borrowings. During the three and nine months ended September 30, 2022 and 2021, the weighted average interest rates on the Operating Company’s revolving credit facility were 4.75%, 3.53%, 1.98% and 2.14%, respectively. The revolving credit facility will mature on June 2, 2025.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2022, the Operating Company was in compliance with the financial maintenance covenants under its credit agreement.</w:t>
      </w: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September 30, 2022, the Partnership had a total of 74,156,051 common units issued and outstanding and 90,709,946 Class B units issued and outstanding, of which 731,500 common units and 90,709,946 Class B units were beneficially owned by Diamondback, representing approximately 55% of the Partnership’s total units outstanding. At September 30, 2022, Diamondback also beneficially owns 90,709,946 Operating Company units, representing a 55%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board of directors of the Partnership’s General Partner has approved a common unit repurchase program to acquire up to $750.0 million of the Partnership’s outstanding common units over an indefinite period of time.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 During the three and nine months ended September 30, 2022 and 2021, the Partnership repurchased approximately $50.7 million, $118.9 million, $13.7 million and $33.6 million of common units under the repurchase program, respectively. Repurchases for the nine months ended September 30, 2022 include approximately $37.3 million for the repurchase of 1.5 million common units from a significant unitholder in a privately negotiated transaction in the first quarter of 2022. As of September 30, 2022, $561.0 million remains available for use to repurchase common units under the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board of directors of the General Partner has established a distribution policy whereby the Operating Company distributes all or a portion of its available cash on a quarterly basis to its unitholders (including Diamondback and the Partnership). The Partnership in turn distributes all or a portion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cash available for distribution by the Operating Company, a non-GAAP measure, generally equals the Partnership’s consolidated Adjusted EBITDA for the applicable quarter, less cash needed for income taxes payable, debt service, contractual obligations, fixed charges and reserves for future operating or capital needs that the board of directors of the General Partner deems necessary or appropriate, lease bonus income, distribution equivalent rights payments and preferred distributions, if any. The Partnership’s cash available for distribution for each quarter generally equals the Partnership’s proportional share of the cash distributed by the Operating Company for the quarter, less cash needed by the Partnership for the payment of income taxes, if any, and the preferred distribution. Further, in July 2022, the board of directors of the General Partner approved a distribution policy, effective beginning with the Partnership’s distribution payable for the third quarter of 2022, consisting of a base and variable distribution, that takes into account capital returned to unitholders via our common unit repurchase program. The board updated the distribution policy in November 2022, providing that lease bonus payments and other similar, one-time, non-recurring payments will be excluded from the calculation of the Partnership’s and the Operating Company’s available cash.</w:t>
      </w:r>
    </w:p>
    <w:p>
      <w:pPr>
        <w:spacing w:after="0" w:line="21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The percentage of cash available for distribution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 (in thousands, except for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Amount per</w:t>
            </w: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Operating</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Distributions to</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Company</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 per</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Unitholder Record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Operating</w:t>
            </w:r>
          </w:p>
        </w:tc>
        <w:tc>
          <w:tcPr>
            <w:tcW w:w="10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Distributions to</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Common</w:t>
            </w:r>
          </w:p>
        </w:tc>
        <w:tc>
          <w:tcPr>
            <w:tcW w:w="18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Declaration Date</w:t>
            </w:r>
          </w:p>
        </w:tc>
        <w:tc>
          <w:tcPr>
            <w:tcW w:w="1720" w:type="dxa"/>
            <w:vAlign w:val="bottom"/>
            <w:gridSpan w:val="2"/>
            <w:vMerge w:val="continue"/>
          </w:tcPr>
          <w:p>
            <w:pPr>
              <w:spacing w:after="0"/>
              <w:rPr>
                <w:sz w:val="14"/>
                <w:szCs w:val="14"/>
                <w:color w:val="auto"/>
              </w:rPr>
            </w:pPr>
          </w:p>
        </w:tc>
        <w:tc>
          <w:tcPr>
            <w:tcW w:w="154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6"/>
        </w:trPr>
        <w:tc>
          <w:tcPr>
            <w:tcW w:w="980" w:type="dxa"/>
            <w:vAlign w:val="bottom"/>
            <w:gridSpan w:val="2"/>
            <w:vMerge w:val="continue"/>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Company Unit</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Diamondback</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Common Unit</w:t>
            </w:r>
          </w:p>
        </w:tc>
        <w:tc>
          <w:tcPr>
            <w:tcW w:w="100" w:type="dxa"/>
            <w:vAlign w:val="bottom"/>
          </w:tcPr>
          <w:p>
            <w:pPr>
              <w:spacing w:after="0"/>
              <w:rPr>
                <w:sz w:val="18"/>
                <w:szCs w:val="18"/>
                <w:color w:val="auto"/>
              </w:rPr>
            </w:pPr>
          </w:p>
        </w:tc>
        <w:tc>
          <w:tcPr>
            <w:tcW w:w="1280" w:type="dxa"/>
            <w:vAlign w:val="bottom"/>
            <w:gridSpan w:val="2"/>
          </w:tcPr>
          <w:p>
            <w:pPr>
              <w:jc w:val="center"/>
              <w:ind w:right="200"/>
              <w:spacing w:after="0" w:line="216" w:lineRule="exact"/>
              <w:rPr>
                <w:sz w:val="20"/>
                <w:szCs w:val="20"/>
                <w:color w:val="auto"/>
              </w:rPr>
            </w:pPr>
            <w:r>
              <w:rPr>
                <w:rFonts w:ascii="Arial" w:cs="Arial" w:eastAsia="Arial" w:hAnsi="Arial"/>
                <w:sz w:val="16"/>
                <w:szCs w:val="16"/>
                <w:b w:val="1"/>
                <w:bCs w:val="1"/>
                <w:color w:val="auto"/>
                <w:w w:val="87"/>
              </w:rPr>
              <w:t>Unitholders</w:t>
            </w:r>
            <w:r>
              <w:rPr>
                <w:rFonts w:ascii="Arial" w:cs="Arial" w:eastAsia="Arial" w:hAnsi="Arial"/>
                <w:sz w:val="20"/>
                <w:szCs w:val="20"/>
                <w:b w:val="1"/>
                <w:bCs w:val="1"/>
                <w:color w:val="auto"/>
                <w:w w:val="87"/>
                <w:vertAlign w:val="superscript"/>
              </w:rPr>
              <w:t>(1)</w:t>
            </w:r>
          </w:p>
        </w:tc>
        <w:tc>
          <w:tcPr>
            <w:tcW w:w="1860" w:type="dxa"/>
            <w:vAlign w:val="bottom"/>
            <w:gridSpan w:val="2"/>
            <w:vMerge w:val="continue"/>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Date</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16, 2022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4, 2022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30"/>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Q1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51,680</w:t>
            </w:r>
          </w:p>
        </w:tc>
        <w:tc>
          <w:tcPr>
            <w:tcW w:w="10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April 27, 2022</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May 12, 2022</w:t>
            </w:r>
          </w:p>
        </w:tc>
        <w:tc>
          <w:tcPr>
            <w:tcW w:w="1540" w:type="dxa"/>
            <w:vAlign w:val="bottom"/>
          </w:tcPr>
          <w:p>
            <w:pPr>
              <w:jc w:val="right"/>
              <w:spacing w:after="0"/>
              <w:rPr>
                <w:sz w:val="20"/>
                <w:szCs w:val="20"/>
                <w:color w:val="auto"/>
              </w:rPr>
            </w:pPr>
            <w:r>
              <w:rPr>
                <w:rFonts w:ascii="Arial" w:cs="Arial" w:eastAsia="Arial" w:hAnsi="Arial"/>
                <w:sz w:val="18"/>
                <w:szCs w:val="18"/>
                <w:color w:val="auto"/>
              </w:rPr>
              <w:t>May 19, 2022</w:t>
            </w:r>
          </w:p>
        </w:tc>
        <w:tc>
          <w:tcPr>
            <w:tcW w:w="0" w:type="dxa"/>
            <w:vAlign w:val="bottom"/>
          </w:tcPr>
          <w:p>
            <w:pPr>
              <w:spacing w:after="0"/>
              <w:rPr>
                <w:sz w:val="1"/>
                <w:szCs w:val="1"/>
                <w:color w:val="auto"/>
              </w:rPr>
            </w:pPr>
          </w:p>
        </w:tc>
      </w:tr>
      <w:tr>
        <w:trPr>
          <w:trHeight w:val="229"/>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60,626</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26, 2022</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16,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23, 2022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amounts paid to Diamondback for the 731,500 common units beneficially owned by Diamondback and distribution equivalent rights payments.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but do not impact earnings. The following table summarizes the changes in common unitholder equity due to changes in ownership interest during the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58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168"/>
        </w:trPr>
        <w:tc>
          <w:tcPr>
            <w:tcW w:w="56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Change from net income (loss) attributable to the Partnership's unitholders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99,386</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26,890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and transfers to non-controlling interest</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Partnership, as managing member of the Operating Company, has entered into an agreement, as amended on December 28, 2021, whereby special allocations of the Operating Company’s income and gains over losses and deductions (but before depletion) are to be made to Diamondback through December 31, 2022. These special income allocations reduce the taxable income allocated to the Partnership’s common unitholders.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attributable to the Partnership’s common units for the three and nine months ended September 30, 2022 and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Partnership’s net income (loss) is allocated wholly to the common units, as the General Partner does not have an economic interest.</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gridSpan w:val="7"/>
          </w:tcPr>
          <w:p>
            <w:pPr>
              <w:ind w:left="80"/>
              <w:spacing w:after="0"/>
              <w:rPr>
                <w:sz w:val="20"/>
                <w:szCs w:val="20"/>
                <w:color w:val="auto"/>
              </w:rPr>
            </w:pPr>
            <w:r>
              <w:rPr>
                <w:rFonts w:ascii="Arial" w:cs="Arial" w:eastAsia="Arial" w:hAnsi="Arial"/>
                <w:sz w:val="16"/>
                <w:szCs w:val="16"/>
                <w:b w:val="1"/>
                <w:bCs w:val="1"/>
                <w:color w:val="auto"/>
                <w:w w:val="92"/>
              </w:rPr>
              <w:t>(In thousands, except per unit amounts)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unitholders</w:t>
            </w:r>
          </w:p>
        </w:tc>
        <w:tc>
          <w:tcPr>
            <w:tcW w:w="28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79,167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129,658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18,333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64,724</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Restricted stock units with non-forfeitable distribution equivalent rights granted to employees are considered participating securities.</w:t>
      </w:r>
    </w:p>
    <w:p>
      <w:pPr>
        <w:spacing w:after="0" w:line="23" w:lineRule="exact"/>
        <w:rPr>
          <w:rFonts w:ascii="Arial" w:cs="Arial" w:eastAsia="Arial" w:hAnsi="Arial"/>
          <w:sz w:val="18"/>
          <w:szCs w:val="18"/>
          <w:color w:val="auto"/>
        </w:rPr>
      </w:pPr>
    </w:p>
    <w:p>
      <w:pPr>
        <w:jc w:val="both"/>
        <w:ind w:left="340" w:hanging="332"/>
        <w:spacing w:after="0" w:line="253"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2022, and the three months ended September 30, 2021,there were no potential common units excluded from the computation of diluted earnings per common unit because their inclusion would have been anti-dilutive. For the nine months ended September 30, 2021, 2,955 potential common units were excluded in the computation of diluted earnings per common unit because their inclusion would have been anti-dilutive.</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Partnership’s provision for (benefit from) income taxes and the effective income tax rate for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76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jc w:val="right"/>
              <w:ind w:right="275"/>
              <w:spacing w:after="0"/>
              <w:rPr>
                <w:sz w:val="20"/>
                <w:szCs w:val="20"/>
                <w:color w:val="auto"/>
              </w:rPr>
            </w:pPr>
            <w:r>
              <w:rPr>
                <w:rFonts w:ascii="Arial" w:cs="Arial" w:eastAsia="Arial" w:hAnsi="Arial"/>
                <w:sz w:val="16"/>
                <w:szCs w:val="16"/>
                <w:b w:val="1"/>
                <w:bCs w:val="1"/>
                <w:color w:val="auto"/>
                <w:w w:val="93"/>
              </w:rPr>
              <w:t>(In thousands, except for tax rate)</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(46,409)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(37,597)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941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0.7 %</w:t>
            </w:r>
          </w:p>
        </w:tc>
      </w:tr>
    </w:tbl>
    <w:p>
      <w:pPr>
        <w:spacing w:after="0" w:line="2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Partnership’s effective income tax rates for the three and nine months ended September 30, 2022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 During the three months ended September 30, 2022, the Partnership recognized discrete income tax benefit of $49.7 million related to a partial release of its beginning-of-the-year valuation allowance, based on a change in judgment about the realizability of its deferred tax assets in future years. Management’s assessment of all available evidence, both positive and negative, supporting realizability of the Partnership’s deferred tax assets as required by applicable accounting standards, resulted in recognition of tax benefit for the portion of the Partnership’s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The Partnership retained a partial valuation allowance on its deferred tax assets due in part to potential future volatility in commodity prices impacting the likelihood of future realizability. As of September 30, 2022, the Partnership had a deferred tax asset of $152.7 million offset by an allowance of $103.0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Partnership’s effective income tax rates for the three and nine months ended September 30, 2021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September 30, 2021, the Partnership maintained a full valuation allowance against its deferred tax assets, based on its assessment of all available evidence, both positive and negative, supporting realizability of the Partnership’s deferred tax assets.</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The CHIPS and Science Act of 2022 (“CHIPS”) was enacted on August 9, 2022, and the Inflation Reduction Act of 2022 (“IRA”) was enacted on August 16, 2022, which created a 15% corporate alternative minimum tax on profits of corporations whose average financial statement income exceeds $1</w:t>
      </w:r>
    </w:p>
    <w:p>
      <w:pPr>
        <w:jc w:val="both"/>
        <w:spacing w:after="0" w:line="290" w:lineRule="auto"/>
        <w:rPr>
          <w:sz w:val="20"/>
          <w:szCs w:val="20"/>
          <w:color w:val="auto"/>
        </w:rPr>
      </w:pPr>
      <w:r>
        <w:rPr>
          <w:rFonts w:ascii="Arial" w:cs="Arial" w:eastAsia="Arial" w:hAnsi="Arial"/>
          <w:sz w:val="17"/>
          <w:szCs w:val="17"/>
          <w:color w:val="auto"/>
        </w:rPr>
        <w:t>billion, and included several other provisions applicable to U.S. income taxes for corporations. The Partnership considered the impact of this legislation in the period of enactment and concluded there was not a material impact to the Partnership’s current or deferred income tax balances.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historically has used fixed price swap contracts, fixed price basis swap contracts and costless collars with corresponding put and call options to reduce price volatility associated with certain of its royalty income. At September 30, 2022, the Partnership has costless collars, put options and basis swaps outstanding.</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Put options have a defined strike price, or floor price. The Partnership pays its counterparty a premium to enter into these derivative contracts, which are deferred until settlement. When the settlement price is below the floor price, the counterparty pays the Partnership an amount equal to the difference between the settlement price and the strike price multiplied by the derivative contract volume. When the settlement price is above the floor price, the put option expires worthless.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with natural gas derivative settlements based on the New York Mercantile Exchange Henry Hub pricing.</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Operating Company; therefore, the Partnership is not required to post any collateral. The Partnership’s counterparties have been determined to have an acceptable credit risk; therefore, the Partnership does not require collateral from its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2022, the Partnership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Swaps</w:t>
            </w:r>
          </w:p>
        </w:tc>
        <w:tc>
          <w:tcPr>
            <w:tcW w:w="1520" w:type="dxa"/>
            <w:vAlign w:val="bottom"/>
          </w:tcPr>
          <w:p>
            <w:pPr>
              <w:ind w:left="1000"/>
              <w:spacing w:after="0"/>
              <w:rPr>
                <w:sz w:val="20"/>
                <w:szCs w:val="20"/>
                <w:color w:val="auto"/>
              </w:rPr>
            </w:pPr>
            <w:r>
              <w:rPr>
                <w:rFonts w:ascii="Arial" w:cs="Arial" w:eastAsia="Arial" w:hAnsi="Arial"/>
                <w:sz w:val="16"/>
                <w:szCs w:val="16"/>
                <w:b w:val="1"/>
                <w:bCs w:val="1"/>
                <w:color w:val="auto"/>
                <w:w w:val="92"/>
              </w:rPr>
              <w:t>Collars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6"/>
              </w:rPr>
              <w:t>Puts</w:t>
            </w:r>
          </w:p>
        </w:tc>
        <w:tc>
          <w:tcPr>
            <w:tcW w:w="0" w:type="dxa"/>
            <w:vAlign w:val="bottom"/>
          </w:tcPr>
          <w:p>
            <w:pPr>
              <w:spacing w:after="0"/>
              <w:rPr>
                <w:sz w:val="1"/>
                <w:szCs w:val="1"/>
                <w:color w:val="auto"/>
              </w:rPr>
            </w:pPr>
          </w:p>
        </w:tc>
      </w:tr>
      <w:tr>
        <w:trPr>
          <w:trHeight w:val="158"/>
        </w:trPr>
        <w:tc>
          <w:tcPr>
            <w:tcW w:w="15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46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Bbls/Mcf</w:t>
            </w:r>
          </w:p>
        </w:tc>
        <w:tc>
          <w:tcPr>
            <w:tcW w:w="144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1520" w:type="dxa"/>
            <w:vAlign w:val="bottom"/>
            <w:tcBorders>
              <w:top w:val="single" w:sz="8" w:color="auto"/>
            </w:tcBorders>
          </w:tcPr>
          <w:p>
            <w:pPr>
              <w:jc w:val="center"/>
              <w:ind w:right="174"/>
              <w:spacing w:after="0" w:line="158" w:lineRule="exact"/>
              <w:rPr>
                <w:sz w:val="20"/>
                <w:szCs w:val="20"/>
                <w:color w:val="auto"/>
              </w:rPr>
            </w:pPr>
            <w:r>
              <w:rPr>
                <w:rFonts w:ascii="Arial" w:cs="Arial" w:eastAsia="Arial" w:hAnsi="Arial"/>
                <w:sz w:val="16"/>
                <w:szCs w:val="16"/>
                <w:b w:val="1"/>
                <w:bCs w:val="1"/>
                <w:color w:val="auto"/>
                <w:w w:val="91"/>
              </w:rPr>
              <w:t>Weighted</w:t>
            </w:r>
          </w:p>
        </w:tc>
        <w:tc>
          <w:tcPr>
            <w:tcW w:w="980" w:type="dxa"/>
            <w:vAlign w:val="bottom"/>
            <w:tcBorders>
              <w:top w:val="single" w:sz="8" w:color="auto"/>
            </w:tcBorders>
          </w:tcPr>
          <w:p>
            <w:pPr>
              <w:jc w:val="center"/>
              <w:ind w:right="192"/>
              <w:spacing w:after="0" w:line="158"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Settlement Month</w:t>
            </w:r>
          </w:p>
        </w:tc>
        <w:tc>
          <w:tcPr>
            <w:tcW w:w="1040" w:type="dxa"/>
            <w:vAlign w:val="bottom"/>
            <w:vMerge w:val="continue"/>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940" w:type="dxa"/>
            <w:vAlign w:val="bottom"/>
            <w:vMerge w:val="continue"/>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2600" w:type="dxa"/>
            <w:vAlign w:val="bottom"/>
            <w:gridSpan w:val="3"/>
          </w:tcPr>
          <w:p>
            <w:pPr>
              <w:ind w:left="140"/>
              <w:spacing w:after="0" w:line="162" w:lineRule="exact"/>
              <w:rPr>
                <w:sz w:val="20"/>
                <w:szCs w:val="20"/>
                <w:color w:val="auto"/>
              </w:rPr>
            </w:pPr>
            <w:r>
              <w:rPr>
                <w:rFonts w:ascii="Arial" w:cs="Arial" w:eastAsia="Arial" w:hAnsi="Arial"/>
                <w:sz w:val="16"/>
                <w:szCs w:val="16"/>
                <w:b w:val="1"/>
                <w:bCs w:val="1"/>
                <w:color w:val="auto"/>
              </w:rPr>
              <w:t>Average Floor   Average Ceiling</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Strike Price</w:t>
            </w:r>
          </w:p>
        </w:tc>
        <w:tc>
          <w:tcPr>
            <w:tcW w:w="0" w:type="dxa"/>
            <w:vAlign w:val="bottom"/>
          </w:tcPr>
          <w:p>
            <w:pPr>
              <w:spacing w:after="0"/>
              <w:rPr>
                <w:sz w:val="1"/>
                <w:szCs w:val="1"/>
                <w:color w:val="auto"/>
              </w:rPr>
            </w:pPr>
          </w:p>
        </w:tc>
      </w:tr>
      <w:tr>
        <w:trPr>
          <w:trHeight w:val="213"/>
        </w:trPr>
        <w:tc>
          <w:tcPr>
            <w:tcW w:w="1560" w:type="dxa"/>
            <w:vAlign w:val="bottom"/>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46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440" w:type="dxa"/>
            <w:vAlign w:val="bottom"/>
            <w:vMerge w:val="continue"/>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Differential</w:t>
            </w:r>
          </w:p>
        </w:tc>
        <w:tc>
          <w:tcPr>
            <w:tcW w:w="1520" w:type="dxa"/>
            <w:vAlign w:val="bottom"/>
          </w:tcPr>
          <w:p>
            <w:pPr>
              <w:jc w:val="center"/>
              <w:ind w:right="194"/>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Price</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OIL</w:t>
            </w:r>
          </w:p>
        </w:tc>
        <w:tc>
          <w:tcPr>
            <w:tcW w:w="10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 - Dec.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90"/>
              </w:rPr>
              <w:t>$50.00</w:t>
            </w:r>
          </w:p>
        </w:tc>
        <w:tc>
          <w:tcPr>
            <w:tcW w:w="98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89"/>
              </w:rPr>
              <w:t>$128.01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56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right="174"/>
              <w:spacing w:after="0"/>
              <w:rPr>
                <w:sz w:val="20"/>
                <w:szCs w:val="20"/>
                <w:color w:val="auto"/>
              </w:rPr>
            </w:pPr>
            <w:r>
              <w:rPr>
                <w:rFonts w:ascii="Arial" w:cs="Arial" w:eastAsia="Arial" w:hAnsi="Arial"/>
                <w:sz w:val="18"/>
                <w:szCs w:val="18"/>
                <w:color w:val="auto"/>
                <w:w w:val="92"/>
              </w:rPr>
              <w:t>$—</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$55.00</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 Mar.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92"/>
              </w:rPr>
              <w:t>$—</w:t>
            </w:r>
          </w:p>
        </w:tc>
        <w:tc>
          <w:tcPr>
            <w:tcW w:w="1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$54.25</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6"/>
              </w:rPr>
              <w:t>Argus WTI</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tcPr>
          <w:p>
            <w:pPr>
              <w:jc w:val="center"/>
              <w:spacing w:after="0" w:line="243"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3"/>
                <w:szCs w:val="23"/>
                <w:color w:val="auto"/>
                <w:w w:val="85"/>
                <w:vertAlign w:val="superscript"/>
              </w:rPr>
              <w:t>(3)</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Midland</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$0.95</w:t>
            </w:r>
          </w:p>
        </w:tc>
        <w:tc>
          <w:tcPr>
            <w:tcW w:w="100" w:type="dxa"/>
            <w:vAlign w:val="bottom"/>
          </w:tcPr>
          <w:p>
            <w:pPr>
              <w:spacing w:after="0"/>
              <w:rPr>
                <w:sz w:val="21"/>
                <w:szCs w:val="21"/>
                <w:color w:val="auto"/>
              </w:rPr>
            </w:pPr>
          </w:p>
        </w:tc>
        <w:tc>
          <w:tcPr>
            <w:tcW w:w="1520" w:type="dxa"/>
            <w:vAlign w:val="bottom"/>
          </w:tcPr>
          <w:p>
            <w:pPr>
              <w:jc w:val="center"/>
              <w:ind w:right="174"/>
              <w:spacing w:after="0"/>
              <w:rPr>
                <w:sz w:val="20"/>
                <w:szCs w:val="20"/>
                <w:color w:val="auto"/>
              </w:rPr>
            </w:pPr>
            <w:r>
              <w:rPr>
                <w:rFonts w:ascii="Arial" w:cs="Arial" w:eastAsia="Arial" w:hAnsi="Arial"/>
                <w:sz w:val="18"/>
                <w:szCs w:val="18"/>
                <w:color w:val="auto"/>
                <w:w w:val="92"/>
              </w:rPr>
              <w:t>$—</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NATURAL GAS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6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Henry Hub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right="194"/>
              <w:spacing w:after="0"/>
              <w:rPr>
                <w:sz w:val="20"/>
                <w:szCs w:val="20"/>
                <w:color w:val="auto"/>
              </w:rPr>
            </w:pPr>
            <w:r>
              <w:rPr>
                <w:rFonts w:ascii="Arial" w:cs="Arial" w:eastAsia="Arial" w:hAnsi="Arial"/>
                <w:sz w:val="18"/>
                <w:szCs w:val="18"/>
                <w:color w:val="auto"/>
                <w:w w:val="88"/>
              </w:rPr>
              <w:t>$2.50</w:t>
            </w:r>
          </w:p>
        </w:tc>
        <w:tc>
          <w:tcPr>
            <w:tcW w:w="980" w:type="dxa"/>
            <w:vAlign w:val="bottom"/>
          </w:tcPr>
          <w:p>
            <w:pPr>
              <w:jc w:val="center"/>
              <w:ind w:right="172"/>
              <w:spacing w:after="0"/>
              <w:rPr>
                <w:sz w:val="20"/>
                <w:szCs w:val="20"/>
                <w:color w:val="auto"/>
              </w:rPr>
            </w:pPr>
            <w:r>
              <w:rPr>
                <w:rFonts w:ascii="Arial" w:cs="Arial" w:eastAsia="Arial" w:hAnsi="Arial"/>
                <w:sz w:val="18"/>
                <w:szCs w:val="18"/>
                <w:color w:val="auto"/>
                <w:w w:val="88"/>
              </w:rPr>
              <w:t>$4.62</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Dec.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3"/>
                <w:szCs w:val="23"/>
                <w:color w:val="auto"/>
                <w:w w:val="85"/>
                <w:vertAlign w:val="superscript"/>
              </w:rPr>
              <w:t>(3)</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92"/>
              </w:rPr>
              <w:t>$—</w:t>
            </w:r>
          </w:p>
        </w:tc>
        <w:tc>
          <w:tcPr>
            <w:tcW w:w="1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$1.54/Bbl.</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$1.90/Bbl.</w:t>
      </w:r>
    </w:p>
    <w:p>
      <w:pPr>
        <w:spacing w:after="0" w:line="9" w:lineRule="exact"/>
        <w:rPr>
          <w:rFonts w:ascii="Arial" w:cs="Arial" w:eastAsia="Arial" w:hAnsi="Arial"/>
          <w:sz w:val="18"/>
          <w:szCs w:val="18"/>
          <w:color w:val="auto"/>
        </w:rPr>
      </w:pPr>
    </w:p>
    <w:p>
      <w:pPr>
        <w:jc w:val="both"/>
        <w:ind w:firstLine="8"/>
        <w:spacing w:after="0" w:line="277" w:lineRule="auto"/>
        <w:tabs>
          <w:tab w:leader="none" w:pos="27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Partnership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Arial" w:cs="Arial" w:eastAsia="Arial" w:hAnsi="Arial"/>
          <w:sz w:val="18"/>
          <w:szCs w:val="18"/>
          <w:u w:val="single" w:color="auto"/>
          <w:color w:val="0000FF"/>
        </w:rPr>
        <w:t>Fair Value Measurements</w:t>
      </w:r>
      <w:r>
        <w:rPr>
          <w:rFonts w:ascii="Arial" w:cs="Arial" w:eastAsia="Arial" w:hAnsi="Arial"/>
          <w:sz w:val="18"/>
          <w:szCs w:val="18"/>
          <w:color w:val="auto"/>
        </w:rPr>
        <w:t xml:space="preserve"> 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3"/>
          </w:tcPr>
          <w:p>
            <w:pPr>
              <w:jc w:val="right"/>
              <w:ind w:right="73"/>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9"/>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(70,649)</w:t>
            </w:r>
          </w:p>
        </w:tc>
      </w:tr>
      <w:tr>
        <w:trPr>
          <w:trHeight w:val="304"/>
        </w:trPr>
        <w:tc>
          <w:tcPr>
            <w:tcW w:w="562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(10,263)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(27,292)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(61,188)</w:t>
            </w:r>
          </w:p>
        </w:tc>
      </w:tr>
    </w:tbl>
    <w:p>
      <w:pPr>
        <w:ind w:left="340" w:hanging="332"/>
        <w:spacing w:after="0" w:line="26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three and nine months ended September 30, 2022 includes cash paid on commodity contracts terminated prior to their contractual maturity of $2.4 million and $6.6 million, respectively.</w:t>
      </w:r>
    </w:p>
    <w:p>
      <w:pPr>
        <w:spacing w:after="0" w:line="202"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their placement within the fair value hierarchy. The Partnership uses appropriate valuation techniques based on available inputs to measure the fair values of its assets and liabilities.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September 30, 2022 and December 31, 2021. The net amounts are classified as current or noncurrent based on their anticipated settlement dates.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As of September 30, 2022</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2"/>
              </w:rPr>
              <w:t>Total Gross Fair</w:t>
            </w:r>
          </w:p>
        </w:tc>
        <w:tc>
          <w:tcPr>
            <w:tcW w:w="140" w:type="dxa"/>
            <w:vAlign w:val="bottom"/>
          </w:tcPr>
          <w:p>
            <w:pPr>
              <w:spacing w:after="0"/>
              <w:rPr>
                <w:sz w:val="13"/>
                <w:szCs w:val="13"/>
                <w:color w:val="auto"/>
              </w:rPr>
            </w:pPr>
          </w:p>
        </w:tc>
        <w:tc>
          <w:tcPr>
            <w:tcW w:w="140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6,077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6,077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(5,186)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ind w:right="615"/>
              <w:spacing w:after="0"/>
              <w:rPr>
                <w:sz w:val="20"/>
                <w:szCs w:val="20"/>
                <w:color w:val="auto"/>
              </w:rPr>
            </w:pPr>
            <w:r>
              <w:rPr>
                <w:rFonts w:ascii="Arial" w:cs="Arial" w:eastAsia="Arial" w:hAnsi="Arial"/>
                <w:sz w:val="16"/>
                <w:szCs w:val="16"/>
                <w:b w:val="1"/>
                <w:bCs w:val="1"/>
                <w:color w:val="auto"/>
                <w:w w:val="91"/>
              </w:rPr>
              <w:t>As of December 31, 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36"/>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right"/>
              <w:ind w:right="175"/>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36"/>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5,338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5,338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ind w:left="80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18"/>
                <w:szCs w:val="18"/>
                <w:color w:val="auto"/>
              </w:rPr>
            </w:pPr>
          </w:p>
        </w:tc>
        <w:tc>
          <w:tcPr>
            <w:tcW w:w="31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4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245,000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304,000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304,000</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472,727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498,992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September 30, 2022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our proved oil and natural gas interests to fair value when they are impaired or held for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72"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3, 2022, the board of directors of the General Partner approved a cash distribution for the third quarter of 2022 of $0.49 per common unit, payable on November 25, 2022, to eligible unitholders of record at the close of business on November 17, 2022. The distribution consists of a base quarterly distribution of $0.25 per common unit and a variable quarterly distribution of $0.24 per common unit.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26">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Part II. Item 1A. Risk Factors</w:t>
      </w:r>
      <w:r>
        <w:rPr>
          <w:rFonts w:ascii="Arial" w:cs="Arial" w:eastAsia="Arial" w:hAnsi="Arial"/>
          <w:sz w:val="17"/>
          <w:szCs w:val="17"/>
          <w:i w:val="1"/>
          <w:iCs w:val="1"/>
          <w:color w:val="auto"/>
        </w:rPr>
        <w:t>” and “</w:t>
      </w:r>
      <w:r>
        <w:rPr>
          <w:rFonts w:ascii="Arial" w:cs="Arial" w:eastAsia="Arial" w:hAnsi="Arial"/>
          <w:sz w:val="17"/>
          <w:szCs w:val="17"/>
          <w:i w:val="1"/>
          <w:iCs w:val="1"/>
          <w:u w:val="single" w:color="auto"/>
          <w:color w:val="0000FF"/>
        </w:rPr>
        <w:t>Cautionary Statement Regarding Forward-Looking Statements</w:t>
      </w:r>
      <w:r>
        <w:rPr>
          <w:rFonts w:ascii="Arial" w:cs="Arial" w:eastAsia="Arial" w:hAnsi="Arial"/>
          <w:sz w:val="17"/>
          <w:szCs w:val="17"/>
          <w:i w:val="1"/>
          <w:i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2022 and 2021, NYMEX WTI, has ranged from $47.62 to $123.70 per Bbl, and the NYMEX Henry Hub price of natural gas has ranged from $2.45 to $9.68 per MMBtu, with seven-year highs reached in 2022. The war in Ukraine, the COVID-19 pandemic, rising interest rates, global supply chain disruptions, concerns about a potential economic downturn or recession and recent measures to combat persistent inflation have continued to contribute to economic and pricing volatility during 2022. Additionally, OPEC and its non-OPEC allies, known collectively as OPEC+, continues to meet regularly to evaluate the state of global oil supply, demand and inventory levels, and has planned production decreases in order to stabilize oil prices during the fourth quarter. However, pricing may remain volatile during the remainder of 2022. We cannot reasonably predict whether production levels will remain at current levels or the impact the full extent of the events above may have on our industry and our business.</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Although average oil prices decreased during the third quarter of 2022 from the second quarter of 2022, the commodity prices and industry conditions remained favorable and, based on the results of the quarterly ceiling test, we were not required to record an impairment on our proved oil and natural gas interests for the quarter ended September 30, 2022. If commodity prices deteriorate,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third quarter of 2022, we acquired, from unrelated third-party sellers, mineral and royalty interests representing 165 net royalty acres in the Permian Basin for an aggregate purchase price of approximately $40.1 million, subject to post-closing adjustments. We divested 93 net royalty acres of third party operated acreage located entirely in Loving county in the Delaware Basin for an aggregate sales price of $29.9 million, subject to closing adjustments. Our footprint of mineral and royalty interests totaled 26,789 net royalty acres at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sz w:val="20"/>
          <w:szCs w:val="20"/>
          <w:color w:val="auto"/>
        </w:rPr>
      </w:pPr>
    </w:p>
    <w:p>
      <w:pPr>
        <w:jc w:val="both"/>
        <w:ind w:left="40" w:firstLine="648"/>
        <w:spacing w:after="0" w:line="262" w:lineRule="auto"/>
        <w:rPr>
          <w:sz w:val="20"/>
          <w:szCs w:val="20"/>
          <w:color w:val="auto"/>
        </w:rPr>
      </w:pPr>
      <w:r>
        <w:rPr>
          <w:rFonts w:ascii="Arial" w:cs="Arial" w:eastAsia="Arial" w:hAnsi="Arial"/>
          <w:sz w:val="17"/>
          <w:szCs w:val="17"/>
          <w:color w:val="auto"/>
        </w:rPr>
        <w:t>In July 2022, the board of directors of our General Partner approved a distribution policy, effective beginning with our distribution payable for the third quarter of 2022, consisting of a base and variable distribution, that takes into account capital returned to unitholders via our unit buyback program. The board updated the distribution policy in November 2022, providing that lease bonus payments and other similar, one-time, non-recurring payments will be excluded from the calculation of the Partnership’s and the Operating Company’s available cash.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Third party operated net wells turned to production on our acreage during the third quarter of 2022 are at their highest level since the second quarter of 2019, and third party operated gross wells turned to production during the quarter were the highest in the Partnership’s history. There are currently 49 rigs operating on our mineral and royalty acreage, 11 of which are operated by Diamondback. Although demand for oil and natural gas and commodity prices have increased in the current year, Diamondback and certain of our other operators have kept production on our acreage relatively flat during 2022 and expect to maintain relatively flat volumes in the fourth quarter of 2022 and the first quarter of 2023. Our production and free cash flow outlooks are expected to be driven by Diamondback’s continued focus on developing our acreage, as well as our exposure to other well-capitalized operators in the Permian Basin. As a result of Diamondback’s consistent focus on developing our high concentration royalty acreage, primarily in the Northern Midland Basin, we expect our Diamondback-operated full year 2023 oil production to increase by approximately 10% compared to 2022.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well information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Diamondback</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Third Party</w:t>
            </w:r>
          </w:p>
        </w:tc>
        <w:tc>
          <w:tcPr>
            <w:tcW w:w="11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Horizontal wells turned to production (third quarter 2022)</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5.4 %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 (as of October 20, 2022):</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 (as of October 20, 2022)</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 (as of October 20, 2022)</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lateral length of 10,880.</w:t>
      </w:r>
    </w:p>
    <w:p>
      <w:pPr>
        <w:spacing w:after="0" w:line="11" w:lineRule="exact"/>
        <w:rPr>
          <w:rFonts w:ascii="Arial" w:cs="Arial" w:eastAsia="Arial" w:hAnsi="Arial"/>
          <w:sz w:val="18"/>
          <w:szCs w:val="18"/>
          <w:color w:val="auto"/>
        </w:rPr>
      </w:pPr>
    </w:p>
    <w:p>
      <w:pPr>
        <w:ind w:left="260" w:hanging="252"/>
        <w:spacing w:after="0" w:line="242" w:lineRule="auto"/>
        <w:tabs>
          <w:tab w:leader="none" w:pos="2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570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42" w:lineRule="auto"/>
        <w:tabs>
          <w:tab w:leader="none" w:pos="2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520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June 30, 2022</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noted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Recent Developments</w:t>
      </w:r>
      <w:r>
        <w:rPr>
          <w:rFonts w:ascii="Arial" w:cs="Arial" w:eastAsia="Arial" w:hAnsi="Arial"/>
          <w:sz w:val="18"/>
          <w:szCs w:val="18"/>
          <w:i w:val="1"/>
          <w:iCs w:val="1"/>
          <w:color w:val="auto"/>
        </w:rPr>
        <w:t>,</w:t>
      </w:r>
      <w:r>
        <w:rPr>
          <w:rFonts w:ascii="Arial" w:cs="Arial" w:eastAsia="Arial" w:hAnsi="Arial"/>
          <w:sz w:val="18"/>
          <w:szCs w:val="18"/>
          <w:color w:val="auto"/>
        </w:rPr>
        <w:t>” 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4"/>
          </w:tcPr>
          <w:p>
            <w:pPr>
              <w:jc w:val="right"/>
              <w:ind w:right="1250"/>
              <w:spacing w:after="0"/>
              <w:rPr>
                <w:sz w:val="20"/>
                <w:szCs w:val="20"/>
                <w:color w:val="auto"/>
              </w:rPr>
            </w:pPr>
            <w:r>
              <w:rPr>
                <w:rFonts w:ascii="Arial" w:cs="Arial" w:eastAsia="Arial" w:hAnsi="Arial"/>
                <w:sz w:val="16"/>
                <w:szCs w:val="16"/>
                <w:b w:val="1"/>
                <w:bCs w:val="1"/>
                <w:color w:val="auto"/>
              </w:rPr>
              <w:t>(In thousands)</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167,934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191,195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23,842</w:t>
            </w:r>
          </w:p>
        </w:tc>
      </w:tr>
      <w:tr>
        <w:trPr>
          <w:trHeight w:val="223"/>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238,830</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239,322</w:t>
            </w:r>
          </w:p>
        </w:tc>
      </w:tr>
      <w:tr>
        <w:trPr>
          <w:trHeight w:val="19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16,039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49,881</w:t>
            </w: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173,380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189,441</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(9,782)</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w:t>
            </w: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163,693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177,802</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210,102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171,620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w:t>
            </w: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34,022</w:t>
            </w: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6"/>
                <w:szCs w:val="16"/>
                <w:b w:val="1"/>
                <w:bCs w:val="1"/>
                <w:color w:val="auto"/>
              </w:rPr>
              <w:t>June 30, 2022</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r>
      <w:tr>
        <w:trPr>
          <w:trHeight w:val="270"/>
        </w:trPr>
        <w:tc>
          <w:tcPr>
            <w:tcW w:w="7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34,489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33,560</w:t>
            </w:r>
          </w:p>
        </w:tc>
      </w:tr>
      <w:tr>
        <w:trPr>
          <w:trHeight w:val="270"/>
        </w:trPr>
        <w:tc>
          <w:tcPr>
            <w:tcW w:w="7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69.31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78.20</w:t>
            </w:r>
          </w:p>
        </w:tc>
      </w:tr>
      <w:tr>
        <w:trPr>
          <w:trHeight w:val="270"/>
        </w:trPr>
        <w:tc>
          <w:tcPr>
            <w:tcW w:w="7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91.26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105.59</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39.28</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r>
      <w:tr>
        <w:trPr>
          <w:trHeight w:val="270"/>
        </w:trPr>
        <w:tc>
          <w:tcPr>
            <w:tcW w:w="7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7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10.47</w:t>
            </w:r>
          </w:p>
        </w:tc>
      </w:tr>
    </w:tbl>
    <w:p>
      <w:pPr>
        <w:spacing w:after="0" w:line="7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royalty income is a function of oil, natural gas, and natural gas liquids production volumes sold and average prices received for those volumes.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Royalty income decreased $18.9 million during the third quarter of 2022, compared to the second quarter of 2022. Changes in average pricing contributed approximately $25.5 million of the total decrease due primarily to lower average oil prices and to a lesser extent, natural gas liquids prices, offset slightly by higher average natural gas prices during the third quarter of 2022. The impact of lower pricing was partially offset by an increase of $6.6 million due to a 4% growth in production in the third quarter of 2022 compared to the second quarter of 2022. This production growth resulted from new wells additions between periods and having one additional day of production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three months ended September 30, 2022 and June 30,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1015"/>
              <w:spacing w:after="0"/>
              <w:rPr>
                <w:sz w:val="20"/>
                <w:szCs w:val="20"/>
                <w:color w:val="auto"/>
              </w:rPr>
            </w:pPr>
            <w:r>
              <w:rPr>
                <w:rFonts w:ascii="Arial" w:cs="Arial" w:eastAsia="Arial" w:hAnsi="Arial"/>
                <w:sz w:val="16"/>
                <w:szCs w:val="16"/>
                <w:b w:val="1"/>
                <w:bCs w:val="1"/>
                <w:color w:val="auto"/>
                <w:w w:val="90"/>
              </w:rPr>
              <w:t>September 30, 2022</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June 30, 2022</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3"/>
                <w:szCs w:val="13"/>
                <w:color w:val="auto"/>
              </w:rPr>
            </w:pPr>
          </w:p>
        </w:tc>
        <w:tc>
          <w:tcPr>
            <w:tcW w:w="10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5"/>
              </w:rPr>
              <w:t>Per BOE</w:t>
            </w:r>
          </w:p>
        </w:tc>
        <w:tc>
          <w:tcPr>
            <w:tcW w:w="1260" w:type="dxa"/>
            <w:vAlign w:val="bottom"/>
          </w:tcPr>
          <w:p>
            <w:pPr>
              <w:jc w:val="center"/>
              <w:ind w:right="35"/>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334"/>
              <w:spacing w:after="0" w:line="158"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Royalty Income</w:t>
            </w:r>
          </w:p>
        </w:tc>
        <w:tc>
          <w:tcPr>
            <w:tcW w:w="14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5.3 %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6.7 %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royalty income for the third quarter of 2022 were consistent with the second quarter of 2022. Ad valorem taxes are based, among other factors, on property values driven by prior year commodity prices. Ad valorem taxes were also consistent between periods.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$1.5 million, or 5%, decrease in depletion expense for the third quarter of 2022 compared to the second quarter of 2022 was due primarily to a reduction in the average depletion rate to $9.60 for the three months ended September 30, 2022 compared to $10.47 for three months ended June 30, 2022. The rate decrease was primarily due to higher SEC oil and natural gas prices utilized in the reserve calculations in the third quarter of 2022, lengthening the economic life of the reserve base and resulting in higher projected remaining reserve volumes on our wells, as well as changes in cost to be excluded from depletion. The reduction in the average depletion rate was primarily offset by higher production in the third quarter of 2022.</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3"/>
              </w:rPr>
              <w:t>September 30, 2022</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3"/>
          </w:tcPr>
          <w:p>
            <w:pPr>
              <w:jc w:val="right"/>
              <w:ind w:right="125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304"/>
        </w:trPr>
        <w:tc>
          <w:tcPr>
            <w:tcW w:w="75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(10,263)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(6,765)</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The three months ended September 30, 2022 includes cash paid on commodity contracts terminated prior to their contractual maturity of $2.4 million.</w:t>
      </w:r>
    </w:p>
    <w:p>
      <w:pPr>
        <w:spacing w:after="0" w:line="2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recorded a gain on our derivative instruments for the third quarter of 2022, compared to a loss for the second quarter of 2022. This change is primarily due to market prices decreasing and in some cases being lower than the strike prices on our open oil and natural gas derivative contracts at September 30, 2022 compared to June 30, 2022. This gain was largely offset by net cash payments made to settle matured contracts and for the early termination of certain commodity contracts in the third quarter of 2022.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 See Note 10—</w:t>
      </w:r>
      <w:r>
        <w:rPr>
          <w:rFonts w:ascii="Arial" w:cs="Arial" w:eastAsia="Arial" w:hAnsi="Arial"/>
          <w:sz w:val="16"/>
          <w:szCs w:val="16"/>
          <w:u w:val="single" w:color="auto"/>
          <w:color w:val="0000FF"/>
        </w:rPr>
        <w:t>Derivatives</w:t>
      </w:r>
      <w:r>
        <w:rPr>
          <w:rFonts w:ascii="Arial" w:cs="Arial" w:eastAsia="Arial" w:hAnsi="Arial"/>
          <w:sz w:val="16"/>
          <w:szCs w:val="16"/>
          <w:color w:val="auto"/>
        </w:rPr>
        <w:t xml:space="preserve"> of the notes to the condensed consolidated financial statements included elsewhere in this report for additional discussion of our open contracts at September 30, 2022.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$52.6 million decrease in income tax expense for the third quarter of 2022 compared to the second quarter of 2022 is primarily due to recognition of discrete income tax benefit as a result of the partial reduction of the valuation allowance against our deferred tax assets and to lower pre-tax net income driven primarily by a decrease in royalty income. See Note 9—</w:t>
      </w:r>
      <w:r>
        <w:rPr>
          <w:rFonts w:ascii="Arial" w:cs="Arial" w:eastAsia="Arial" w:hAnsi="Arial"/>
          <w:sz w:val="18"/>
          <w:szCs w:val="18"/>
          <w:u w:val="single" w:color="auto"/>
          <w:color w:val="0000FF"/>
        </w:rPr>
        <w:t>Income Taxes</w:t>
      </w:r>
      <w:r>
        <w:rPr>
          <w:rFonts w:ascii="Arial" w:cs="Arial" w:eastAsia="Arial" w:hAnsi="Arial"/>
          <w:sz w:val="18"/>
          <w:szCs w:val="18"/>
          <w:color w:val="auto"/>
        </w:rPr>
        <w:t xml:space="preserve"> of the notes to the condensed consolidated financial statements included elsewhere in this report for further details.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89"/>
              </w:rPr>
              <w:t>2021</w:t>
            </w:r>
          </w:p>
        </w:tc>
      </w:tr>
      <w:tr>
        <w:trPr>
          <w:trHeight w:val="209"/>
        </w:trPr>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514,180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272,450</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30,651</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34,518</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337,619</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662,842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339,130</w:t>
            </w:r>
          </w:p>
        </w:tc>
      </w:tr>
      <w:tr>
        <w:trPr>
          <w:trHeight w:val="19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23,426</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74,230</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103,774</w:t>
            </w: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521,490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235,356</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(30,158)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(24,161)</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(70,649)</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(94,733)</w:t>
            </w: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472,166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140,623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509,763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139,682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379,796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121,208</w:t>
            </w: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18,474</w:t>
            </w: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8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4,378</w:t>
            </w:r>
          </w:p>
        </w:tc>
      </w:tr>
      <w:tr>
        <w:trPr>
          <w:trHeight w:val="229"/>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30"/>
        </w:trPr>
        <w:tc>
          <w:tcPr>
            <w:tcW w:w="84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r>
      <w:tr>
        <w:trPr>
          <w:trHeight w:val="270"/>
        </w:trPr>
        <w:tc>
          <w:tcPr>
            <w:tcW w:w="8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27,015</w:t>
            </w:r>
          </w:p>
        </w:tc>
      </w:tr>
      <w:tr>
        <w:trPr>
          <w:trHeight w:val="270"/>
        </w:trPr>
        <w:tc>
          <w:tcPr>
            <w:tcW w:w="8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29"/>
        </w:trPr>
        <w:tc>
          <w:tcPr>
            <w:tcW w:w="842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45.78</w:t>
            </w:r>
          </w:p>
        </w:tc>
      </w:tr>
      <w:tr>
        <w:trPr>
          <w:trHeight w:val="270"/>
        </w:trPr>
        <w:tc>
          <w:tcPr>
            <w:tcW w:w="8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42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48.26</w:t>
            </w:r>
          </w:p>
        </w:tc>
      </w:tr>
      <w:tr>
        <w:trPr>
          <w:trHeight w:val="229"/>
        </w:trPr>
        <w:tc>
          <w:tcPr>
            <w:tcW w:w="84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842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25.40</w:t>
            </w:r>
          </w:p>
        </w:tc>
      </w:tr>
      <w:tr>
        <w:trPr>
          <w:trHeight w:val="230"/>
        </w:trPr>
        <w:tc>
          <w:tcPr>
            <w:tcW w:w="84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r>
    </w:tbl>
    <w:p>
      <w:pPr>
        <w:spacing w:after="0" w:line="2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Average costs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70980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tbl>
      <w:tblPr>
        <w:tblLayout w:type="fixed"/>
        <w:tblInd w:w="180" w:type="dxa"/>
        <w:tblCellMar>
          <w:top w:w="0" w:type="dxa"/>
          <w:left w:w="0" w:type="dxa"/>
          <w:bottom w:w="0" w:type="dxa"/>
          <w:right w:w="0" w:type="dxa"/>
        </w:tblCellMar>
      </w:tblPr>
      <w:tr>
        <w:trPr>
          <w:trHeight w:val="224"/>
        </w:trPr>
        <w:tc>
          <w:tcPr>
            <w:tcW w:w="8280" w:type="dxa"/>
            <w:vAlign w:val="bottom"/>
          </w:tcPr>
          <w:p>
            <w:pPr>
              <w:spacing w:after="0"/>
              <w:rPr>
                <w:sz w:val="20"/>
                <w:szCs w:val="20"/>
                <w:color w:val="auto"/>
              </w:rPr>
            </w:pPr>
            <w:r>
              <w:rPr>
                <w:rFonts w:ascii="Arial" w:cs="Arial" w:eastAsia="Arial" w:hAnsi="Arial"/>
                <w:sz w:val="18"/>
                <w:szCs w:val="18"/>
                <w:color w:val="auto"/>
              </w:rPr>
              <w:t>Production and ad valorem taxes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6"/>
        </w:trPr>
        <w:tc>
          <w:tcPr>
            <w:tcW w:w="8280" w:type="dxa"/>
            <w:vAlign w:val="bottom"/>
          </w:tcPr>
          <w:p>
            <w:pPr>
              <w:spacing w:after="0" w:line="235"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r>
      <w:tr>
        <w:trPr>
          <w:trHeight w:val="223"/>
        </w:trPr>
        <w:tc>
          <w:tcPr>
            <w:tcW w:w="8280" w:type="dxa"/>
            <w:vAlign w:val="bottom"/>
          </w:tcPr>
          <w:p>
            <w:pPr>
              <w:ind w:left="80"/>
              <w:spacing w:after="0"/>
              <w:rPr>
                <w:sz w:val="20"/>
                <w:szCs w:val="20"/>
                <w:color w:val="auto"/>
              </w:rPr>
            </w:pPr>
            <w:r>
              <w:rPr>
                <w:rFonts w:ascii="Arial" w:cs="Arial" w:eastAsia="Arial" w:hAnsi="Arial"/>
                <w:sz w:val="18"/>
                <w:szCs w:val="18"/>
                <w:color w:val="auto"/>
              </w:rPr>
              <w:t>Total operating expense - cash</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0"/>
        </w:trPr>
        <w:tc>
          <w:tcPr>
            <w:tcW w:w="8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5"/>
        </w:trPr>
        <w:tc>
          <w:tcPr>
            <w:tcW w:w="8280" w:type="dxa"/>
            <w:vAlign w:val="bottom"/>
          </w:tcPr>
          <w:p>
            <w:pPr>
              <w:spacing w:after="0"/>
              <w:rPr>
                <w:sz w:val="20"/>
                <w:szCs w:val="20"/>
                <w:color w:val="auto"/>
              </w:rPr>
            </w:pPr>
            <w:r>
              <w:rPr>
                <w:rFonts w:ascii="Arial" w:cs="Arial" w:eastAsia="Arial" w:hAnsi="Arial"/>
                <w:sz w:val="18"/>
                <w:szCs w:val="18"/>
                <w:color w:val="auto"/>
              </w:rPr>
              <w:t>General and administrative - non-cash unit compensation expense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Depletion</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-925195</wp:posOffset>
            </wp:positionV>
            <wp:extent cx="709803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-290830</wp:posOffset>
            </wp:positionV>
            <wp:extent cx="709803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-608330</wp:posOffset>
            </wp:positionV>
            <wp:extent cx="70980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Hedged prices reflect the impact of cash settlements of our matured commodity derivative transactions on our average sales prices.</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912" w:hanging="912"/>
        <w:spacing w:after="0"/>
        <w:tabs>
          <w:tab w:leader="none" w:pos="9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3.18</w:t>
      </w:r>
    </w:p>
    <w:p>
      <w:pPr>
        <w:spacing w:after="0" w:line="46"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6"/>
          <w:szCs w:val="16"/>
          <w:color w:val="auto"/>
        </w:rPr>
        <w:t>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01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38" w:lineRule="exact"/>
        <w:rPr>
          <w:sz w:val="20"/>
          <w:szCs w:val="20"/>
          <w:color w:val="auto"/>
        </w:rPr>
      </w:pPr>
    </w:p>
    <w:p>
      <w:pPr>
        <w:ind w:left="912" w:hanging="912"/>
        <w:spacing w:after="0"/>
        <w:tabs>
          <w:tab w:leader="none" w:pos="9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01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323" w:lineRule="exact"/>
        <w:rPr>
          <w:sz w:val="20"/>
          <w:szCs w:val="20"/>
          <w:color w:val="auto"/>
        </w:rPr>
      </w:pPr>
    </w:p>
    <w:p>
      <w:pPr>
        <w:ind w:left="912" w:hanging="912"/>
        <w:spacing w:after="0"/>
        <w:tabs>
          <w:tab w:leader="none" w:pos="9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0.13</w:t>
      </w:r>
    </w:p>
    <w:p>
      <w:pPr>
        <w:spacing w:after="0" w:line="46" w:lineRule="exact"/>
        <w:rPr>
          <w:sz w:val="20"/>
          <w:szCs w:val="20"/>
          <w:color w:val="auto"/>
        </w:rPr>
      </w:pPr>
    </w:p>
    <w:p>
      <w:pPr>
        <w:ind w:left="912" w:hanging="912"/>
        <w:spacing w:after="0"/>
        <w:tabs>
          <w:tab w:leader="none" w:pos="9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3.28</w:t>
      </w:r>
    </w:p>
    <w:p>
      <w:pPr>
        <w:spacing w:after="0" w:line="45" w:lineRule="exact"/>
        <w:rPr>
          <w:rFonts w:ascii="Arial" w:cs="Arial" w:eastAsia="Arial" w:hAnsi="Arial"/>
          <w:sz w:val="16"/>
          <w:szCs w:val="16"/>
          <w:color w:val="auto"/>
        </w:rPr>
      </w:pPr>
    </w:p>
    <w:p>
      <w:pPr>
        <w:ind w:left="832" w:hanging="832"/>
        <w:spacing w:after="0"/>
        <w:tabs>
          <w:tab w:leader="none" w:pos="8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10.07</w:t>
      </w:r>
    </w:p>
    <w:p>
      <w:pPr>
        <w:spacing w:after="0" w:line="1651" w:lineRule="exact"/>
        <w:rPr>
          <w:sz w:val="20"/>
          <w:szCs w:val="20"/>
          <w:color w:val="auto"/>
        </w:rPr>
      </w:pPr>
    </w:p>
    <w:p>
      <w:pPr>
        <w:sectPr>
          <w:pgSz w:w="11900" w:h="16838" w:orient="portrait"/>
          <w:cols w:equalWidth="0" w:num="2">
            <w:col w:w="9780" w:space="128"/>
            <w:col w:w="1332"/>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royalty income is a function of oil, natural gas, and natural gas liquids production volumes sold and average prices received for those volumes.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Royalty income increased $314.2 million during the nine months ended September 30, 2022 compared to the same period in 2021. As discussed in “—</w:t>
      </w:r>
      <w:r>
        <w:rPr>
          <w:rFonts w:ascii="Arial" w:cs="Arial" w:eastAsia="Arial" w:hAnsi="Arial"/>
          <w:sz w:val="18"/>
          <w:szCs w:val="18"/>
          <w:i w:val="1"/>
          <w:iCs w:val="1"/>
          <w:u w:val="single" w:color="auto"/>
          <w:color w:val="0000FF"/>
        </w:rPr>
        <w:t>Recent Developments</w:t>
      </w:r>
      <w:r>
        <w:rPr>
          <w:rFonts w:ascii="Arial" w:cs="Arial" w:eastAsia="Arial" w:hAnsi="Arial"/>
          <w:sz w:val="18"/>
          <w:szCs w:val="18"/>
          <w:i w:val="1"/>
          <w:iCs w:val="1"/>
          <w:color w:val="auto"/>
        </w:rPr>
        <w:t>,”</w:t>
      </w:r>
      <w:r>
        <w:rPr>
          <w:rFonts w:ascii="Arial" w:cs="Arial" w:eastAsia="Arial" w:hAnsi="Arial"/>
          <w:sz w:val="18"/>
          <w:szCs w:val="18"/>
          <w:color w:val="auto"/>
        </w:rPr>
        <w:t xml:space="preserve"> strong oil prices in 2022 and to a lesser extent, the continuing recovery in natural gas and natural gas liquids prices, contributed to approximately $240.9 million of the total increase.</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remaining $73.3 million of the total increase in royalty income is attributable to the 23% increase in production volumes during the nine months ended September 30, 2022 compared to the same period in 2021. This production growth stems from new well additions between periods primarily due to the Swallowtail Acquisition.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 bonus income increased during the nine months ended September 30, 2022 compared to the same period in 2021 due primarily to leasing certain assets we acquired in the Swallowtail Acquisition to Diamondback in the first quarter of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nine months ended September 30,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ind w:left="220"/>
              <w:spacing w:after="0" w:line="158" w:lineRule="exact"/>
              <w:rPr>
                <w:sz w:val="20"/>
                <w:szCs w:val="20"/>
                <w:color w:val="auto"/>
              </w:rPr>
            </w:pPr>
            <w:r>
              <w:rPr>
                <w:rFonts w:ascii="Arial" w:cs="Arial" w:eastAsia="Arial" w:hAnsi="Arial"/>
                <w:sz w:val="16"/>
                <w:szCs w:val="16"/>
                <w:b w:val="1"/>
                <w:bCs w:val="1"/>
                <w:color w:val="auto"/>
              </w:rPr>
              <w:t>Percentage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 thousands)</w:t>
            </w: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b w:val="1"/>
                <w:bCs w:val="1"/>
                <w:color w:val="auto"/>
              </w:rPr>
              <w:t>Royalty Income</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5.1 %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6.9 %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nine months ended September 30, 2022 remained consistent with the same period in 2021. Ad valorem taxes are based, among other factors, on property values driven by prior year commodity prices. The increase in ad valorem taxes is primarily due to accruing taxes for the properties acquired in the Swallowtail Acquisition, as well as higher valuations assigned to our other oil and natural gas interests period over period driven by higher average commodity prices. Ad valorem taxes remained consistent as a percentage of royalty income for the nine months ended September 30, 2022 compared to the same period in 2021.</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$15.6 million, or 21%, increase in depletion expense for the nine months ended September 30, 2022 compared to the same period in 2021 was due primarily to production growth between the periods. The average depletion rate decreased to $9.91 for the nine months ended September 30, 2022 compared to the rate of $10.07 for the same period in 2021. The rate decrease largely resulted from higher SEC oil and natural gas prices utilized in the reserve calculations in 2022, lengthening the economic life of the reserve base and resulting in higher projected remaining reserve volumes on our wells.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8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89"/>
              </w:rPr>
              <w:t>2021</w:t>
            </w:r>
          </w:p>
        </w:tc>
      </w:tr>
      <w:tr>
        <w:trPr>
          <w:trHeight w:val="210"/>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232"/>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(70,649)</w:t>
            </w:r>
          </w:p>
        </w:tc>
      </w:tr>
      <w:tr>
        <w:trPr>
          <w:trHeight w:val="304"/>
        </w:trPr>
        <w:tc>
          <w:tcPr>
            <w:tcW w:w="850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(27,292)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(61,188)</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The nine months ended September 30, 2022 includes cash paid on commodity contracts terminated prior to their contractual maturity of $6.6 million.</w:t>
      </w:r>
    </w:p>
    <w:p>
      <w:pPr>
        <w:spacing w:after="0" w:line="2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recorded losses on our derivative instruments for the nine months ended September 30, 2022 and 2021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$6.0 million increase in net interest expense for the nine months ended September 30, 2022 compared to the same period in 2021 was due primarily to an increase in average outstanding borrowings and interest rates on the Operating Company’s revolving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Income tax benefit for the nine months ended September 30, 2022 of $37.6 million resulted primarily from recognition of discrete income tax benefit as a result of the partial reduction in the valuation allowance against our deferred tax assets. This was partially offset by an increase in current tax expense due to the increase in pre-tax income, which was driven largely by increases in royalty income and lease bonus income as well as changes in the gain or loss recognized on our derivative contracts as discussed above. See Note 9—</w:t>
      </w:r>
      <w:r>
        <w:rPr>
          <w:rFonts w:ascii="Arial" w:cs="Arial" w:eastAsia="Arial" w:hAnsi="Arial"/>
          <w:sz w:val="18"/>
          <w:szCs w:val="18"/>
          <w:u w:val="single" w:color="auto"/>
          <w:color w:val="0000FF"/>
        </w:rPr>
        <w:t>Income Taxes</w:t>
      </w:r>
      <w:r>
        <w:rPr>
          <w:rFonts w:ascii="Arial" w:cs="Arial" w:eastAsia="Arial" w:hAnsi="Arial"/>
          <w:sz w:val="18"/>
          <w:szCs w:val="18"/>
          <w:color w:val="auto"/>
        </w:rPr>
        <w:t xml:space="preserve"> of the notes to the condensed consolidated financial statements included elsewhere in this report for further details.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and investments, equity and debt offerings and borrowings under the Operating Company’s credit agreement. Our primary uses of cash have been distributions to our unitholders, repayments of debt, capital expenditures for the acquisition of our mineral interests and royalty interests in oil and natural gas properties and repurchases of our common units. At September 30, 2022, we had approximately $266.6 million of liquidity consisting of $11.6 million in cash and cash equivalents and $255.0 million available under the Operating Company’s credit agreement.</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working capital requirements are supported by our cash and cash equivalents and the Operating Company’s credit agreement. We may draw on the Operating Company’s credit agreement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order to mitigate volatility in oil and natural gas prices, we have entered into commodity derivative contracts as discussed further in </w:t>
      </w:r>
      <w:r>
        <w:rPr>
          <w:rFonts w:ascii="Arial" w:cs="Arial" w:eastAsia="Arial" w:hAnsi="Arial"/>
          <w:sz w:val="17"/>
          <w:szCs w:val="17"/>
          <w:u w:val="single" w:color="auto"/>
          <w:color w:val="0000FF"/>
        </w:rPr>
        <w:t>Item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Quantitative and Qualitative Disclosures About Market Risk—Commodity Price Risk</w:t>
      </w:r>
      <w:r>
        <w:rPr>
          <w:rFonts w:ascii="Arial" w:cs="Arial" w:eastAsia="Arial" w:hAnsi="Arial"/>
          <w:sz w:val="18"/>
          <w:szCs w:val="18"/>
          <w:color w:val="000000"/>
        </w:rPr>
        <w: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Continued prolonged volatility in the capital, financial and/or credit markets due to the COVID-19 pandemic, the war in Ukraine, the depressed commodity markets and, or adverse macroeconomic conditions, including persistent inflation, rising interests rates, global supply chain disruptions and increasing concerns over a potential economic downturn or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89"/>
              </w:rPr>
              <w:t>2021</w:t>
            </w:r>
          </w:p>
        </w:tc>
      </w:tr>
      <w:tr>
        <w:trPr>
          <w:trHeight w:val="209"/>
        </w:trPr>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513,241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199,672</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(560,684)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(140,525)</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operating cash flow is sensitive to many variables, the most significant of which are the volatility of prices for oil and natural gas and the volumes of oil and natural gas sold by our producers. The increase in net cash provided by operating activities during the nine months ended September 30, 2022 compared to the same period in 2021 was primarily driven by (i) higher royalty income, (ii) an increase in lease bonus income and (iii) a decrease in cash paid for derivative settlements. These increases in cash flow were partially offset by (i) changes in our working capital accounts, most notably through an increase in our accounts receivable in 2022 compared to 2021 due primarily to higher market prices for our oil sales and the timing of our receipt of royalty income payments from our operators (ii) an increase in production and ad valorem expenses due to the corresponding increase in royalty income and (iii) an increase in cash paid for taxes, as our tax provision reflects an increase in current cash income taxes. See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Results of Operations</w:t>
      </w:r>
      <w:r>
        <w:rPr>
          <w:rFonts w:ascii="Arial" w:cs="Arial" w:eastAsia="Arial" w:hAnsi="Arial"/>
          <w:sz w:val="17"/>
          <w:szCs w:val="17"/>
          <w:color w:val="auto"/>
        </w:rPr>
        <w:t>” for discussion of significant changes in our revenues and expenses.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investing activities during the nine months ended September 30, 2022 primarily related to proceeds from the divestitures of oil and natural gas interests, partially offset by expenditures for acquisitions of oil and natural gas interests.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investing activities during the nine months ended September 30, 2021 primarily related to acquisitions of oil and natural gas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Consistent with our strategy to return cash flow to unitholders, net cash used in financing activities during the nine months ended September 30, 2022 was primarily related to distributions of $333.7 million to our unitholders and $118.9 million of common unit repurchases which included approximately $37.3 million for the repurchase of 1.5 million common units from a significant unitholder in a privately negotiated transaction. Additionally, we paid approximately $49.0 million for the repurchase of principal outstanding on the Notes as discussed in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2022 Debt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below and made net repayments of $59.0 million of borrowings under the Operating Company’s revolving credit facility using cash on hand.</w:t>
      </w:r>
    </w:p>
    <w:p>
      <w:pPr>
        <w:spacing w:after="0" w:line="20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Net cash used in financing activities during the nine months ended September 30, 2021, was primarily related to net borrowings of $8.0 million under the Operating Company’s revolving credit facility, distributions of $112.0 million to our unitholders and $33.6 million of repurchases of our common units during the third quarter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39" w:lineRule="exact"/>
        <w:rPr>
          <w:sz w:val="20"/>
          <w:szCs w:val="20"/>
          <w:color w:val="auto"/>
        </w:rPr>
      </w:pPr>
    </w:p>
    <w:p>
      <w:pPr>
        <w:ind w:left="40" w:firstLine="648"/>
        <w:spacing w:after="0" w:line="261" w:lineRule="auto"/>
        <w:rPr>
          <w:sz w:val="20"/>
          <w:szCs w:val="20"/>
          <w:color w:val="auto"/>
        </w:rPr>
      </w:pPr>
      <w:r>
        <w:rPr>
          <w:rFonts w:ascii="Arial" w:cs="Arial" w:eastAsia="Arial" w:hAnsi="Arial"/>
          <w:sz w:val="18"/>
          <w:szCs w:val="18"/>
          <w:color w:val="auto"/>
        </w:rPr>
        <w:t>At September 30, 2022, the Operating Company had elected a commitment amount of $500.0 million on its credit agreement with $245.0 million of outstanding borrowings.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Debt Transactions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2022, the Operating Company used a combination of cash on hand and borrowings under the Operating Company’s credit agreement to repurchase a portion of the 5.375% 2027 Senior Notes in the aggregate principal amount of $49.6 million for total cash consideration of $49.0 million.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Operating Company is currently in compliance, and expects to be in compliance, with all financial maintenance covenants under its credit agreement. See Note 6—</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notes to the condensed consolidated financial statements included elsewhere in this report for additional discussion of our outstanding debt at September 30,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Repurchases of Securities</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On July 26, 2022, the board of directors of our General Partner increased the authorization of our common unit repurchase program from $250.0 million to $750.0 million. As of September 30, 2022, $561.0 million remains available for use to repurchase units under the repurchase program.</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may also from time to time opportunistically repurchase some of the outstanding Notes in open market purchases or in privately negotiated transactions.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jc w:val="both"/>
        <w:ind w:left="40" w:firstLine="648"/>
        <w:spacing w:after="0" w:line="270" w:lineRule="auto"/>
        <w:rPr>
          <w:sz w:val="20"/>
          <w:szCs w:val="20"/>
          <w:color w:val="auto"/>
        </w:rPr>
      </w:pPr>
      <w:r>
        <w:rPr>
          <w:rFonts w:ascii="Arial" w:cs="Arial" w:eastAsia="Arial" w:hAnsi="Arial"/>
          <w:sz w:val="17"/>
          <w:szCs w:val="17"/>
          <w:color w:val="auto"/>
        </w:rPr>
        <w:t>The distribution for the third quarter of 2022 is $0.49 per common unit payable on November 25, 2022 to common unitholders of record at the close of business on November 17, 2022. The dividend consists of a base quarterly dividend of $0.25 per common unit and a variable quarterly dividend of $0.24 per common unit. Future base and variable dividends are at the discretion of the board of directors of our General Partner.</w:t>
      </w:r>
    </w:p>
    <w:p>
      <w:pPr>
        <w:spacing w:after="0" w:line="191" w:lineRule="exact"/>
        <w:rPr>
          <w:sz w:val="20"/>
          <w:szCs w:val="20"/>
          <w:color w:val="auto"/>
        </w:rPr>
      </w:pPr>
    </w:p>
    <w:p>
      <w:pPr>
        <w:jc w:val="both"/>
        <w:ind w:left="40" w:firstLine="648"/>
        <w:spacing w:after="0" w:line="291"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Recent Developments—Cash Distributions on Common Units</w:t>
      </w:r>
      <w:r>
        <w:rPr>
          <w:rFonts w:ascii="Arial" w:cs="Arial" w:eastAsia="Arial" w:hAnsi="Arial"/>
          <w:sz w:val="17"/>
          <w:szCs w:val="17"/>
          <w:color w:val="auto"/>
        </w:rPr>
        <w:t>” and Note 7—</w:t>
      </w:r>
      <w:r>
        <w:rPr>
          <w:rFonts w:ascii="Arial" w:cs="Arial" w:eastAsia="Arial" w:hAnsi="Arial"/>
          <w:sz w:val="17"/>
          <w:szCs w:val="17"/>
          <w:u w:val="single" w:color="auto"/>
          <w:color w:val="0000FF"/>
        </w:rPr>
        <w:t>Unitholders' Equity and Distributions</w:t>
      </w:r>
      <w:r>
        <w:rPr>
          <w:rFonts w:ascii="Arial" w:cs="Arial" w:eastAsia="Arial" w:hAnsi="Arial"/>
          <w:sz w:val="17"/>
          <w:szCs w:val="17"/>
          <w:color w:val="auto"/>
        </w:rPr>
        <w:t xml:space="preserve"> of the notes to the condensed consolidated financial statements included elsewhere in this report for further discussion of the repurchase program and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to our critical accounting estimates from those disclosed in our </w:t>
      </w:r>
      <w:hyperlink r:id="rId2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included in the condensed notes to the consolidated financial statements included elsewhere in this Quarterly Report for recent accounting pronouncements not yet adopted, if any.</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rising interest rates, global supply chain disruptions, a potential economic downturn or recession, the COVID-19 pandemic and actions taken by OPEC members and other exporting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nations. We cannot predict events that may lead to future price volatility and the near term energy outlook remains subject to heightened levels of uncertainty.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historically have used fixed price swap contracts, fixed price basis swap contracts and costless collars with corresponding put and call options to reduce price volatility associated with certain of our royalty income as discussed in Note 10 — </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condensed consolidated financial statements included elsewhere in this report.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September 30, 2022, we had a net asset derivative position related to our commodity price derivatives of $4.5 million. Utilizing actual derivative contractual volumes under our contracts as of September 30, 2022, a 10% increase in forward curves associated with the underlying commodity would have increased the net asset position by $0.6 million to $5.1 million, while a 10% decrease in forward curves associated with the underlying commodity would have decreased the net asset derivative position by $0.3 million to $4.2 million. However, any cash derivative gain or loss would be substantially offset by a decrease or increase, respectively, in the actual sales value of production covered by the derivative instrument.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We are obligated to pay a quarterly commitment fee ranging from 0.375% to 0.500% per year on the unused portion of the borrowing base, which is the least of the maximum credit amount, the aggregate elected commitment amount and the borrowing base. As of September 30, 2022, we had $245.0 million in outstanding borrowings. During the three and nine months ended September 30, 2022, the weighted average interest rate on the Operating Company’s revolving credit facility was 4.75% and 3.53%, respectively.</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2022,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September 30, 2022, our disclosure controls and procedures are effective.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September 30, 2022 that have materially affected, or are reasonably likely to materially affect, internal controls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Arial" w:cs="Arial" w:eastAsia="Arial" w:hAnsi="Arial"/>
          <w:sz w:val="17"/>
          <w:szCs w:val="17"/>
          <w:u w:val="single" w:color="auto"/>
          <w:color w:val="0000FF"/>
        </w:rPr>
        <w:t>Commitments and Contingencies</w:t>
      </w:r>
      <w:r>
        <w:rPr>
          <w:rFonts w:ascii="Arial" w:cs="Arial" w:eastAsia="Arial" w:hAnsi="Arial"/>
          <w:sz w:val="17"/>
          <w:szCs w:val="17"/>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57" w:lineRule="auto"/>
        <w:rPr>
          <w:rFonts w:ascii="Arial" w:cs="Arial" w:eastAsia="Arial" w:hAnsi="Arial"/>
          <w:sz w:val="18"/>
          <w:szCs w:val="18"/>
          <w:color w:val="0000FF"/>
        </w:rPr>
      </w:pPr>
      <w:hyperlink r:id="rId16">
        <w:r>
          <w:rPr>
            <w:rFonts w:ascii="Arial" w:cs="Arial" w:eastAsia="Arial" w:hAnsi="Arial"/>
            <w:sz w:val="18"/>
            <w:szCs w:val="18"/>
            <w:color w:val="auto"/>
          </w:rPr>
          <w:t xml:space="preserve">As of the date of this filing, we continue to be subject to the risk factors previously disclosed in </w:t>
        </w:r>
        <w:r>
          <w:rPr>
            <w:rFonts w:ascii="Arial" w:cs="Arial" w:eastAsia="Arial" w:hAnsi="Arial"/>
            <w:sz w:val="18"/>
            <w:szCs w:val="18"/>
            <w:u w:val="single" w:color="auto"/>
            <w:color w:val="0000FF"/>
          </w:rPr>
          <w:t>Part I, Item 1A. Risk Factors in our Annual Report</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on Form 10-K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2021, filed with the SEC on February 24, 2022,</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Part II, Item 1A. Risk Factors in our Quarterly Report on</w:t>
        </w:r>
      </w:hyperlink>
      <w:r>
        <w:rPr>
          <w:rFonts w:ascii="Arial" w:cs="Arial" w:eastAsia="Arial" w:hAnsi="Arial"/>
          <w:sz w:val="18"/>
          <w:szCs w:val="18"/>
          <w:color w:val="0000FF"/>
        </w:rPr>
        <w:t xml:space="preserve"> </w:t>
      </w:r>
      <w:hyperlink r:id="rId18">
        <w:r>
          <w:rPr>
            <w:rFonts w:ascii="Arial" w:cs="Arial" w:eastAsia="Arial" w:hAnsi="Arial"/>
            <w:sz w:val="18"/>
            <w:szCs w:val="18"/>
            <w:u w:val="single" w:color="auto"/>
            <w:color w:val="0000FF"/>
          </w:rPr>
          <w:t>Form 10-Q</w:t>
        </w:r>
        <w:r>
          <w:rPr>
            <w:rFonts w:ascii="Arial" w:cs="Arial" w:eastAsia="Arial" w:hAnsi="Arial"/>
            <w:sz w:val="18"/>
            <w:szCs w:val="18"/>
            <w:color w:val="0000FF"/>
          </w:rPr>
          <w:t xml:space="preserve"> </w:t>
        </w:r>
        <w:r>
          <w:rPr>
            <w:rFonts w:ascii="Arial" w:cs="Arial" w:eastAsia="Arial" w:hAnsi="Arial"/>
            <w:sz w:val="18"/>
            <w:szCs w:val="18"/>
            <w:color w:val="000000"/>
          </w:rPr>
          <w:t>for the quarterly period ended March 31, 2022, filed with the SEC on May 5, 2022,</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Part II, Item 1A. Risk Factors in our Quarterly Report on</w:t>
        </w:r>
      </w:hyperlink>
      <w:r>
        <w:rPr>
          <w:rFonts w:ascii="Arial" w:cs="Arial" w:eastAsia="Arial" w:hAnsi="Arial"/>
          <w:sz w:val="18"/>
          <w:szCs w:val="18"/>
          <w:color w:val="0000FF"/>
        </w:rPr>
        <w:t xml:space="preserve"> </w:t>
      </w:r>
      <w:hyperlink r:id="rId18">
        <w:r>
          <w:rPr>
            <w:rFonts w:ascii="Arial" w:cs="Arial" w:eastAsia="Arial" w:hAnsi="Arial"/>
            <w:sz w:val="18"/>
            <w:szCs w:val="18"/>
            <w:u w:val="single" w:color="auto"/>
            <w:color w:val="0000FF"/>
          </w:rPr>
          <w:t>Form 10-Q</w:t>
        </w:r>
        <w:r>
          <w:rPr>
            <w:rFonts w:ascii="Arial" w:cs="Arial" w:eastAsia="Arial" w:hAnsi="Arial"/>
            <w:sz w:val="18"/>
            <w:szCs w:val="18"/>
            <w:color w:val="0000FF"/>
          </w:rPr>
          <w:t xml:space="preserve"> </w:t>
        </w:r>
        <w:r>
          <w:rPr>
            <w:rFonts w:ascii="Arial" w:cs="Arial" w:eastAsia="Arial" w:hAnsi="Arial"/>
            <w:sz w:val="18"/>
            <w:szCs w:val="18"/>
            <w:color w:val="000000"/>
          </w:rPr>
          <w:t>for the quarterly period ended June 30, 2022, filed with the SEC on August 3, 2022, and in subsequent filings we make with the SEC. There</w:t>
        </w:r>
      </w:hyperlink>
      <w:r>
        <w:rPr>
          <w:rFonts w:ascii="Arial" w:cs="Arial" w:eastAsia="Arial" w:hAnsi="Arial"/>
          <w:sz w:val="18"/>
          <w:szCs w:val="18"/>
          <w:color w:val="0000FF"/>
        </w:rPr>
        <w:t xml:space="preserve"> </w:t>
      </w:r>
      <w:r>
        <w:rPr>
          <w:rFonts w:ascii="Arial" w:cs="Arial" w:eastAsia="Arial" w:hAnsi="Arial"/>
          <w:sz w:val="18"/>
          <w:szCs w:val="18"/>
          <w:color w:val="000000"/>
        </w:rPr>
        <w:t>have been no material changes in our risk factors from those described in such reports.</w:t>
      </w:r>
    </w:p>
    <w:p>
      <w:pPr>
        <w:spacing w:after="0" w:line="211" w:lineRule="exact"/>
        <w:rPr>
          <w:rFonts w:ascii="Arial" w:cs="Arial" w:eastAsia="Arial" w:hAnsi="Arial"/>
          <w:sz w:val="18"/>
          <w:szCs w:val="18"/>
          <w:color w:val="0000FF"/>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September 30, 2022 was as follows:</w:t>
      </w:r>
    </w:p>
    <w:p>
      <w:pPr>
        <w:spacing w:after="0" w:line="271" w:lineRule="exact"/>
        <w:rPr>
          <w:rFonts w:ascii="Arial" w:cs="Arial" w:eastAsia="Arial" w:hAnsi="Arial"/>
          <w:sz w:val="18"/>
          <w:szCs w:val="18"/>
          <w:color w:val="0000FF"/>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 Units</w:t>
            </w:r>
          </w:p>
        </w:tc>
        <w:tc>
          <w:tcPr>
            <w:tcW w:w="1720" w:type="dxa"/>
            <w:vAlign w:val="bottom"/>
            <w:gridSpan w:val="2"/>
            <w:vMerge w:val="restart"/>
          </w:tcPr>
          <w:p>
            <w:pPr>
              <w:jc w:val="right"/>
              <w:ind w:right="11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360" w:type="dxa"/>
            <w:vAlign w:val="bottom"/>
          </w:tcPr>
          <w:p>
            <w:pPr>
              <w:spacing w:after="0"/>
              <w:rPr>
                <w:sz w:val="18"/>
                <w:szCs w:val="18"/>
                <w:color w:val="auto"/>
              </w:rPr>
            </w:pPr>
          </w:p>
        </w:tc>
        <w:tc>
          <w:tcPr>
            <w:tcW w:w="13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454"/>
              <w:spacing w:after="0" w:line="216" w:lineRule="exact"/>
              <w:rPr>
                <w:sz w:val="20"/>
                <w:szCs w:val="20"/>
                <w:color w:val="auto"/>
              </w:rPr>
            </w:pPr>
            <w:r>
              <w:rPr>
                <w:rFonts w:ascii="Arial" w:cs="Arial" w:eastAsia="Arial" w:hAnsi="Arial"/>
                <w:sz w:val="16"/>
                <w:szCs w:val="16"/>
                <w:b w:val="1"/>
                <w:bCs w:val="1"/>
                <w:color w:val="auto"/>
              </w:rPr>
              <w:t>the Plan</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96"/>
              </w:rPr>
              <w:t>(In thousands, except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2022 - July 31, 2022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26.51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591,618</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August 1, 2022 - August 31, 2022</w:t>
            </w:r>
          </w:p>
        </w:tc>
        <w:tc>
          <w:tcPr>
            <w:tcW w:w="1860" w:type="dxa"/>
            <w:vAlign w:val="bottom"/>
          </w:tcPr>
          <w:p>
            <w:pPr>
              <w:jc w:val="right"/>
              <w:spacing w:after="0"/>
              <w:rPr>
                <w:sz w:val="20"/>
                <w:szCs w:val="20"/>
                <w:color w:val="auto"/>
              </w:rPr>
            </w:pPr>
            <w:r>
              <w:rPr>
                <w:rFonts w:ascii="Arial" w:cs="Arial" w:eastAsia="Arial" w:hAnsi="Arial"/>
                <w:sz w:val="18"/>
                <w:szCs w:val="18"/>
                <w:color w:val="auto"/>
              </w:rPr>
              <w:t>529,972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29.37</w:t>
            </w:r>
          </w:p>
        </w:tc>
        <w:tc>
          <w:tcPr>
            <w:tcW w:w="1860" w:type="dxa"/>
            <w:vAlign w:val="bottom"/>
          </w:tcPr>
          <w:p>
            <w:pPr>
              <w:jc w:val="right"/>
              <w:spacing w:after="0"/>
              <w:rPr>
                <w:sz w:val="20"/>
                <w:szCs w:val="20"/>
                <w:color w:val="auto"/>
              </w:rPr>
            </w:pPr>
            <w:r>
              <w:rPr>
                <w:rFonts w:ascii="Arial" w:cs="Arial" w:eastAsia="Arial" w:hAnsi="Arial"/>
                <w:sz w:val="18"/>
                <w:szCs w:val="18"/>
                <w:color w:val="auto"/>
              </w:rPr>
              <w:t>529,972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576,050</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2022 - September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527,745</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28.44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527,745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561,043</w:t>
            </w:r>
          </w:p>
        </w:tc>
        <w:tc>
          <w:tcPr>
            <w:tcW w:w="0" w:type="dxa"/>
            <w:vAlign w:val="bottom"/>
          </w:tcPr>
          <w:p>
            <w:pPr>
              <w:spacing w:after="0"/>
              <w:rPr>
                <w:sz w:val="1"/>
                <w:szCs w:val="1"/>
                <w:color w:val="auto"/>
              </w:rPr>
            </w:pPr>
          </w:p>
        </w:tc>
      </w:tr>
      <w:tr>
        <w:trPr>
          <w:trHeight w:val="224"/>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1,817,717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27.91</w:t>
            </w:r>
          </w:p>
        </w:tc>
        <w:tc>
          <w:tcPr>
            <w:tcW w:w="1860" w:type="dxa"/>
            <w:vAlign w:val="bottom"/>
          </w:tcPr>
          <w:p>
            <w:pPr>
              <w:jc w:val="right"/>
              <w:spacing w:after="0"/>
              <w:rPr>
                <w:sz w:val="20"/>
                <w:szCs w:val="20"/>
                <w:color w:val="auto"/>
              </w:rPr>
            </w:pPr>
            <w:r>
              <w:rPr>
                <w:rFonts w:ascii="Arial" w:cs="Arial" w:eastAsia="Arial" w:hAnsi="Arial"/>
                <w:sz w:val="18"/>
                <w:szCs w:val="18"/>
                <w:color w:val="auto"/>
              </w:rPr>
              <w:t>1,817,717</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rFonts w:ascii="Arial" w:cs="Arial" w:eastAsia="Arial" w:hAnsi="Arial"/>
          <w:sz w:val="18"/>
          <w:szCs w:val="18"/>
          <w:color w:val="0000FF"/>
        </w:rPr>
      </w:pPr>
    </w:p>
    <w:p>
      <w:pPr>
        <w:ind w:left="340" w:hanging="332"/>
        <w:spacing w:after="0" w:line="258"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if any. Such units are cancelled and retired immediately upon repurchase.</w:t>
      </w:r>
    </w:p>
    <w:p>
      <w:pPr>
        <w:spacing w:after="0" w:line="1"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jc w:val="both"/>
        <w:ind w:left="340" w:hanging="332"/>
        <w:spacing w:after="0" w:line="234"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July 26, 2022, the board of directors of our General Partner increased the authorization of our then-in-effect common unit repurchase program from $250.0 million to $750.0 million. This repurchase program remains subject to market conditions, applicable legal requirements, contractual obligations and other factors and may be suspended from time to time, modified, extended or discontinued by the board of directors of our General Partner at any time.</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3"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0040" w:type="dxa"/>
            <w:vAlign w:val="bottom"/>
            <w:gridSpan w:val="30"/>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4"/>
        </w:trPr>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2"/>
        </w:trPr>
        <w:tc>
          <w:tcPr>
            <w:tcW w:w="1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40" w:type="dxa"/>
            <w:vAlign w:val="bottom"/>
            <w:gridSpan w:val="30"/>
            <w:shd w:val="clear" w:color="auto" w:fill="CCEEFF"/>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Purchase and Sale Agreement dated August 6, 2021 by and among Swallowtail Royalties LLC, Swallowtail Royalties II LLC</w:t>
              </w:r>
            </w:hyperlink>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0" w:type="dxa"/>
            <w:vAlign w:val="bottom"/>
            <w:tcBorders>
              <w:top w:val="single" w:sz="8" w:color="0000FF"/>
              <w:bottom w:val="single" w:sz="8" w:color="0000FF"/>
            </w:tcBorders>
            <w:gridSpan w:val="18"/>
            <w:shd w:val="clear" w:color="auto" w:fill="CCEEFF"/>
          </w:tcPr>
          <w:p>
            <w:pPr>
              <w:spacing w:after="0" w:line="15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(collectively, as seller), Viper Energy Partners LLC (as buyer) and Viper Energy Partners LP (as parent, and collectively with Viper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0" w:type="dxa"/>
            <w:vAlign w:val="bottom"/>
            <w:gridSpan w:val="28"/>
            <w:shd w:val="clear" w:color="auto" w:fill="CCEEFF"/>
          </w:tcPr>
          <w:p>
            <w:pPr>
              <w:spacing w:after="0" w:line="156"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Energy Partners LLC, as buyer parties) (incorporated by reference to Exhibit 2.1 of the Partnership’s Current Report on Form 8-K</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rPr>
            </w:pPr>
            <w:hyperlink r:id="rId58">
              <w:r>
                <w:rPr>
                  <w:rFonts w:ascii="Arial" w:cs="Arial" w:eastAsia="Arial" w:hAnsi="Arial"/>
                  <w:sz w:val="18"/>
                  <w:szCs w:val="18"/>
                  <w:color w:val="0000FF"/>
                </w:rPr>
                <w:t>(File 001-36505) filed on August 12,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rPr>
            </w:pPr>
            <w:hyperlink r:id="rId59">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Registration Statement on Form S-1 (File 333-195769) filed on May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61"/>
        </w:trPr>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8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2460" w:type="dxa"/>
            <w:vAlign w:val="bottom"/>
            <w:tcBorders>
              <w:top w:val="single" w:sz="8" w:color="0000FF"/>
            </w:tcBorders>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Second Amended and Restated Agreement of Limited Partnership of Viper Energy Partners LP, dated as of May 9, 2018 (incorporated</w:t>
              </w:r>
            </w:hyperlink>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by reference to Exhibit 3.1 of the Partnership’s Current Report on Form 8-K (File 001-36505) filed on May 15,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46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First Amendment to Second Amended and Restated Agreement of Limited Partnership of Viper Energy Partners LP, dated as of May</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10, 2018. (incorporated by reference to Exhibit 3.2 of the Partnership’s Current Report on Form 8-K (File 001-36505) filed on May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15, 2018).</w:t>
              </w:r>
            </w:hyperlink>
          </w:p>
        </w:tc>
        <w:tc>
          <w:tcPr>
            <w:tcW w:w="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Second Amended and Restated Limited Liability Company Agreement of Viper Energy Partners LLC, dated as of May 9, 2018.</w:t>
              </w:r>
            </w:hyperlink>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2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3.3 of the Partnership’s Current Report on Form 8-K (File 001-36505) filed on May 15, 2018).</w:t>
              </w:r>
            </w:hyperlink>
          </w:p>
        </w:tc>
        <w:tc>
          <w:tcPr>
            <w:tcW w:w="3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First Amendment to Second Amended and Restated Limited Liability Company Agreement of Viper Energy Partners LLC, dated as of</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March 30, 2020 (incorporated by reference to Exhibit 3.1 of the Partnership’s Current Report on Form 8-K (File 001-36505)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March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8"/>
              </w:rPr>
            </w:pPr>
            <w:hyperlink r:id="rId64">
              <w:r>
                <w:rPr>
                  <w:rFonts w:ascii="Arial" w:cs="Arial" w:eastAsia="Arial" w:hAnsi="Arial"/>
                  <w:sz w:val="18"/>
                  <w:szCs w:val="18"/>
                  <w:color w:val="0000FF"/>
                  <w:w w:val="98"/>
                </w:rPr>
                <w:t>Second Amendment to the Second Amended and Restated Limited Liability Company Agreement of Viper Energy Partners LLC,</w:t>
              </w:r>
            </w:hyperlink>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60" w:type="dxa"/>
            <w:vAlign w:val="bottom"/>
            <w:tcBorders>
              <w:top w:val="single" w:sz="8" w:color="0000FF"/>
              <w:bottom w:val="single" w:sz="8" w:color="0000FF"/>
            </w:tcBorders>
            <w:gridSpan w:val="16"/>
            <w:shd w:val="clear" w:color="auto" w:fill="CCEEFF"/>
          </w:tcPr>
          <w:p>
            <w:pPr>
              <w:spacing w:after="0" w:line="156"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dated as of December 27, 2021 (incorporated by reference to 3.1 of the Partnership’s Current Report on Form 8-K (File 001-36505)</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filed on December 28, 2021).</w:t>
              </w:r>
            </w:hyperlink>
          </w:p>
        </w:tc>
        <w:tc>
          <w:tcPr>
            <w:tcW w:w="7740" w:type="dxa"/>
            <w:vAlign w:val="bottom"/>
            <w:tcBorders>
              <w:bottom w:val="single" w:sz="8" w:color="CCEEFF"/>
            </w:tcBorders>
            <w:gridSpan w:val="1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Amended and Restated Registration Rights Agreement, dated as of May 9, 2018, by and between Viper Energy Partners LP and</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Diamondback Energy, Inc. (incorporated by reference to Exhibit 4.1 of the Partnership’s Current Report on Form 8-K (File 001-</w:t>
              </w:r>
            </w:hyperlink>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29"/>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36505) filed on May 15, 2018).</w:t>
              </w:r>
            </w:hyperlink>
          </w:p>
        </w:tc>
        <w:tc>
          <w:tcPr>
            <w:tcW w:w="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Registration Rights Agreement, dated as of October 1, 2021, by and among Viper Energy Partners LP, Swallowtail Royalties LLC and</w:t>
              </w:r>
            </w:hyperlink>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Swallowtail Royalties II LLC (incorporated by reference to Exhibit 4.1 of the Partnership’s Current Report on Form 8-K (File 001-</w:t>
              </w:r>
            </w:hyperlink>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36505) filed on October 7, 2021).</w:t>
              </w:r>
            </w:hyperlink>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sz w:val="20"/>
                <w:szCs w:val="20"/>
                <w:color w:val="auto"/>
              </w:rPr>
            </w:pPr>
            <w:r>
              <w:rPr>
                <w:rFonts w:ascii="Arial" w:cs="Arial" w:eastAsia="Arial" w:hAnsi="Arial"/>
                <w:sz w:val="18"/>
                <w:szCs w:val="18"/>
                <w:color w:val="0000FF"/>
                <w:w w:val="99"/>
              </w:rPr>
              <w:t>Certification of Chief Executive Officer pursuant to Rule 13a-14(a) promulgated under the Securities Exchange Act of 1934, as</w:t>
            </w: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61"/>
        </w:trPr>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Certification of Chief Financial Officer pursuant to Rule 13a-14(a) promulgated under the Securities Exchange Act of 1934, as</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5"/>
            <w:shd w:val="clear" w:color="auto" w:fill="CCEEFF"/>
          </w:tcPr>
          <w:p>
            <w:pPr>
              <w:spacing w:after="0" w:line="156" w:lineRule="exact"/>
              <w:rPr>
                <w:sz w:val="20"/>
                <w:szCs w:val="20"/>
                <w:color w:val="auto"/>
              </w:rPr>
            </w:pPr>
            <w:r>
              <w:rPr>
                <w:rFonts w:ascii="Arial" w:cs="Arial" w:eastAsia="Arial" w:hAnsi="Arial"/>
                <w:sz w:val="18"/>
                <w:szCs w:val="18"/>
                <w:color w:val="0000FF"/>
              </w:rPr>
              <w:t>amended.</w:t>
            </w:r>
          </w:p>
        </w:tc>
        <w:tc>
          <w:tcPr>
            <w:tcW w:w="300" w:type="dxa"/>
            <w:vAlign w:val="bottom"/>
            <w:tcBorders>
              <w:top w:val="single" w:sz="8" w:color="CCEEFF"/>
            </w:tcBorders>
            <w:gridSpan w:val="15"/>
            <w:shd w:val="clear" w:color="auto" w:fill="CCEEFF"/>
          </w:tcPr>
          <w:p>
            <w:pPr>
              <w:spacing w:after="0"/>
              <w:rPr>
                <w:sz w:val="13"/>
                <w:szCs w:val="13"/>
                <w:color w:val="auto"/>
              </w:rPr>
            </w:pPr>
          </w:p>
        </w:tc>
      </w:tr>
      <w:tr>
        <w:trPr>
          <w:trHeight w:val="61"/>
        </w:trPr>
        <w:tc>
          <w:tcPr>
            <w:tcW w:w="1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6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sz w:val="20"/>
                <w:szCs w:val="20"/>
                <w:color w:val="auto"/>
              </w:rPr>
            </w:pPr>
            <w:r>
              <w:rPr>
                <w:rFonts w:ascii="Arial" w:cs="Arial" w:eastAsia="Arial" w:hAnsi="Arial"/>
                <w:sz w:val="18"/>
                <w:szCs w:val="18"/>
                <w:color w:val="0000FF"/>
                <w:w w:val="99"/>
              </w:rPr>
              <w:t>Certification of Chief Executive Officer and Chief Financial Officer pursuant to Rule 13a-14(b) promulgated under the Securities</w:t>
            </w: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9"/>
              </w:rPr>
              <w:t>Exchange Act of 1934, as amended, and Section 1350 of Chapter 63 of Title 18 of the United States Code.</w:t>
            </w:r>
          </w:p>
        </w:tc>
        <w:tc>
          <w:tcPr>
            <w:tcW w:w="2060" w:type="dxa"/>
            <w:vAlign w:val="bottom"/>
            <w:tcBorders>
              <w:top w:val="single" w:sz="8" w:color="0000FF"/>
            </w:tcBorders>
            <w:gridSpan w:val="5"/>
          </w:tcPr>
          <w:p>
            <w:pPr>
              <w:spacing w:after="0"/>
              <w:rPr>
                <w:sz w:val="13"/>
                <w:szCs w:val="13"/>
                <w:color w:val="auto"/>
              </w:rPr>
            </w:pPr>
          </w:p>
        </w:tc>
        <w:tc>
          <w:tcPr>
            <w:tcW w:w="320" w:type="dxa"/>
            <w:vAlign w:val="bottom"/>
            <w:gridSpan w:val="16"/>
          </w:tcPr>
          <w:p>
            <w:pPr>
              <w:spacing w:after="0"/>
              <w:rPr>
                <w:sz w:val="13"/>
                <w:szCs w:val="13"/>
                <w:color w:val="auto"/>
              </w:rPr>
            </w:pPr>
          </w:p>
        </w:tc>
      </w:tr>
    </w:tbl>
    <w:p>
      <w:pPr>
        <w:spacing w:after="0" w:line="67" w:lineRule="exact"/>
        <w:rPr>
          <w:sz w:val="20"/>
          <w:szCs w:val="20"/>
          <w:color w:val="auto"/>
        </w:rPr>
      </w:pPr>
    </w:p>
    <w:p>
      <w:pPr>
        <w:jc w:val="both"/>
        <w:ind w:left="1500" w:right="60" w:hanging="1474"/>
        <w:spacing w:after="0" w:line="241" w:lineRule="auto"/>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September 30, 2022, formatted in Inline XBRL: (i) Condensed Consolidated Balance Sheets, (ii) Condensed Consolidated Statements of Operations, (iii) Condensed Consolidated Statement of Changes in Unitholders’ Equity, (iv) Condensed Consolidated Statements of Cash Flows and</w:t>
      </w:r>
    </w:p>
    <w:p>
      <w:pPr>
        <w:spacing w:after="0" w:line="1"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557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9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39" w:lineRule="exact"/>
        <w:rPr>
          <w:sz w:val="20"/>
          <w:szCs w:val="20"/>
          <w:color w:val="auto"/>
        </w:rPr>
      </w:pPr>
    </w:p>
    <w:p>
      <w:pPr>
        <w:ind w:left="500" w:hanging="474"/>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20" w:hanging="474"/>
        <w:spacing w:after="0" w:line="22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8, 2022</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8, 2022</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9"/>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lowerRoman"/>
      <w:start w:val="2"/>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16" Type="http://schemas.openxmlformats.org/officeDocument/2006/relationships/hyperlink" Target="http://www.sec.gov/ix?doc=/Archives/edgar/data/1602065/000160206522000008/vnom-20211231.htm#iad893e52d5434c44bb2b7248040ef83a_25" TargetMode="External"/><Relationship Id="rId17" Type="http://schemas.openxmlformats.org/officeDocument/2006/relationships/hyperlink" Target="http://www.sec.gov/ix?doc=/Archives/edgar/data/1602065/000160206522000023/vnom-20220331.htm#i1e50f84bb5d64b07b794e7bd9508ebab_130" TargetMode="External"/><Relationship Id="rId18" Type="http://schemas.openxmlformats.org/officeDocument/2006/relationships/hyperlink" Target="https://www.sec.gov/ix?doc=/Archives/edgar/data/1602065/000160206522000041/vnom-20220630.htm#ib76eb71a8bd0444086313876fa64d3cc_115" TargetMode="External"/><Relationship Id="rId26" Type="http://schemas.openxmlformats.org/officeDocument/2006/relationships/hyperlink" Target="http://www.sec.gov/ix?doc=/Archives/edgar/data/1602065/000160206522000008/vnom-20211231.htm" TargetMode="External"/><Relationship Id="rId58" Type="http://schemas.openxmlformats.org/officeDocument/2006/relationships/hyperlink" Target="http://www.sec.gov/Archives/edgar/data/1602065/000160206521000048/viperex21-8621.htm" TargetMode="External"/><Relationship Id="rId59" Type="http://schemas.openxmlformats.org/officeDocument/2006/relationships/hyperlink" Target="http://www.sec.gov/Archives/edgar/data/1602065/000119312514187469/d673207dex31.htm" TargetMode="External"/><Relationship Id="rId60" Type="http://schemas.openxmlformats.org/officeDocument/2006/relationships/hyperlink" Target="http://www.sec.gov/Archives/edgar/data/1602065/000160206518000017/viperex31-5x15x18.htm" TargetMode="External"/><Relationship Id="rId61" Type="http://schemas.openxmlformats.org/officeDocument/2006/relationships/hyperlink" Target="http://www.sec.gov/Archives/edgar/data/1602065/000160206518000017/viperex32-5x15x18.htm" TargetMode="External"/><Relationship Id="rId62" Type="http://schemas.openxmlformats.org/officeDocument/2006/relationships/hyperlink" Target="http://www.sec.gov/Archives/edgar/data/1602065/000160206518000017/viperex33-5x15x18.htm" TargetMode="External"/><Relationship Id="rId63" Type="http://schemas.openxmlformats.org/officeDocument/2006/relationships/hyperlink" Target="http://www.sec.gov/Archives/edgar/data/1602065/000160206520000014/viperex31-33120.htm" TargetMode="External"/><Relationship Id="rId64" Type="http://schemas.openxmlformats.org/officeDocument/2006/relationships/hyperlink" Target="http://www.sec.gov/Archives/edgar/data/0001602065/000119312521367951/d249385dex31.htm" TargetMode="External"/><Relationship Id="rId65" Type="http://schemas.openxmlformats.org/officeDocument/2006/relationships/hyperlink" Target="http://www.sec.gov/Archives/edgar/data/1602065/000160206518000017/viperex41-5x15x18.htm" TargetMode="External"/><Relationship Id="rId66" Type="http://schemas.openxmlformats.org/officeDocument/2006/relationships/hyperlink" Target="http://www.sec.gov/Archives/edgar/data/1602065/000160206521000051/viperex41-10x1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2022-11-08T15:26:36Z</dcterms:created>
  <dcterms:modified xsi:type="dcterms:W3CDTF">2022-11-08T15:26:36Z</dcterms:modified>
</cp:coreProperties>
</file>