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863d1_8k.htm"/>
      <w:bookmarkStart w:id="1" w:name="kstm2624863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8_edei--DocumentType_c20260901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E_edei--EntityRegistrantName_c2026"/>
      <w:bookmarkEnd w:id="4"/>
      <w:r>
        <w:rPr>
          <w:rFonts w:ascii="Times New Roman;Times;Serif" w:hAnsi="Times New Roman;Times;Serif"/>
          <w:b/>
          <w:i w:val="false"/>
          <w:caps w:val="false"/>
          <w:smallCaps w:val="false"/>
          <w:sz w:val="28"/>
        </w:rPr>
        <w:t>VIPER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2375"/>
        <w:gridCol w:w="2210"/>
        <w:gridCol w:w="2780"/>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901"/>
            <w:bookmarkEnd w:id="6"/>
            <w:r>
              <w:rPr>
                <w:rFonts w:ascii="Times New Roman;Times;Serif" w:hAnsi="Times New Roman;Times;Serif"/>
                <w:b/>
                <w:sz w:val="20"/>
              </w:rPr>
              <w:t>001-42807</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39-2596878</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375"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8" w:name="xdx_906_edei--EntityAddressAddressLine1_"/>
            <w:bookmarkEnd w:id="8"/>
            <w:r>
              <w:rPr>
                <w:rFonts w:ascii="Times New Roman;Times;Serif" w:hAnsi="Times New Roman;Times;Serif"/>
                <w:b/>
                <w:sz w:val="20"/>
              </w:rPr>
              <w:t>500 West Texas Ave.</w:t>
            </w:r>
          </w:p>
        </w:tc>
        <w:tc>
          <w:tcPr>
            <w:tcW w:w="221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9" w:name="xdx_90C_edei--EntityAddressAddressLine2_"/>
            <w:bookmarkEnd w:id="9"/>
            <w:r>
              <w:rPr>
                <w:rFonts w:ascii="Times New Roman;Times;Serif" w:hAnsi="Times New Roman;Times;Serif"/>
                <w:b/>
                <w:sz w:val="20"/>
              </w:rPr>
              <w:t>Suite 100</w:t>
            </w:r>
          </w:p>
        </w:tc>
        <w:tc>
          <w:tcPr>
            <w:tcW w:w="221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10" w:name="xdx_908_edei--EntityAddressCityOrTown_c2"/>
            <w:bookmarkEnd w:id="10"/>
            <w:r>
              <w:rPr>
                <w:rFonts w:ascii="Times New Roman;Times;Serif" w:hAnsi="Times New Roman;Times;Serif"/>
                <w:b/>
                <w:sz w:val="20"/>
              </w:rPr>
              <w:t xml:space="preserve">Midland, </w:t>
            </w:r>
            <w:bookmarkStart w:id="11" w:name="xdx_909_edei--EntityAddressStateOrProvin"/>
            <w:bookmarkEnd w:id="11"/>
            <w:r>
              <w:rPr>
                <w:rFonts w:ascii="Times New Roman;Times;Serif" w:hAnsi="Times New Roman;Times;Serif"/>
                <w:b/>
                <w:sz w:val="20"/>
              </w:rPr>
              <w:t>TX</w:t>
            </w:r>
          </w:p>
        </w:tc>
        <w:tc>
          <w:tcPr>
            <w:tcW w:w="221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12" w:name="xdx_907_edei--EntityAddressPostalZipCode"/>
            <w:bookmarkEnd w:id="12"/>
            <w:r>
              <w:rPr>
                <w:rFonts w:ascii="Times New Roman;Times;Serif" w:hAnsi="Times New Roman;Times;Serif"/>
                <w:b/>
                <w:sz w:val="20"/>
              </w:rPr>
              <w:t>79701</w:t>
            </w:r>
          </w:p>
        </w:tc>
      </w:tr>
      <w:tr>
        <w:trPr/>
        <w:tc>
          <w:tcPr>
            <w:tcW w:w="2375" w:type="dxa"/>
            <w:tcBorders/>
            <w:vAlign w:val="center"/>
          </w:tcPr>
          <w:p>
            <w:pPr>
              <w:pStyle w:val="TableContents"/>
              <w:bidi w:val="0"/>
              <w:spacing w:before="0" w:after="283"/>
              <w:jc w:val="center"/>
              <w:rPr/>
            </w:pPr>
            <w:r>
              <w:rPr/>
              <w:t>(Address of principal</w:t>
              <w:br/>
              <w:t>executive offices)</w:t>
            </w:r>
          </w:p>
        </w:tc>
        <w:tc>
          <w:tcPr>
            <w:tcW w:w="221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E_edei--CityAreaCode_c20260901__20"/>
      <w:bookmarkEnd w:id="13"/>
      <w:r>
        <w:rPr>
          <w:rFonts w:ascii="Times New Roman;Times;Serif" w:hAnsi="Times New Roman;Times;Serif"/>
          <w:b/>
          <w:i w:val="false"/>
          <w:caps w:val="false"/>
          <w:smallCaps w:val="false"/>
          <w:sz w:val="20"/>
        </w:rPr>
        <w:t xml:space="preserve">432) </w:t>
      </w:r>
      <w:bookmarkStart w:id="14" w:name="xdx_902_edei--LocalPhoneNumber_c20260901"/>
      <w:bookmarkEnd w:id="14"/>
      <w:r>
        <w:rPr>
          <w:rFonts w:ascii="Times New Roman;Times;Serif" w:hAnsi="Times New Roman;Times;Serif"/>
          <w:b/>
          <w:i w:val="false"/>
          <w:caps w:val="false"/>
          <w:smallCaps w:val="false"/>
          <w:sz w:val="20"/>
        </w:rPr>
        <w:t>221-7400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K filing is intended to simultaneously satisfy the filing obligation of the registrant under any of the following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bookmarkStart w:id="15" w:name="xdx_908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720"/>
        <w:jc w:val="left"/>
        <w:rPr>
          <w:caps w:val="false"/>
          <w:smallCaps w:val="false"/>
        </w:rPr>
      </w:pPr>
      <w:bookmarkStart w:id="16" w:name="xdx_90B_edei--SolicitingMaterial_c202609"/>
      <w:bookmarkEnd w:id="16"/>
      <w:r>
        <w:rPr>
          <w:caps w:val="false"/>
          <w:smallCaps w:val="false"/>
        </w:rPr>
        <w:t xml:space="preserve">☐ </w:t>
      </w:r>
      <w:r>
        <w:rPr>
          <w:rFonts w:ascii="Times New Roman;Times;Serif" w:hAnsi="Times New Roman;Times;Serif"/>
          <w:b w:val="false"/>
          <w:i w:val="false"/>
          <w:caps w:val="false"/>
          <w:smallCaps w:val="false"/>
          <w:color w:val="231F20"/>
          <w:sz w:val="20"/>
        </w:rPr>
        <w:t>Soliciting material pursuant to Rule 14a-12 under the Exchange Act (17 CFR 240.14a-12)</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bookmarkStart w:id="17" w:name="xdx_905_edei--PreCommencementTenderOffer"/>
      <w:bookmarkEnd w:id="17"/>
      <w:r>
        <w:rPr>
          <w:caps w:val="false"/>
          <w:smallCaps w:val="false"/>
        </w:rPr>
        <w:t xml:space="preserve">☐ </w:t>
      </w:r>
      <w:r>
        <w:rPr>
          <w:rFonts w:ascii="Times New Roman;Times;Serif" w:hAnsi="Times New Roman;Times;Serif"/>
          <w:b w:val="false"/>
          <w:i w:val="false"/>
          <w:caps w:val="false"/>
          <w:smallCaps w:val="false"/>
          <w:color w:val="231F20"/>
          <w:sz w:val="20"/>
        </w:rPr>
        <w:t>Pre-commencement communications pursuant to Rule 14d-2(b) under the Exchange Act (17 CFR 240.14d-2(b))</w:t>
      </w:r>
    </w:p>
    <w:p>
      <w:pPr>
        <w:pStyle w:val="TextBody"/>
        <w:bidi w:val="0"/>
        <w:spacing w:before="0" w:after="0"/>
        <w:ind w:left="0" w:right="0" w:firstLine="720"/>
        <w:jc w:val="left"/>
        <w:rPr>
          <w:caps w:val="false"/>
          <w:smallCaps w:val="false"/>
        </w:rPr>
      </w:pPr>
      <w:bookmarkStart w:id="18" w:name="xdx_90B_edei--PreCommencementIssuerTende"/>
      <w:bookmarkEnd w:id="18"/>
      <w:r>
        <w:rPr>
          <w:caps w:val="false"/>
          <w:smallCaps w:val="false"/>
        </w:rPr>
        <w:t xml:space="preserve">☐ </w:t>
      </w:r>
      <w:r>
        <w:rPr>
          <w:rFonts w:ascii="Times New Roman;Times;Serif" w:hAnsi="Times New Roman;Times;Serif"/>
          <w:b w:val="false"/>
          <w:i w:val="false"/>
          <w:caps w:val="false"/>
          <w:smallCaps w:val="false"/>
          <w:color w:val="231F20"/>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20" w:type="dxa"/>
        <w:jc w:val="left"/>
        <w:tblInd w:w="0" w:type="dxa"/>
        <w:tblLayout w:type="fixed"/>
        <w:tblCellMar>
          <w:top w:w="0" w:type="dxa"/>
          <w:left w:w="0" w:type="dxa"/>
          <w:bottom w:w="0" w:type="dxa"/>
          <w:right w:w="0" w:type="dxa"/>
        </w:tblCellMar>
      </w:tblPr>
      <w:tblGrid>
        <w:gridCol w:w="3800"/>
        <w:gridCol w:w="1610"/>
        <w:gridCol w:w="3710"/>
      </w:tblGrid>
      <w:tr>
        <w:trPr/>
        <w:tc>
          <w:tcPr>
            <w:tcW w:w="38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800" w:type="dxa"/>
            <w:tcBorders/>
            <w:vAlign w:val="center"/>
          </w:tcPr>
          <w:p>
            <w:pPr>
              <w:pStyle w:val="TableContents"/>
              <w:bidi w:val="0"/>
              <w:spacing w:before="0" w:after="283"/>
              <w:jc w:val="center"/>
              <w:rPr>
                <w:rFonts w:ascii="Times New Roman;Times;Serif" w:hAnsi="Times New Roman;Times;Serif"/>
                <w:sz w:val="20"/>
              </w:rPr>
            </w:pPr>
            <w:bookmarkStart w:id="19" w:name="xdx_90C_edei--Security12bTitle_c20260901"/>
            <w:bookmarkEnd w:id="19"/>
            <w:r>
              <w:rPr>
                <w:rFonts w:ascii="Times New Roman;Times;Serif" w:hAnsi="Times New Roman;Times;Serif"/>
                <w:sz w:val="20"/>
              </w:rPr>
              <w:t>Class A Common Stock, $ 0.000001 Par Value</w:t>
            </w:r>
          </w:p>
        </w:tc>
        <w:tc>
          <w:tcPr>
            <w:tcW w:w="1610" w:type="dxa"/>
            <w:tcBorders/>
            <w:vAlign w:val="center"/>
          </w:tcPr>
          <w:p>
            <w:pPr>
              <w:pStyle w:val="TableContents"/>
              <w:bidi w:val="0"/>
              <w:spacing w:before="0" w:after="283"/>
              <w:jc w:val="center"/>
              <w:rPr>
                <w:rFonts w:ascii="Times New Roman;Times;Serif" w:hAnsi="Times New Roman;Times;Serif"/>
                <w:sz w:val="20"/>
              </w:rPr>
            </w:pPr>
            <w:bookmarkStart w:id="20" w:name="xdx_90A_edei--TradingSymbol_c20260901__2"/>
            <w:bookmarkEnd w:id="20"/>
            <w:r>
              <w:rPr>
                <w:rFonts w:ascii="Times New Roman;Times;Serif" w:hAnsi="Times New Roman;Times;Serif"/>
                <w:sz w:val="20"/>
              </w:rPr>
              <w:t>VNOM</w:t>
            </w:r>
          </w:p>
        </w:tc>
        <w:tc>
          <w:tcPr>
            <w:tcW w:w="37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C_edei--SecurityExchangeName_c2026"/>
            <w:bookmarkEnd w:id="21"/>
            <w:r>
              <w:rPr>
                <w:rFonts w:ascii="Times New Roman;Times;Serif" w:hAnsi="Times New Roman;Times;Serif"/>
                <w:sz w:val="20"/>
              </w:rPr>
              <w:t>Nasdaq Stock Market LLC</w:t>
            </w:r>
          </w:p>
        </w:tc>
      </w:tr>
      <w:tr>
        <w:trPr/>
        <w:tc>
          <w:tcPr>
            <w:tcW w:w="38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August 3, 2026, Viper Energy, Inc. (the “Company”), as parent, and Viper Energy Partners LP, an indirect wholly owned subsidiary of the Company, as buyer, entered into a definitive purchase agreement to acquire certain mineral and royalty interests from Diamondback Energy, Inc. and related subsidiaries (the “2026 Drop Down”). On September 1, 2026, the Company completed the 2026 Drop Down, pursuant to which the Company acquired the mineral and royalty interests in exchange for 3,815,459 units representing limited liability company membership interests in VNOM Holding Company LLC, a consolidated subsidiary of the Company, and an equivalent number of shares of the Company’s Class B common stock, par value $0.000001 per share (the “Class B Common Stock”). The Company issued the shares of Class B Common Stock in reliance upon the exemption from the registration requirements of the Securities Act of 1933, as amended (the “Securities Act”), provided by Section 4(a)(2) of the Securities Act as sales by an issuer not involving any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495" w:type="dxa"/>
        <w:jc w:val="left"/>
        <w:tblInd w:w="0" w:type="dxa"/>
        <w:tblLayout w:type="fixed"/>
        <w:tblCellMar>
          <w:top w:w="0" w:type="dxa"/>
          <w:left w:w="0" w:type="dxa"/>
          <w:bottom w:w="0" w:type="dxa"/>
          <w:right w:w="0" w:type="dxa"/>
        </w:tblCellMar>
      </w:tblPr>
      <w:tblGrid>
        <w:gridCol w:w="470"/>
        <w:gridCol w:w="1535"/>
        <w:gridCol w:w="545"/>
        <w:gridCol w:w="5945"/>
      </w:tblGrid>
      <w:tr>
        <w:trPr/>
        <w:tc>
          <w:tcPr>
            <w:tcW w:w="4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64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VIPER ENERGY, INC.</w:t>
            </w:r>
          </w:p>
        </w:tc>
      </w:tr>
      <w:tr>
        <w:trPr/>
        <w:tc>
          <w:tcPr>
            <w:tcW w:w="4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8, 2026</w:t>
            </w:r>
          </w:p>
        </w:tc>
        <w:tc>
          <w:tcPr>
            <w:tcW w:w="54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Teresa L. Dick</w:t>
            </w:r>
          </w:p>
        </w:tc>
      </w:tr>
      <w:tr>
        <w:trPr/>
        <w:tc>
          <w:tcPr>
            <w:tcW w:w="4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Teresa L. Dick</w:t>
            </w:r>
          </w:p>
        </w:tc>
      </w:tr>
      <w:tr>
        <w:trPr/>
        <w:tc>
          <w:tcPr>
            <w:tcW w:w="4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Executive Vice President and Assistant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559</Words>
  <Characters>3051</Characters>
  <CharactersWithSpaces>3623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