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40" w:before="0" w:after="0"/>
        <w:ind w:left="0" w:right="0" w:firstLine="7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ind w:left="0" w:right="0" w:firstLine="72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ind w:left="0" w:right="0" w:firstLine="720"/>
        <w:jc w:val="center"/>
        <w:rPr>
          <w:rFonts w:ascii="Times New Roman;serif" w:hAnsi="Times New Roman;serif"/>
          <w:b/>
          <w:color w:val="000000"/>
          <w:sz w:val="32"/>
        </w:rPr>
      </w:pPr>
      <w:r>
        <w:rPr>
          <w:rFonts w:ascii="Times New Roman;serif" w:hAnsi="Times New Roman;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2025</w:t>
      </w:r>
    </w:p>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Commission File Number 001-36505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40"/>
        </w:rPr>
      </w:pPr>
      <w:r>
        <w:rPr>
          <w:rFonts w:ascii="Times New Roman;serif" w:hAnsi="Times New Roman;serif"/>
          <w:b/>
          <w:color w:val="000000"/>
          <w:sz w:val="4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42" w:type="dxa"/>
        <w:jc w:val="center"/>
        <w:tblInd w:w="0" w:type="dxa"/>
        <w:tblLayout w:type="fixed"/>
        <w:tblCellMar>
          <w:top w:w="28" w:type="dxa"/>
          <w:left w:w="28" w:type="dxa"/>
          <w:bottom w:w="28" w:type="dxa"/>
          <w:right w:w="28" w:type="dxa"/>
        </w:tblCellMar>
      </w:tblPr>
      <w:tblGrid>
        <w:gridCol w:w="842"/>
        <w:gridCol w:w="741"/>
        <w:gridCol w:w="741"/>
        <w:gridCol w:w="741"/>
        <w:gridCol w:w="741"/>
        <w:gridCol w:w="753"/>
        <w:gridCol w:w="109"/>
        <w:gridCol w:w="109"/>
        <w:gridCol w:w="109"/>
        <w:gridCol w:w="109"/>
        <w:gridCol w:w="109"/>
        <w:gridCol w:w="109"/>
        <w:gridCol w:w="109"/>
        <w:gridCol w:w="109"/>
        <w:gridCol w:w="109"/>
        <w:gridCol w:w="109"/>
        <w:gridCol w:w="109"/>
        <w:gridCol w:w="109"/>
        <w:gridCol w:w="896"/>
        <w:gridCol w:w="896"/>
        <w:gridCol w:w="1283"/>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39-2596878</w:t>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(I.R.S. Employer Identification Number)</w:t>
            </w:r>
          </w:p>
        </w:tc>
      </w:tr>
      <w:tr>
        <w:trPr/>
        <w:tc>
          <w:tcPr>
            <w:tcW w:w="4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Midland,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79701</w:t>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345"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(432) 221-7400</w:t>
      </w:r>
    </w:p>
    <w:p>
      <w:pPr>
        <w:pStyle w:val="TextBody"/>
        <w:bidi w:val="0"/>
        <w:spacing w:lineRule="auto" w:line="264" w:before="0" w:after="0"/>
        <w:ind w:left="0" w:right="0" w:firstLine="720"/>
        <w:jc w:val="center"/>
        <w:rPr/>
      </w:pPr>
      <w:r>
        <w:rPr>
          <w:rFonts w:ascii="Times New Roman;serif" w:hAnsi="Times New Roman;serif"/>
          <w:b/>
          <w:color w:val="000000"/>
          <w:sz w:val="16"/>
        </w:rPr>
        <w:t>(Registrant</w:t>
      </w:r>
      <w:r>
        <w:rPr>
          <w:color w:val="000000"/>
        </w:rPr>
        <w:t>’</w:t>
      </w:r>
      <w:r>
        <w:rPr>
          <w:rFonts w:ascii="Times New Roman;serif" w:hAnsi="Times New Roman;serif"/>
          <w:b/>
          <w:color w:val="000000"/>
          <w:sz w:val="16"/>
        </w:rPr>
        <w:t>s telephone number, including area code)</w:t>
      </w:r>
    </w:p>
    <w:p>
      <w:pPr>
        <w:pStyle w:val="TextBody"/>
        <w:bidi w:val="0"/>
        <w:spacing w:before="0" w:after="0"/>
        <w:ind w:left="0" w:right="0" w:firstLine="720"/>
        <w:jc w:val="center"/>
        <w:rPr/>
      </w:pPr>
      <w:r>
        <w:rPr/>
      </w:r>
    </w:p>
    <w:p>
      <w:pPr>
        <w:pStyle w:val="TextBody"/>
        <w:bidi w:val="0"/>
        <w:spacing w:lineRule="auto" w:line="264"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New Cobra Pubco, Inc.</w:t>
      </w:r>
    </w:p>
    <w:p>
      <w:pPr>
        <w:pStyle w:val="TextBody"/>
        <w:bidi w:val="0"/>
        <w:spacing w:lineRule="auto" w:line="264" w:before="0" w:after="0"/>
        <w:ind w:left="0" w:right="0" w:firstLine="72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72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505" w:type="dxa"/>
        <w:jc w:val="center"/>
        <w:tblInd w:w="0" w:type="dxa"/>
        <w:tblLayout w:type="fixed"/>
        <w:tblCellMar>
          <w:top w:w="28" w:type="dxa"/>
          <w:left w:w="28" w:type="dxa"/>
          <w:bottom w:w="28" w:type="dxa"/>
          <w:right w:w="28" w:type="dxa"/>
        </w:tblCellMar>
      </w:tblPr>
      <w:tblGrid>
        <w:gridCol w:w="124"/>
        <w:gridCol w:w="109"/>
        <w:gridCol w:w="109"/>
        <w:gridCol w:w="579"/>
        <w:gridCol w:w="579"/>
        <w:gridCol w:w="582"/>
        <w:gridCol w:w="109"/>
        <w:gridCol w:w="109"/>
        <w:gridCol w:w="109"/>
        <w:gridCol w:w="484"/>
        <w:gridCol w:w="484"/>
        <w:gridCol w:w="486"/>
        <w:gridCol w:w="1089"/>
        <w:gridCol w:w="1089"/>
        <w:gridCol w:w="10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br/>
              <w:t>$0.000001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VNOM</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center"/>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536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3"/>
        <w:gridCol w:w="673"/>
        <w:gridCol w:w="678"/>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23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As of October 31, 2025, 168,430,982 shares of Class A Common Stock and 191,078,065 shares of Class B Common Stock of the registrant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417"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417"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417"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 THE QUARTER ENDED SEPTEMBER 30, 2025</w:t>
      </w:r>
    </w:p>
    <w:p>
      <w:pPr>
        <w:pStyle w:val="TextBody"/>
        <w:bidi w:val="0"/>
        <w:spacing w:lineRule="auto" w:line="417"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7546" w:type="dxa"/>
        <w:jc w:val="left"/>
        <w:tblInd w:w="0" w:type="dxa"/>
        <w:tblLayout w:type="fixed"/>
        <w:tblCellMar>
          <w:top w:w="28" w:type="dxa"/>
          <w:left w:w="28" w:type="dxa"/>
          <w:bottom w:w="28" w:type="dxa"/>
          <w:right w:w="28" w:type="dxa"/>
        </w:tblCellMar>
      </w:tblPr>
      <w:tblGrid>
        <w:gridCol w:w="2550"/>
        <w:gridCol w:w="2246"/>
        <w:gridCol w:w="2254"/>
        <w:gridCol w:w="145"/>
        <w:gridCol w:w="145"/>
        <w:gridCol w:w="206"/>
      </w:tblGrid>
      <w:tr>
        <w:trPr/>
        <w:tc>
          <w:tcPr>
            <w:tcW w:w="255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10">
              <w:r>
                <w:rPr>
                  <w:rStyle w:val="InternetLink"/>
                  <w:rFonts w:ascii="Times New Roman;serif" w:hAnsi="Times New Roman;serif"/>
                  <w:b w:val="false"/>
                  <w:color w:val="0000FF"/>
                  <w:sz w:val="18"/>
                  <w:u w:val="single"/>
                </w:rPr>
                <w:t>Glossary of Oil and Natural Gas Terms</w:t>
              </w:r>
            </w:hyperlink>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c01bfbabb6754916b0efdfc1e843db94_10">
              <w:r>
                <w:rPr>
                  <w:rStyle w:val="InternetLink"/>
                  <w:rFonts w:ascii="Times New Roman;serif" w:hAnsi="Times New Roman;serif"/>
                  <w:b w:val="false"/>
                  <w:color w:val="0000FF"/>
                  <w:sz w:val="18"/>
                  <w:u w:val="single"/>
                </w:rPr>
                <w:t>ii</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13">
              <w:r>
                <w:rPr>
                  <w:rStyle w:val="InternetLink"/>
                  <w:rFonts w:ascii="Times New Roman;serif" w:hAnsi="Times New Roman;serif"/>
                  <w:b w:val="false"/>
                  <w:color w:val="0000FF"/>
                  <w:sz w:val="18"/>
                  <w:u w:val="single"/>
                </w:rPr>
                <w:t>Glossary of Certain Other Terms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13">
              <w:r>
                <w:rPr>
                  <w:rStyle w:val="InternetLink"/>
                  <w:rFonts w:ascii="Times New Roman;serif" w:hAnsi="Times New Roman;serif"/>
                  <w:b w:val="false"/>
                  <w:color w:val="0000FF"/>
                  <w:sz w:val="18"/>
                  <w:u w:val="single"/>
                </w:rPr>
                <w:t>iv</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16">
              <w:r>
                <w:rPr>
                  <w:rStyle w:val="InternetLink"/>
                  <w:rFonts w:ascii="Times New Roman;serif" w:hAnsi="Times New Roman;serif"/>
                  <w:b w:val="false"/>
                  <w:color w:val="0000FF"/>
                  <w:sz w:val="18"/>
                  <w:u w:val="single"/>
                </w:rPr>
                <w:t>Cautionary Statement Regarding Forward-Looking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16">
              <w:r>
                <w:rPr>
                  <w:rStyle w:val="InternetLink"/>
                  <w:rFonts w:ascii="Times New Roman;serif" w:hAnsi="Times New Roman;serif"/>
                  <w:b w:val="false"/>
                  <w:color w:val="0000FF"/>
                  <w:sz w:val="18"/>
                  <w:u w:val="single"/>
                </w:rPr>
                <w:t>v</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19">
              <w:r>
                <w:rPr>
                  <w:rStyle w:val="InternetLink"/>
                  <w:rFonts w:ascii="Times New Roman;serif" w:hAnsi="Times New Roman;serif"/>
                  <w:b/>
                  <w:color w:val="0000FF"/>
                  <w:sz w:val="18"/>
                  <w:u w:val="single"/>
                </w:rPr>
                <w:t>PART I. FINANCIAL INFORMATION</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22">
              <w:r>
                <w:rPr>
                  <w:rStyle w:val="InternetLink"/>
                  <w:rFonts w:ascii="Times New Roman;serif" w:hAnsi="Times New Roman;serif"/>
                  <w:b w:val="false"/>
                  <w:color w:val="0000FF"/>
                  <w:sz w:val="18"/>
                  <w:u w:val="single"/>
                </w:rPr>
                <w:t>Item 1. Financial Statements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22">
              <w:r>
                <w:rPr>
                  <w:rStyle w:val="InternetLink"/>
                  <w:rFonts w:ascii="Times New Roman;serif" w:hAnsi="Times New Roman;serif"/>
                  <w:b w:val="false"/>
                  <w:color w:val="0000FF"/>
                  <w:sz w:val="18"/>
                  <w:u w:val="single"/>
                </w:rPr>
                <w:t>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25">
              <w:r>
                <w:rPr>
                  <w:rStyle w:val="InternetLink"/>
                  <w:rFonts w:ascii="Times New Roman;serif" w:hAnsi="Times New Roman;serif"/>
                  <w:b w:val="false"/>
                  <w:color w:val="0000FF"/>
                  <w:sz w:val="18"/>
                  <w:u w:val="single"/>
                </w:rPr>
                <w:t>Condensed Consolidated Balance Sheets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25">
              <w:r>
                <w:rPr>
                  <w:rStyle w:val="InternetLink"/>
                  <w:rFonts w:ascii="Times New Roman;serif" w:hAnsi="Times New Roman;serif"/>
                  <w:b w:val="false"/>
                  <w:color w:val="0000FF"/>
                  <w:sz w:val="18"/>
                  <w:u w:val="single"/>
                </w:rPr>
                <w:t>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28">
              <w:r>
                <w:rPr>
                  <w:rStyle w:val="InternetLink"/>
                  <w:rFonts w:ascii="Times New Roman;serif" w:hAnsi="Times New Roman;serif"/>
                  <w:b w:val="false"/>
                  <w:color w:val="0000FF"/>
                  <w:sz w:val="18"/>
                  <w:u w:val="single"/>
                </w:rPr>
                <w:t>Condensed Consolidated Statements of Operations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28">
              <w:r>
                <w:rPr>
                  <w:rStyle w:val="InternetLink"/>
                  <w:rFonts w:ascii="Times New Roman;serif" w:hAnsi="Times New Roman;serif"/>
                  <w:b w:val="false"/>
                  <w:color w:val="0000FF"/>
                  <w:sz w:val="18"/>
                  <w:u w:val="single"/>
                </w:rPr>
                <w:t>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31">
              <w:r>
                <w:rPr>
                  <w:rStyle w:val="InternetLink"/>
                  <w:rFonts w:ascii="Times New Roman;serif" w:hAnsi="Times New Roman;serif"/>
                  <w:b w:val="false"/>
                  <w:color w:val="0000FF"/>
                  <w:sz w:val="18"/>
                  <w:u w:val="single"/>
                </w:rPr>
                <w:t>Condensed Consolidated Statements of Changes to Stockholders’ Equity</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31">
              <w:r>
                <w:rPr>
                  <w:rStyle w:val="InternetLink"/>
                  <w:rFonts w:ascii="Times New Roman;serif" w:hAnsi="Times New Roman;serif"/>
                  <w:b w:val="false"/>
                  <w:color w:val="0000FF"/>
                  <w:sz w:val="18"/>
                  <w:u w:val="single"/>
                </w:rPr>
                <w:t>3</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34">
              <w:r>
                <w:rPr>
                  <w:rStyle w:val="InternetLink"/>
                  <w:rFonts w:ascii="Times New Roman;serif" w:hAnsi="Times New Roman;serif"/>
                  <w:b w:val="false"/>
                  <w:color w:val="0000FF"/>
                  <w:sz w:val="18"/>
                  <w:u w:val="single"/>
                </w:rPr>
                <w:t>Condensed Consolidated Statements of Cash Flows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34">
              <w:r>
                <w:rPr>
                  <w:rStyle w:val="InternetLink"/>
                  <w:rFonts w:ascii="Times New Roman;serif" w:hAnsi="Times New Roman;serif"/>
                  <w:b w:val="false"/>
                  <w:color w:val="0000FF"/>
                  <w:sz w:val="18"/>
                  <w:u w:val="single"/>
                </w:rPr>
                <w:t>5</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37">
              <w:r>
                <w:rPr>
                  <w:rStyle w:val="InternetLink"/>
                  <w:rFonts w:ascii="Times New Roman;serif" w:hAnsi="Times New Roman;serif"/>
                  <w:b w:val="false"/>
                  <w:color w:val="0000FF"/>
                  <w:sz w:val="18"/>
                  <w:u w:val="single"/>
                </w:rPr>
                <w:t>Notes to the Condensed Consolidated Financial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37">
              <w:r>
                <w:rPr>
                  <w:rStyle w:val="InternetLink"/>
                  <w:rFonts w:ascii="Times New Roman;serif" w:hAnsi="Times New Roman;serif"/>
                  <w:b w:val="false"/>
                  <w:color w:val="0000FF"/>
                  <w:sz w:val="18"/>
                  <w:u w:val="single"/>
                </w:rPr>
                <w:t>6</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40">
              <w:r>
                <w:rPr>
                  <w:rStyle w:val="InternetLink"/>
                  <w:rFonts w:ascii="Times New Roman;serif" w:hAnsi="Times New Roman;serif"/>
                  <w:b w:val="false"/>
                  <w:color w:val="0000FF"/>
                  <w:sz w:val="18"/>
                  <w:u w:val="single"/>
                </w:rPr>
                <w:t>1. Organization and Basis of Presentation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40">
              <w:r>
                <w:rPr>
                  <w:rStyle w:val="InternetLink"/>
                  <w:rFonts w:ascii="Times New Roman;serif" w:hAnsi="Times New Roman;serif"/>
                  <w:b w:val="false"/>
                  <w:color w:val="0000FF"/>
                  <w:sz w:val="18"/>
                  <w:u w:val="single"/>
                </w:rPr>
                <w:t>6</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43">
              <w:r>
                <w:rPr>
                  <w:rStyle w:val="InternetLink"/>
                  <w:rFonts w:ascii="Times New Roman;serif" w:hAnsi="Times New Roman;serif"/>
                  <w:b w:val="false"/>
                  <w:color w:val="0000FF"/>
                  <w:sz w:val="18"/>
                  <w:u w:val="single"/>
                </w:rPr>
                <w:t>2. Summary of Significant Accounting Policies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43">
              <w:r>
                <w:rPr>
                  <w:rStyle w:val="InternetLink"/>
                  <w:rFonts w:ascii="Times New Roman;serif" w:hAnsi="Times New Roman;serif"/>
                  <w:b w:val="false"/>
                  <w:color w:val="0000FF"/>
                  <w:sz w:val="18"/>
                  <w:u w:val="single"/>
                </w:rPr>
                <w:t>7</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46">
              <w:r>
                <w:rPr>
                  <w:rStyle w:val="InternetLink"/>
                  <w:rFonts w:ascii="Times New Roman;serif" w:hAnsi="Times New Roman;serif"/>
                  <w:b w:val="false"/>
                  <w:color w:val="0000FF"/>
                  <w:sz w:val="18"/>
                  <w:u w:val="single"/>
                </w:rPr>
                <w:t>3. Revenue from Contracts with Customers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46">
              <w:r>
                <w:rPr>
                  <w:rStyle w:val="InternetLink"/>
                  <w:rFonts w:ascii="Times New Roman;serif" w:hAnsi="Times New Roman;serif"/>
                  <w:b w:val="false"/>
                  <w:color w:val="0000FF"/>
                  <w:sz w:val="18"/>
                  <w:u w:val="single"/>
                </w:rPr>
                <w:t>9</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49">
              <w:r>
                <w:rPr>
                  <w:rStyle w:val="InternetLink"/>
                  <w:rFonts w:ascii="Times New Roman;serif" w:hAnsi="Times New Roman;serif"/>
                  <w:b w:val="false"/>
                  <w:color w:val="0000FF"/>
                  <w:sz w:val="18"/>
                  <w:u w:val="single"/>
                </w:rPr>
                <w:t>4. Acquisitions and Divestitures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49">
              <w:r>
                <w:rPr>
                  <w:rStyle w:val="InternetLink"/>
                  <w:rFonts w:ascii="Times New Roman;serif" w:hAnsi="Times New Roman;serif"/>
                  <w:b w:val="false"/>
                  <w:color w:val="0000FF"/>
                  <w:sz w:val="18"/>
                  <w:u w:val="single"/>
                </w:rPr>
                <w:t>10</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52">
              <w:r>
                <w:rPr>
                  <w:rStyle w:val="InternetLink"/>
                  <w:rFonts w:ascii="Times New Roman;serif" w:hAnsi="Times New Roman;serif"/>
                  <w:b w:val="false"/>
                  <w:color w:val="0000FF"/>
                  <w:sz w:val="18"/>
                  <w:u w:val="single"/>
                </w:rPr>
                <w:t>5. Oil and Natural Gas Interests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52">
              <w:r>
                <w:rPr>
                  <w:rStyle w:val="InternetLink"/>
                  <w:rFonts w:ascii="Times New Roman;serif" w:hAnsi="Times New Roman;serif"/>
                  <w:b w:val="false"/>
                  <w:color w:val="0000FF"/>
                  <w:sz w:val="18"/>
                  <w:u w:val="single"/>
                </w:rPr>
                <w:t>13</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55">
              <w:r>
                <w:rPr>
                  <w:rStyle w:val="InternetLink"/>
                  <w:rFonts w:ascii="Times New Roman;serif" w:hAnsi="Times New Roman;serif"/>
                  <w:b w:val="false"/>
                  <w:color w:val="0000FF"/>
                  <w:sz w:val="18"/>
                  <w:u w:val="single"/>
                </w:rPr>
                <w:t>6. Debt</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55">
              <w:r>
                <w:rPr>
                  <w:rStyle w:val="InternetLink"/>
                  <w:rFonts w:ascii="Times New Roman;serif" w:hAnsi="Times New Roman;serif"/>
                  <w:b w:val="false"/>
                  <w:color w:val="0000FF"/>
                  <w:sz w:val="18"/>
                  <w:u w:val="single"/>
                </w:rPr>
                <w:t>14</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58">
              <w:r>
                <w:rPr>
                  <w:rStyle w:val="InternetLink"/>
                  <w:rFonts w:ascii="Times New Roman;serif" w:hAnsi="Times New Roman;serif"/>
                  <w:b w:val="false"/>
                  <w:color w:val="0000FF"/>
                  <w:sz w:val="18"/>
                  <w:u w:val="single"/>
                </w:rPr>
                <w:t>7. Stockholders’ Equity</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58">
              <w:r>
                <w:rPr>
                  <w:rStyle w:val="InternetLink"/>
                  <w:rFonts w:ascii="Times New Roman;serif" w:hAnsi="Times New Roman;serif"/>
                  <w:b w:val="false"/>
                  <w:color w:val="0000FF"/>
                  <w:sz w:val="18"/>
                  <w:u w:val="single"/>
                </w:rPr>
                <w:t>16</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61">
              <w:r>
                <w:rPr>
                  <w:rStyle w:val="InternetLink"/>
                  <w:rFonts w:ascii="Times New Roman;serif" w:hAnsi="Times New Roman;serif"/>
                  <w:b w:val="false"/>
                  <w:color w:val="0000FF"/>
                  <w:sz w:val="18"/>
                  <w:u w:val="single"/>
                </w:rPr>
                <w:t>8. Earnings Per Common Share</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61">
              <w:r>
                <w:rPr>
                  <w:rStyle w:val="InternetLink"/>
                  <w:rFonts w:ascii="Times New Roman;serif" w:hAnsi="Times New Roman;serif"/>
                  <w:b w:val="false"/>
                  <w:color w:val="0000FF"/>
                  <w:sz w:val="18"/>
                  <w:u w:val="single"/>
                </w:rPr>
                <w:t>18</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64">
              <w:r>
                <w:rPr>
                  <w:rStyle w:val="InternetLink"/>
                  <w:rFonts w:ascii="Times New Roman;serif" w:hAnsi="Times New Roman;serif"/>
                  <w:b w:val="false"/>
                  <w:color w:val="0000FF"/>
                  <w:sz w:val="18"/>
                  <w:u w:val="single"/>
                </w:rPr>
                <w:t>9. Income Taxes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64">
              <w:r>
                <w:rPr>
                  <w:rStyle w:val="InternetLink"/>
                  <w:rFonts w:ascii="Times New Roman;serif" w:hAnsi="Times New Roman;serif"/>
                  <w:b w:val="false"/>
                  <w:color w:val="0000FF"/>
                  <w:sz w:val="18"/>
                  <w:u w:val="single"/>
                </w:rPr>
                <w:t>19</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67">
              <w:r>
                <w:rPr>
                  <w:rStyle w:val="InternetLink"/>
                  <w:rFonts w:ascii="Times New Roman;serif" w:hAnsi="Times New Roman;serif"/>
                  <w:b w:val="false"/>
                  <w:color w:val="0000FF"/>
                  <w:sz w:val="18"/>
                  <w:u w:val="single"/>
                </w:rPr>
                <w:t>10. Derivatives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67">
              <w:r>
                <w:rPr>
                  <w:rStyle w:val="InternetLink"/>
                  <w:rFonts w:ascii="Times New Roman;serif" w:hAnsi="Times New Roman;serif"/>
                  <w:b w:val="false"/>
                  <w:color w:val="0000FF"/>
                  <w:sz w:val="18"/>
                  <w:u w:val="single"/>
                </w:rPr>
                <w:t>20</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70">
              <w:r>
                <w:rPr>
                  <w:rStyle w:val="InternetLink"/>
                  <w:rFonts w:ascii="Times New Roman;serif" w:hAnsi="Times New Roman;serif"/>
                  <w:b w:val="false"/>
                  <w:color w:val="0000FF"/>
                  <w:sz w:val="18"/>
                  <w:u w:val="single"/>
                </w:rPr>
                <w:t>11. Fair Value Measurements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70">
              <w:r>
                <w:rPr>
                  <w:rStyle w:val="InternetLink"/>
                  <w:rFonts w:ascii="Times New Roman;serif" w:hAnsi="Times New Roman;serif"/>
                  <w:b w:val="false"/>
                  <w:color w:val="0000FF"/>
                  <w:sz w:val="18"/>
                  <w:u w:val="single"/>
                </w:rPr>
                <w:t>21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73">
              <w:r>
                <w:rPr>
                  <w:rStyle w:val="InternetLink"/>
                  <w:rFonts w:ascii="Times New Roman;serif" w:hAnsi="Times New Roman;serif"/>
                  <w:b w:val="false"/>
                  <w:color w:val="0000FF"/>
                  <w:sz w:val="18"/>
                  <w:u w:val="single"/>
                </w:rPr>
                <w:t>12. Commitments and Contingencies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73">
              <w:r>
                <w:rPr>
                  <w:rStyle w:val="InternetLink"/>
                  <w:rFonts w:ascii="Times New Roman;serif" w:hAnsi="Times New Roman;serif"/>
                  <w:b w:val="false"/>
                  <w:color w:val="0000FF"/>
                  <w:sz w:val="18"/>
                  <w:u w:val="single"/>
                </w:rPr>
                <w:t>23</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76">
              <w:r>
                <w:rPr>
                  <w:rStyle w:val="InternetLink"/>
                  <w:rFonts w:ascii="Times New Roman;serif" w:hAnsi="Times New Roman;serif"/>
                  <w:b w:val="false"/>
                  <w:color w:val="0000FF"/>
                  <w:sz w:val="18"/>
                  <w:u w:val="single"/>
                </w:rPr>
                <w:t>13. Subsequent Events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76">
              <w:r>
                <w:rPr>
                  <w:rStyle w:val="InternetLink"/>
                  <w:rFonts w:ascii="Times New Roman;serif" w:hAnsi="Times New Roman;serif"/>
                  <w:b w:val="false"/>
                  <w:color w:val="0000FF"/>
                  <w:sz w:val="18"/>
                  <w:u w:val="single"/>
                </w:rPr>
                <w:t>23</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79">
              <w:r>
                <w:rPr>
                  <w:rStyle w:val="InternetLink"/>
                  <w:rFonts w:ascii="Times New Roman;serif" w:hAnsi="Times New Roman;serif"/>
                  <w:b w:val="false"/>
                  <w:color w:val="0000FF"/>
                  <w:sz w:val="18"/>
                  <w:u w:val="single"/>
                </w:rPr>
                <w:t>14. Segment Information</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79">
              <w:r>
                <w:rPr>
                  <w:rStyle w:val="InternetLink"/>
                  <w:rFonts w:ascii="Times New Roman;serif" w:hAnsi="Times New Roman;serif"/>
                  <w:b w:val="false"/>
                  <w:color w:val="0000FF"/>
                  <w:sz w:val="18"/>
                  <w:u w:val="single"/>
                </w:rPr>
                <w:t>24</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85">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85">
              <w:r>
                <w:rPr>
                  <w:rStyle w:val="InternetLink"/>
                  <w:rFonts w:ascii="Times New Roman;serif" w:hAnsi="Times New Roman;serif"/>
                  <w:b w:val="false"/>
                  <w:color w:val="0000FF"/>
                  <w:sz w:val="18"/>
                  <w:u w:val="single"/>
                </w:rPr>
                <w:t>25</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124">
              <w:r>
                <w:rPr>
                  <w:rStyle w:val="InternetLink"/>
                  <w:rFonts w:ascii="Times New Roman;serif" w:hAnsi="Times New Roman;serif"/>
                  <w:b w:val="false"/>
                  <w:color w:val="0000FF"/>
                  <w:sz w:val="18"/>
                  <w:u w:val="single"/>
                </w:rPr>
                <w:t>Item 3. Quantitative and Qualitative Disclosures about Market Risk</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124">
              <w:r>
                <w:rPr>
                  <w:rStyle w:val="InternetLink"/>
                  <w:rFonts w:ascii="Times New Roman;serif" w:hAnsi="Times New Roman;serif"/>
                  <w:b w:val="false"/>
                  <w:color w:val="0000FF"/>
                  <w:sz w:val="18"/>
                  <w:u w:val="single"/>
                </w:rPr>
                <w:t>38</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127">
              <w:r>
                <w:rPr>
                  <w:rStyle w:val="InternetLink"/>
                  <w:rFonts w:ascii="Times New Roman;serif" w:hAnsi="Times New Roman;serif"/>
                  <w:b w:val="false"/>
                  <w:color w:val="0000FF"/>
                  <w:sz w:val="18"/>
                  <w:u w:val="single"/>
                </w:rPr>
                <w:t>Item 4. Controls and Procedures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127">
              <w:r>
                <w:rPr>
                  <w:rStyle w:val="InternetLink"/>
                  <w:rFonts w:ascii="Times New Roman;serif" w:hAnsi="Times New Roman;serif"/>
                  <w:b w:val="false"/>
                  <w:color w:val="0000FF"/>
                  <w:sz w:val="18"/>
                  <w:u w:val="single"/>
                </w:rPr>
                <w:t>40</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130">
              <w:r>
                <w:rPr>
                  <w:rStyle w:val="InternetLink"/>
                  <w:rFonts w:ascii="Times New Roman;serif" w:hAnsi="Times New Roman;serif"/>
                  <w:b/>
                  <w:color w:val="0000FF"/>
                  <w:sz w:val="18"/>
                  <w:u w:val="single"/>
                </w:rPr>
                <w:t>PART II. OTHER INFORMATION</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133">
              <w:r>
                <w:rPr>
                  <w:rStyle w:val="InternetLink"/>
                  <w:rFonts w:ascii="Times New Roman;serif" w:hAnsi="Times New Roman;serif"/>
                  <w:b w:val="false"/>
                  <w:color w:val="0000FF"/>
                  <w:sz w:val="18"/>
                  <w:u w:val="single"/>
                </w:rPr>
                <w:t>Item 1. Legal Proceedings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133">
              <w:r>
                <w:rPr>
                  <w:rStyle w:val="InternetLink"/>
                  <w:rFonts w:ascii="Times New Roman;serif" w:hAnsi="Times New Roman;serif"/>
                  <w:b w:val="false"/>
                  <w:color w:val="0000FF"/>
                  <w:sz w:val="18"/>
                  <w:u w:val="single"/>
                </w:rPr>
                <w:t>41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136">
              <w:r>
                <w:rPr>
                  <w:rStyle w:val="InternetLink"/>
                  <w:rFonts w:ascii="Times New Roman;serif" w:hAnsi="Times New Roman;serif"/>
                  <w:b w:val="false"/>
                  <w:color w:val="0000FF"/>
                  <w:sz w:val="18"/>
                  <w:u w:val="single"/>
                </w:rPr>
                <w:t>Item 1A. Risk Factors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136">
              <w:r>
                <w:rPr>
                  <w:rStyle w:val="InternetLink"/>
                  <w:rFonts w:ascii="Times New Roman;serif" w:hAnsi="Times New Roman;serif"/>
                  <w:b w:val="false"/>
                  <w:color w:val="0000FF"/>
                  <w:sz w:val="18"/>
                  <w:u w:val="single"/>
                </w:rPr>
                <w:t>41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139">
              <w:r>
                <w:rPr>
                  <w:rStyle w:val="InternetLink"/>
                  <w:rFonts w:ascii="Times New Roman;serif" w:hAnsi="Times New Roman;serif"/>
                  <w:b w:val="false"/>
                  <w:color w:val="0000FF"/>
                  <w:sz w:val="18"/>
                  <w:u w:val="single"/>
                </w:rPr>
                <w:t>Item 2. Unregistered Sales of Equity Securities and Use of Proceeds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139">
              <w:r>
                <w:rPr>
                  <w:rStyle w:val="InternetLink"/>
                  <w:rFonts w:ascii="Times New Roman;serif" w:hAnsi="Times New Roman;serif"/>
                  <w:b w:val="false"/>
                  <w:color w:val="0000FF"/>
                  <w:sz w:val="18"/>
                  <w:u w:val="single"/>
                </w:rPr>
                <w:t>41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142">
              <w:r>
                <w:rPr>
                  <w:rStyle w:val="InternetLink"/>
                  <w:rFonts w:ascii="Times New Roman;serif" w:hAnsi="Times New Roman;serif"/>
                  <w:b w:val="false"/>
                  <w:color w:val="0000FF"/>
                  <w:sz w:val="18"/>
                  <w:u w:val="single"/>
                </w:rPr>
                <w:t>Item 5. Other Information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142">
              <w:r>
                <w:rPr>
                  <w:rStyle w:val="InternetLink"/>
                  <w:rFonts w:ascii="Times New Roman;serif" w:hAnsi="Times New Roman;serif"/>
                  <w:b w:val="false"/>
                  <w:color w:val="0000FF"/>
                  <w:sz w:val="18"/>
                  <w:u w:val="single"/>
                </w:rPr>
                <w:t>42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145">
              <w:r>
                <w:rPr>
                  <w:rStyle w:val="InternetLink"/>
                  <w:rFonts w:ascii="Times New Roman;serif" w:hAnsi="Times New Roman;serif"/>
                  <w:b w:val="false"/>
                  <w:color w:val="0000FF"/>
                  <w:sz w:val="18"/>
                  <w:u w:val="single"/>
                </w:rPr>
                <w:t>Item 6. Exhibits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145">
              <w:r>
                <w:rPr>
                  <w:rStyle w:val="InternetLink"/>
                  <w:rFonts w:ascii="Times New Roman;serif" w:hAnsi="Times New Roman;serif"/>
                  <w:b w:val="false"/>
                  <w:color w:val="0000FF"/>
                  <w:sz w:val="18"/>
                  <w:u w:val="single"/>
                </w:rPr>
                <w:t>43</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1bfbabb6754916b0efdfc1e843db94_148">
              <w:r>
                <w:rPr>
                  <w:rStyle w:val="InternetLink"/>
                  <w:rFonts w:ascii="Times New Roman;serif" w:hAnsi="Times New Roman;serif"/>
                  <w:b w:val="false"/>
                  <w:color w:val="0000FF"/>
                  <w:sz w:val="18"/>
                  <w:u w:val="single"/>
                </w:rPr>
                <w:t>Signatures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01bfbabb6754916b0efdfc1e843db94_148">
              <w:r>
                <w:rPr>
                  <w:rStyle w:val="InternetLink"/>
                  <w:rFonts w:ascii="Times New Roman;serif" w:hAnsi="Times New Roman;serif"/>
                  <w:b w:val="false"/>
                  <w:color w:val="0000FF"/>
                  <w:sz w:val="18"/>
                  <w:u w:val="singl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GLOSSARY OF OIL AND NATURAL GAS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oil and natural gas terms that are used in this Quarterly Report on Form 10-Q (this “report”) and our other periodic reports under the Exchange Act: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31"/>
        <w:gridCol w:w="487"/>
        <w:gridCol w:w="454"/>
        <w:gridCol w:w="2607"/>
        <w:gridCol w:w="2443"/>
        <w:gridCol w:w="3483"/>
      </w:tblGrid>
      <w:tr>
        <w:trPr/>
        <w:tc>
          <w:tcPr>
            <w:tcW w:w="73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3483" w:type="dxa"/>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Argus WTI Midland</w:t>
            </w:r>
          </w:p>
        </w:tc>
        <w:tc>
          <w:tcPr>
            <w:tcW w:w="85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Grade of oil that serves as a benchmark price for oil at Midland, Texas.</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Basin</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 large depression on the earth’s surface in which sediments accumulate.</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Bbl or barrel</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One stock tank barrel, or 42 U.S. gallons liquid volume, used in this report in reference to crude oil or other liquid hydrocarbons.</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BO/d</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barrel of crude oil per day.</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BOE</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One barrel of oil equivalent, with six thousand cubic feet of natural gas being equivalent to one barrel of oil.</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BOE/d</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One BOE per day.</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Completion</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process of treating a drilled well followed by the installation of permanent equipment for the production of natural gas or oil, or in the case of a dry hole, the reporting of abandonment to the appropriate agency.</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Liquid hydrocarbons retrieved from geological structures underground to be refined into fuel sources.</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well</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 well drilled within the proved area of a natural gas or oil reservoir to the depth of a stratigraphic horizon known to be productive.</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Differential</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An adjustment to the price of oil or natural gas from an established spot market price to reflect differences in the quality and/or location of oil or natural gas.</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Fracturing</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process of creating and preserving a fracture or system of fractures in a reservoir rock typically by injecting a fluid under pressure through a wellbore and into the targeted formation.</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wells in which a working interest is owned.</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Henry Hub</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Natural gas gathering point that serves as a benchmark price for natural gas futures on the NYMEX.</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Horizontal wells</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Wells drilled directionally horizontal to allow for development of structures not reachable through traditional vertical drilling mechanisms.</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MBbls</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thousand barrels of crude oil and other liquid hydrocarbons.</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MBO/d</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One thousand barrels of crude oil per day.</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MBOE</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thousand barrels of crude oil equivalent, determined using a ratio of six Mcf of natural gas to one Bbl of crude oil, condensate or natural gas liquids.</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MBOE/d</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thousand BOE per day.</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Mcf</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thousand cubic feet of natural gas.</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Mineral interests</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interests in ownership of the resource and mineral rights, giving an owner the right to profit from the extracted resources.</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million British Thermal Units.</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MMcf</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Million cubic feet of natural gas.</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royalty acres</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Net mineral acres multiplied by the average lease royalty interest and other burdens.</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Tracts of land consisting of properties to be developed for oil and natural gas resource extraction.</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Operator</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individual or company responsible for the exploration and/or production of an oil or natural gas well or lease.</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Proved reserves</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4"/>
        <w:gridCol w:w="286"/>
        <w:gridCol w:w="287"/>
        <w:gridCol w:w="2744"/>
        <w:gridCol w:w="2717"/>
        <w:gridCol w:w="3847"/>
      </w:tblGrid>
      <w:tr>
        <w:trPr/>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847" w:type="dxa"/>
            <w:tcBorders/>
            <w:vAlign w:val="center"/>
          </w:tcPr>
          <w:p>
            <w:pPr>
              <w:pStyle w:val="TableContents"/>
              <w:bidi w:val="0"/>
              <w:spacing w:before="0" w:after="283"/>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Reserves</w:t>
            </w:r>
          </w:p>
        </w:tc>
        <w:tc>
          <w:tcPr>
            <w:tcW w:w="9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interest</w:t>
            </w:r>
          </w:p>
        </w:tc>
        <w:tc>
          <w:tcPr>
            <w:tcW w:w="9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interest that gives an owner the right to receive a portion of the resources or revenues without having to carry any costs of development, which may be subject to expiration.</w:t>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Spud</w:t>
            </w:r>
          </w:p>
        </w:tc>
        <w:tc>
          <w:tcPr>
            <w:tcW w:w="9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Commencement of actual drilling operations.</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Waha Hub</w:t>
            </w:r>
          </w:p>
        </w:tc>
        <w:tc>
          <w:tcPr>
            <w:tcW w:w="9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Natural gas gathering point that serves as a benchmark price for natural gas at western Texas and New Mexico.</w:t>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WTI</w:t>
            </w:r>
          </w:p>
        </w:tc>
        <w:tc>
          <w:tcPr>
            <w:tcW w:w="9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West Texas Intermediate, a light sweet blend of oil produced from fields in western Texas and is a grade of oil that serves as a benchmark for oil on the NYMEX.</w:t>
            </w:r>
          </w:p>
        </w:tc>
      </w:tr>
      <w:tr>
        <w:trPr/>
        <w:tc>
          <w:tcPr>
            <w:tcW w:w="89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WTI Cushing</w:t>
            </w:r>
          </w:p>
        </w:tc>
        <w:tc>
          <w:tcPr>
            <w:tcW w:w="93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Grade of oil that serves as a benchmark price for oil at Cushing, Oklahoma.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GLOSSARY OF CERTAIN OTHER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other terms that are used in this report and our other periodic reports under the Exchange Act: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23"/>
        <w:gridCol w:w="332"/>
        <w:gridCol w:w="334"/>
        <w:gridCol w:w="2888"/>
        <w:gridCol w:w="2454"/>
        <w:gridCol w:w="3474"/>
      </w:tblGrid>
      <w:tr>
        <w:trPr/>
        <w:tc>
          <w:tcPr>
            <w:tcW w:w="72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3474" w:type="dxa"/>
            <w:tcBorders/>
            <w:vAlign w:val="center"/>
          </w:tcPr>
          <w:p>
            <w:pPr>
              <w:pStyle w:val="TableContents"/>
              <w:bidi w:val="0"/>
              <w:spacing w:before="0" w:after="283"/>
              <w:jc w:val="left"/>
              <w:rPr>
                <w:sz w:val="4"/>
                <w:szCs w:val="4"/>
              </w:rPr>
            </w:pPr>
            <w:r>
              <w:rPr>
                <w:sz w:val="4"/>
                <w:szCs w:val="4"/>
              </w:rPr>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8816" w:type="dxa"/>
            <w:gridSpan w:val="3"/>
            <w:tcBorders/>
            <w:vAlign w:val="center"/>
          </w:tcPr>
          <w:p>
            <w:pPr>
              <w:pStyle w:val="TableContents"/>
              <w:bidi w:val="0"/>
              <w:spacing w:before="0" w:after="283"/>
              <w:jc w:val="left"/>
              <w:rPr>
                <w:sz w:val="4"/>
                <w:szCs w:val="4"/>
              </w:rPr>
            </w:pPr>
            <w:r>
              <w:rPr>
                <w:sz w:val="4"/>
                <w:szCs w:val="4"/>
              </w:rPr>
            </w:r>
          </w:p>
        </w:tc>
      </w:tr>
      <w:tr>
        <w:trPr/>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Adjusted EBITDA, a non-GAAP measure, generally equals net income (loss) attributable to Viper Energy, Inc. plus net income (loss) attributable to non-controlling interest before interest expense, net, non-cash share-based compensation expense, depletion, non-cash (gain) loss on derivative instruments, other non-cash operating expenses, other non-recurring expenses and provision for (benefit from) income taxes, which measure is used by management to more effectively evaluate the operating performance and determine dividend amounts for purposes of the dividend policy.</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After August 19, 2025, Class A Common Stock, $0.000001 par value per share of Viper Energy, Inc. (f/k/a New Cobra Pubco, Inc.), and before August 19, 2025, Class A Common Stock, $0.000001 par value per share of VNOM Sub, Inc. (f/k/a Viper Energy, Inc.).</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After August 19, 2025, Class B Common Stock, $0.000001 par value per share of Viper Energy, Inc. (f/k/a New Cobra Pubco, Inc.), and before August 19, 2025, Class B Common Stock, $0.000001 par value per share of VNOM Sub, Inc. (f/k/a Viper Energy, Inc.).</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Collectively, Class A Common Stock and Class B Common Stock.</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Diamondback Energy, Inc., a Delaware corporation.</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 E&amp;P LLC</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subsidiary of Diamondback.</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Exchange Act of 1934, as amended.</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United States.</w:t>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8816" w:type="dxa"/>
            <w:gridSpan w:val="3"/>
            <w:tcBorders/>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Guaranteed Senior Notes</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outstanding senior notes of Viper Energy Partners LLC, issued under indentures where Viper Energy, Inc. and VNOM Sub, Inc., a wholly owned subsidiary of Viper Energy, Inc., are the guarantors, consisting of the 4.900% Senior Notes due 2030 and the 5.700% Senior Notes due 2035.</w:t>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8816" w:type="dxa"/>
            <w:gridSpan w:val="3"/>
            <w:tcBorders/>
            <w:vAlign w:val="center"/>
          </w:tcPr>
          <w:p>
            <w:pPr>
              <w:pStyle w:val="TableContents"/>
              <w:bidi w:val="0"/>
              <w:spacing w:before="0" w:after="283"/>
              <w:jc w:val="left"/>
              <w:rPr>
                <w:sz w:val="4"/>
                <w:szCs w:val="4"/>
              </w:rPr>
            </w:pPr>
            <w:r>
              <w:rPr>
                <w:sz w:val="4"/>
                <w:szCs w:val="4"/>
              </w:rPr>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8816" w:type="dxa"/>
            <w:gridSpan w:val="3"/>
            <w:tcBorders/>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LTIP</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Viper Energy, Inc. Amended and Restated 2014 Long-Term Incentive Plan, as amended and restated by Viper Energy, Inc. 2024 Amended and Restated Long-Term Incentive Plan, and as may be further amended or restated from time to time.</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Nasdaq</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debt, a non GAAP measure, is debt (excluding debt issuance costs, discounts and premiums) less cash and cash equivalents.</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Those senior notes of Viper Energy, Inc. that were issued under indentures where Viper Energy Partners LLC and other subsidiaries were guarantors, consisting of the 5.375% Senior Notes due 2027 and the 7.375% Senior Notes due 2031.</w:t>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8816" w:type="dxa"/>
            <w:gridSpan w:val="3"/>
            <w:tcBorders/>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OpCo Unit</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Limited liability company membership interest in Viper Energy Partners LLC.</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OPEC</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Organization of the Petroleum Exporting Countries.</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Company</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Viper Energy Partners LLC, a Delaware limited liability company and a consolidated subsidiary of Viper Energy, Inc.</w:t>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8816" w:type="dxa"/>
            <w:gridSpan w:val="3"/>
            <w:tcBorders/>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Securities and Exchange Commission.</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 Prices</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Unweighted arithmetic average of the first-day-of-the-month price for each month during the 12-month period prior to the ending date of the period covered by this report.</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Act of 1933, as amended.</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secured overnight financing rate.</w:t>
            </w:r>
          </w:p>
        </w:tc>
      </w:tr>
      <w:tr>
        <w:trPr/>
        <w:tc>
          <w:tcPr>
            <w:tcW w:w="13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Wells Fargo</w:t>
            </w:r>
          </w:p>
        </w:tc>
        <w:tc>
          <w:tcPr>
            <w:tcW w:w="881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Wells Fargo Bank, National Association.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CAUTIONARY STATEMENT REGARDING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or other effects of strategic transactions; and plans and objectives of management (including Diamondback’s plans for developing our acreage, our cash dividend policy and repurchases of our Class A Common Stock and Guaranteed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In particular, the factors discussed in this report and detailed under </w:t>
      </w:r>
      <w:hyperlink w:anchor="ic01bfbabb6754916b0efdfc1e843db94_136">
        <w:r>
          <w:rPr>
            <w:rStyle w:val="InternetLink"/>
            <w:rFonts w:ascii="Times New Roman;serif" w:hAnsi="Times New Roman;serif"/>
            <w:b w:val="false"/>
            <w:color w:val="0000FF"/>
            <w:sz w:val="20"/>
            <w:u w:val="single"/>
          </w:rPr>
          <w:t>Part II. Item 1A. Risk Factors</w:t>
        </w:r>
      </w:hyperlink>
      <w:r>
        <w:rPr>
          <w:color w:val="000000"/>
        </w:rPr>
        <w:t xml:space="preserve"> </w:t>
      </w:r>
      <w:r>
        <w:rPr>
          <w:rFonts w:ascii="Times New Roman;serif" w:hAnsi="Times New Roman;serif"/>
          <w:b w:val="false"/>
          <w:color w:val="000000"/>
          <w:sz w:val="20"/>
        </w:rPr>
        <w:t xml:space="preserve">and our </w:t>
      </w:r>
      <w:r>
        <w:fldChar w:fldCharType="begin"/>
      </w:r>
      <w:r>
        <w:rPr>
          <w:rStyle w:val="InternetLink"/>
          <w:sz w:val="20"/>
          <w:u w:val="single"/>
          <w:b w:val="false"/>
          <w:rFonts w:ascii="Times New Roman;serif" w:hAnsi="Times New Roman;serif"/>
          <w:color w:val="0000FF"/>
        </w:rPr>
        <w:instrText xml:space="preserve"> HYPERLINK "https://www.sec.gov/ix?doc=/Archives/edgar/data/1602065/000160206525000010/vnom-20241231.htm" \l "ib14eb29379da49d391d7c1866e807b85_25"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2024,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Viper Energy, Inc. and its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Factors that could cause the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supply and demand levels for oil, natural gas and natural gas liquids and the resulting impact on the price for those commodities;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impact of public health crises, including epidemic or pandemic diseases and any related company or government policies or actions;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actions taken by the members of OPEC and Russia affecting the production and pricing of oil, as well as other domestic and global political, economic, or diplomatic developments;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general economic, business or industry conditions, including changes in foreign currency exchange rates, interest rates, inflation rates, or instability in the financial sector;</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regional supply and demand factors, including delays, curtailment delays or interruptions of production on our mineral and royalty acreage, or governmental orders, rules or regulations that impose production limits on such acreage;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physical and transition risks relating to climate change;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significant declines in prices for oil, natural gas, or natural gas liquids, which could require recognition of significant impairment charges;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U.S. energy, environmental, monetary and trade policies, including with respect to tariffs or other trade barriers and any resulting trade tensions;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conditions in the capital, financial and credit markets, including the availability and pricing of capital for drilling and development by our operators and environmental and social responsibility projects undertaken by Diamondback and our other operators;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availability or cost of rigs, equipment, raw materials, supplies and oilfield services impacting our operators;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safety, health, environmental, tax and other regulations or requirements impacting us or our operators (including those addressing air emissions, water management, or the impact of global climate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security threats, including cybersecurity threats and disruptions to our business from breaches of Diamondback’s information technology systems, or from breaches of information technology systems of our operators or third parties with whom we transact business;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lack of, or disruption in, access to adequate and reliable transportation, processing, storage and other facilities impacting our operators;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severe weather conditions and natural disasters;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acts of war or terrorist acts and the governmental or military response thereto;</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the financial strength of counterparties to the credit facility and hedging contracts of our operating subsidiary;</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our credit rating;</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failure to realize anticipated benefits from the recently completed Sitio Acquisition (defined below) and 2025 Drop Down (defined below) or our other recent acquisitions discussed in this report;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other risks and factors disclosed under </w:t>
      </w:r>
      <w:hyperlink w:anchor="ic01bfbabb6754916b0efdfc1e843db94_136">
        <w:r>
          <w:rPr>
            <w:rStyle w:val="InternetLink"/>
            <w:rFonts w:ascii="Times New Roman;serif" w:hAnsi="Times New Roman;serif"/>
            <w:b w:val="false"/>
            <w:color w:val="0000FF"/>
            <w:sz w:val="20"/>
            <w:u w:val="single"/>
          </w:rPr>
          <w:t>Part II. Item 1A. Risk Factors</w:t>
        </w:r>
      </w:hyperlink>
      <w:r>
        <w:rPr>
          <w:color w:val="000000"/>
        </w:rPr>
        <w:t xml:space="preserve"> </w:t>
      </w:r>
      <w:r>
        <w:rPr>
          <w:rFonts w:ascii="Times New Roman;serif" w:hAnsi="Times New Roman;serif"/>
          <w:b w:val="false"/>
          <w:color w:val="000000"/>
          <w:sz w:val="20"/>
        </w:rPr>
        <w:t xml:space="preserve">and our </w:t>
      </w:r>
      <w:r>
        <w:fldChar w:fldCharType="begin"/>
      </w:r>
      <w:r>
        <w:rPr>
          <w:rStyle w:val="InternetLink"/>
          <w:sz w:val="20"/>
          <w:u w:val="single"/>
          <w:b w:val="false"/>
          <w:rFonts w:ascii="Times New Roman;serif" w:hAnsi="Times New Roman;serif"/>
          <w:color w:val="0000FF"/>
        </w:rPr>
        <w:instrText xml:space="preserve"> HYPERLINK "https://www.sec.gov/ix?doc=/Archives/edgar/data/1602065/000160206525000010/vnom-20241231.htm" \l "ib14eb29379da49d391d7c1866e807b85_25"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ind w:left="0" w:right="0" w:firstLine="720"/>
        <w:jc w:val="center"/>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59"/>
        <w:gridCol w:w="2309"/>
        <w:gridCol w:w="2291"/>
        <w:gridCol w:w="246"/>
        <w:gridCol w:w="814"/>
        <w:gridCol w:w="136"/>
        <w:gridCol w:w="124"/>
        <w:gridCol w:w="124"/>
        <w:gridCol w:w="124"/>
        <w:gridCol w:w="253"/>
        <w:gridCol w:w="720"/>
        <w:gridCol w:w="205"/>
      </w:tblGrid>
      <w:tr>
        <w:trPr/>
        <w:tc>
          <w:tcPr>
            <w:tcW w:w="285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except par values and share data)</w:t>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Royalty income receivable (net of allowance for credit losses)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Royalty income receivable—related party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receivable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Oil and natural gas interests, full cost method of accounting ($5,275 million and $2,180 million excluded from depletion at September 30, 2025, and December 31, 2024, respectively)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5,713 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property, equipment and land</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depletion and impairment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net</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12,783 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4,638 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 (net of allowances)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5,069 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payable—related party</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debt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12)</w:t>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Class A Common Stock, $0.000001 par value: 1,000,000,000 shares authorized; 169,261,023 shares issued and outstanding as of September 30, 2025, and 102,977,142 shares issued and outstanding as of December 31, 2024</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Class B Common Stock, $0.000001 par value: 1,000,000,000 shares authorized; 191,078,341 shares issued and outstanding as of September 30, 2025, and 85,431,453 shares issued and outstanding as of December 31, 2024</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Viper Energy, Inc. stockholders’ equity</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4,620 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10,941 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3,907 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5,069 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01"/>
        <w:gridCol w:w="1356"/>
        <w:gridCol w:w="1362"/>
        <w:gridCol w:w="296"/>
        <w:gridCol w:w="787"/>
        <w:gridCol w:w="146"/>
        <w:gridCol w:w="146"/>
        <w:gridCol w:w="146"/>
        <w:gridCol w:w="146"/>
        <w:gridCol w:w="285"/>
        <w:gridCol w:w="691"/>
        <w:gridCol w:w="146"/>
        <w:gridCol w:w="109"/>
        <w:gridCol w:w="109"/>
        <w:gridCol w:w="109"/>
        <w:gridCol w:w="295"/>
        <w:gridCol w:w="694"/>
        <w:gridCol w:w="146"/>
        <w:gridCol w:w="146"/>
        <w:gridCol w:w="146"/>
        <w:gridCol w:w="146"/>
        <w:gridCol w:w="285"/>
        <w:gridCol w:w="691"/>
        <w:gridCol w:w="221"/>
      </w:tblGrid>
      <w:tr>
        <w:trPr/>
        <w:tc>
          <w:tcPr>
            <w:tcW w:w="160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income—related party</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expenses—related party</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early extinguishment of debt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Viper Energy, Inc.</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common shares: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 average number of common shares outstanding:</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148,882 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93,695 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90,895 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148,931 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93,747 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133,868 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90,989 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to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77"/>
        <w:gridCol w:w="452"/>
        <w:gridCol w:w="453"/>
        <w:gridCol w:w="413"/>
        <w:gridCol w:w="413"/>
        <w:gridCol w:w="213"/>
        <w:gridCol w:w="115"/>
        <w:gridCol w:w="115"/>
        <w:gridCol w:w="115"/>
        <w:gridCol w:w="412"/>
        <w:gridCol w:w="414"/>
        <w:gridCol w:w="213"/>
        <w:gridCol w:w="109"/>
        <w:gridCol w:w="109"/>
        <w:gridCol w:w="109"/>
        <w:gridCol w:w="211"/>
        <w:gridCol w:w="616"/>
        <w:gridCol w:w="109"/>
        <w:gridCol w:w="109"/>
        <w:gridCol w:w="109"/>
        <w:gridCol w:w="109"/>
        <w:gridCol w:w="318"/>
        <w:gridCol w:w="703"/>
        <w:gridCol w:w="165"/>
        <w:gridCol w:w="109"/>
        <w:gridCol w:w="109"/>
        <w:gridCol w:w="109"/>
        <w:gridCol w:w="311"/>
        <w:gridCol w:w="908"/>
        <w:gridCol w:w="162"/>
        <w:gridCol w:w="109"/>
        <w:gridCol w:w="109"/>
        <w:gridCol w:w="109"/>
        <w:gridCol w:w="211"/>
        <w:gridCol w:w="721"/>
        <w:gridCol w:w="157"/>
      </w:tblGrid>
      <w:tr>
        <w:trPr/>
        <w:tc>
          <w:tcPr>
            <w:tcW w:w="97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b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w:t>
              <w:br/>
              <w:t>Shares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B</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shares in thousands)</w:t>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102,977 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85,431 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3,907 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Common shares issued for acquisition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2,400 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OpCo Units issued for acquisition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proceeds from the issuance of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28,336 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Equity-based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shares upon vesting of equity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to stockholders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to Diamondback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to other non-controlling interest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ownership of consolidated subsidiaries,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131,323 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87,831 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2,649 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5,323 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Common shares issued to related party</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69,627 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OpCo Units issued to related party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Equity-based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to stockholders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to Diamondback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to other non-controlling interest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ownership of consolidated subsidiaries,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(1,006)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as part of share buyback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131,067 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157,458 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5,191 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8,611 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Conversion of Class B Common Stock to Class A Common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(2,000)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Common shares issued for acquisition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38,536 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35,620 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OpCo Units issued for acquisition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Equity-based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shares upon vesting of equity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Distribution equivalent rights payments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to stockholders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to Diamondback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to other non-controlling interest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ownership of consolidated subsidiaries,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as part of share buyback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(2,358)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169,261 </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191,078 </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4,696 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(76)</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6,321 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10,941 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par values of the outstanding shares of Class A Common Stock and Class B Common Stock each round to zero during the periods presented.</w:t>
      </w:r>
    </w:p>
    <w:p>
      <w:pPr>
        <w:pStyle w:val="TextBody"/>
        <w:bidi w:val="0"/>
        <w:spacing w:before="0" w:after="0"/>
        <w:ind w:left="0" w:right="0" w:hanging="360"/>
        <w:jc w:val="both"/>
        <w:rPr/>
      </w:pPr>
      <w:r>
        <w:rPr/>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to Stockholders' Equity - (Continued)</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28"/>
        <w:gridCol w:w="568"/>
        <w:gridCol w:w="570"/>
        <w:gridCol w:w="412"/>
        <w:gridCol w:w="414"/>
        <w:gridCol w:w="217"/>
        <w:gridCol w:w="121"/>
        <w:gridCol w:w="121"/>
        <w:gridCol w:w="121"/>
        <w:gridCol w:w="360"/>
        <w:gridCol w:w="361"/>
        <w:gridCol w:w="215"/>
        <w:gridCol w:w="109"/>
        <w:gridCol w:w="109"/>
        <w:gridCol w:w="109"/>
        <w:gridCol w:w="211"/>
        <w:gridCol w:w="616"/>
        <w:gridCol w:w="109"/>
        <w:gridCol w:w="109"/>
        <w:gridCol w:w="109"/>
        <w:gridCol w:w="109"/>
        <w:gridCol w:w="359"/>
        <w:gridCol w:w="640"/>
        <w:gridCol w:w="187"/>
        <w:gridCol w:w="109"/>
        <w:gridCol w:w="109"/>
        <w:gridCol w:w="109"/>
        <w:gridCol w:w="311"/>
        <w:gridCol w:w="908"/>
        <w:gridCol w:w="162"/>
        <w:gridCol w:w="109"/>
        <w:gridCol w:w="109"/>
        <w:gridCol w:w="109"/>
        <w:gridCol w:w="211"/>
        <w:gridCol w:w="616"/>
        <w:gridCol w:w="159"/>
      </w:tblGrid>
      <w:tr>
        <w:trPr/>
        <w:tc>
          <w:tcPr>
            <w:tcW w:w="92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b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w:t>
              <w:br/>
              <w:t>Shares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B</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continue"/>
            <w:tcBorders/>
            <w:tcMar>
              <w:top w:w="0" w:type="dxa"/>
              <w:left w:w="0" w:type="dxa"/>
              <w:bottom w:w="0" w:type="dxa"/>
              <w:right w:w="0" w:type="dxa"/>
            </w:tcMar>
            <w:vAlign w:val="center"/>
          </w:tcPr>
          <w:p>
            <w:pPr>
              <w:pStyle w:val="Normal"/>
              <w:bidi w:val="0"/>
              <w:jc w:val="left"/>
              <w:rPr/>
            </w:pPr>
            <w:r>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shares in thousands)</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86,144 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90,710 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converted in Diamondback Offering</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upon vesting of equity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stockholders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Diamondback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ownership of consolidated subsidiaries,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2024</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91,424 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85,431 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stockholders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Diamondback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ownership of consolidated subsidiaries,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2024</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91,424 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85,431 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the issuance of Common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stockholders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Diamondback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ownership of consolidated subsidiaries,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102,947 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85,431 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par values of the outstanding shares of Class A Common Stock and Class B Common Stock each round to zero during the periods presented.</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tbl>
      <w:tblPr>
        <w:tblW w:w="8771" w:type="dxa"/>
        <w:jc w:val="left"/>
        <w:tblInd w:w="0" w:type="dxa"/>
        <w:tblLayout w:type="fixed"/>
        <w:tblCellMar>
          <w:top w:w="28" w:type="dxa"/>
          <w:left w:w="28" w:type="dxa"/>
          <w:bottom w:w="28" w:type="dxa"/>
          <w:right w:w="28" w:type="dxa"/>
        </w:tblCellMar>
      </w:tblPr>
      <w:tblGrid>
        <w:gridCol w:w="2223"/>
        <w:gridCol w:w="1948"/>
        <w:gridCol w:w="1964"/>
        <w:gridCol w:w="254"/>
        <w:gridCol w:w="819"/>
        <w:gridCol w:w="141"/>
        <w:gridCol w:w="141"/>
        <w:gridCol w:w="141"/>
        <w:gridCol w:w="141"/>
        <w:gridCol w:w="254"/>
        <w:gridCol w:w="546"/>
        <w:gridCol w:w="199"/>
      </w:tblGrid>
      <w:tr>
        <w:trPr/>
        <w:tc>
          <w:tcPr>
            <w:tcW w:w="2223"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operating activities: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income (loss) to net cash provided by operating activities: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(benefit from) deferred income taxes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Depletion</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loss on derivative instruments, net</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receipts (payments) on derivatives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loss on extinguishment of debt</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operating assets and liabilities: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Royalty income receivable</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Royalty income receivable—related party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liabilities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payable—related party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payable</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(used in) operating activities</w:t>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462 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investing activities:</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Acquisitions of oil and natural gas interests—related party</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(873)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Acquisitions of oil and natural gas interests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(1,484)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sale of oil and natural gas interests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(used in) investing activities</w:t>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(2,357)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(183)</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financing activities:</w:t>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term loan</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borrowings under credit facility</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990 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 on credit facility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(1,091)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Guaranteed Senior Notes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 of Notes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proceeds from public offering</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Repurchases under share buyback program</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to stockholders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Dividends to Diamondback </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to other non-controlling interest</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(used in) financing activities</w:t>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2,119 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(136)</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increase (decrease) in cash, cash equivalents and restricted cash</w:t>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 at beginning of period</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 at end of period</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paid</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received for income taxes</w:t>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transactions: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OpCo Units issued for acquisitions</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(1,445)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OpCo Units issued to related party</w:t>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(3,618)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Energy, Inc. is a publicly traded Delaware corporation. Viper (as defined below) and its consolidated subsidiaries are focused on owning and acquiring mineral interests and royalty interests in oil and natural gas properties primarily in the Permian Basin. As of September 30, 2025, Viper owned approximately 45.7% of the outstanding OpCo Units and was the managing member of the Operating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August 19, 2025, upon completion of the Sitio Acquisition (as defined and discussed in Note 4—</w:t>
      </w:r>
      <w:hyperlink w:anchor="ic01bfbabb6754916b0efdfc1e843db94_49">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 xml:space="preserve">), VNOM Sub, Inc. (formerly known as Viper Energy Inc., “Former Viper”) became a wholly owned subsidiary of Viper Energy, Inc. (formerly known as New Cobra Pubco, Inc., “New Viper”), as a result of a merger contemplated by the documents governing the Sitio Acquisition (such merger, the “Viper PubCo Merger”). References to (i) “Viper” refer to (A) New Viper following the Viper PubCo Merger, and (B) Former Viper prior to the Viper PubCo Merger, and to (ii) the “Company” refer to, collectively, (A) New Viper and its consolidated subsidiaries following the Viper PubCo Merger, and (B) Former Viper and its consolidated subsidiaries prior to the Viper PubCo Merger.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completion of the Viper PubCo Merger, each share of Former Viper’s Class A common stock, par value $0.000001 per share (“Former Viper Class A Common Stock”), issued and outstanding immediately prior to the effective time of the Viper PubCo Merger (other than certain excluded shares) was canceled and automatically converted into one share of New Viper Class A common stock, par value $0.000001 per share (“New Viper Class A Common Stock”), and (B) each share of Former Viper’s Class B common stock, par value $0.000001 per share, issued and outstanding immediately prior to the effective time of the Viper PubCo Merger was automatically canceled and converted into one share of New Viper’s Class B common stock, par value $0.000001 per share (“New Viper Class B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Prior to March 8, 2024, the Company was a “controlled company” under the rules of the Nasdaq Stock Market LLC (the “Nasdaq Rules”). </w:t>
      </w:r>
      <w:r>
        <w:rPr>
          <w:rFonts w:ascii="Times New Roman;serif" w:hAnsi="Times New Roman;serif"/>
          <w:b w:val="false"/>
          <w:color w:val="000000"/>
          <w:sz w:val="20"/>
          <w:shd w:fill="FFFFFF" w:val="clear"/>
        </w:rPr>
        <w:t xml:space="preserve">On March 8, 2024, the Company’s parent, Diamondback, </w:t>
      </w:r>
      <w:r>
        <w:rPr>
          <w:rFonts w:ascii="Times New Roman;serif" w:hAnsi="Times New Roman;serif"/>
          <w:b w:val="false"/>
          <w:color w:val="000000"/>
          <w:sz w:val="20"/>
        </w:rPr>
        <w:t>completed an underwritten pu</w:t>
      </w:r>
      <w:r>
        <w:rPr>
          <w:rFonts w:ascii="Times New Roman;serif" w:hAnsi="Times New Roman;serif"/>
          <w:b w:val="false"/>
          <w:color w:val="000000"/>
          <w:sz w:val="20"/>
          <w:shd w:fill="FFFFFF" w:val="clear"/>
        </w:rPr>
        <w:t xml:space="preserve">blic offering in which it sold </w:t>
      </w:r>
      <w:r>
        <w:rPr>
          <w:rFonts w:ascii="Times New Roman;serif" w:hAnsi="Times New Roman;serif"/>
          <w:b w:val="false"/>
          <w:color w:val="000000"/>
          <w:sz w:val="20"/>
        </w:rPr>
        <w:t>13,225,000 shares of the Company’s Class A Common Stock (the “Diamondback Offering”). Following the Diamondback Offering, Diamondback owned no shares of the Company’s Class A Common Stock and owned 85,431,453 shares of the Company’s Class B Common Stock, reducing its beneficial ownership to less than 50% of the Company’s total Common Stock outstanding. As such, the Company ceased to be a “controlled company” under the Nasdaq Rules. Prior to the Diamondback Offering, the Company’s board of directors had a majority of independent directors and a standing audit committee comprised of all independent directors, but had elected to take advantage of certain exemptions from corporate governance requirements applicable to controlled companies under the Nasdaq Rules and, until March 8, 2024, did not have a compensation committee or a committee of independent directors that selects director nominees.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as of March 8, 2024, the Company’s board of directors formed (i) the compensation committee for purposes of making certain executive and other compensation decisions, and (ii) the nominating and corporate governance committee for purposes of making certain nominating and corporate governance decisions, with each such committee’s rights and obligations being subject to the terms and conditions of (x) the Company’s certificate of incorporation, (y) such committee’s charter as adopted by the board, and (z) the services and secondment agreement, dated as of November 2, 2023, pursuant to which Diamondback provides personnel and general and administrative services to the Company, including the services of the executive officers and other employees.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May 1, 2025, immediately following the completion of the 2025 Drop Down (</w:t>
      </w:r>
      <w:r>
        <w:rPr>
          <w:rFonts w:ascii="Times New Roman;serif" w:hAnsi="Times New Roman;serif"/>
          <w:b w:val="false"/>
          <w:color w:val="000000"/>
          <w:sz w:val="20"/>
          <w:shd w:fill="FFFFFF" w:val="clear"/>
        </w:rPr>
        <w:t xml:space="preserve">as defined and discussed in </w:t>
      </w:r>
      <w:r>
        <w:rPr>
          <w:rFonts w:ascii="Times New Roman;serif" w:hAnsi="Times New Roman;serif"/>
          <w:b w:val="false"/>
          <w:color w:val="000000"/>
          <w:sz w:val="20"/>
        </w:rPr>
        <w:t>Note 4—</w:t>
      </w:r>
      <w:hyperlink w:anchor="ic01bfbabb6754916b0efdfc1e843db94_49">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 xml:space="preserve">), Diamondback beneficially owned approximately 53.7% of the Company’s outstanding Common Stock (or approximately 52% of the Common Stock on a fully diluted basis after giving effect to the outstanding TWR Class B Option, </w:t>
      </w:r>
      <w:r>
        <w:rPr>
          <w:rFonts w:ascii="Times New Roman;serif" w:hAnsi="Times New Roman;serif"/>
          <w:b w:val="false"/>
          <w:color w:val="000000"/>
          <w:sz w:val="20"/>
          <w:shd w:fill="FFFFFF" w:val="clear"/>
        </w:rPr>
        <w:t xml:space="preserve">as defined and discussed in </w:t>
      </w:r>
      <w:r>
        <w:rPr>
          <w:rFonts w:ascii="Times New Roman;serif" w:hAnsi="Times New Roman;serif"/>
          <w:b w:val="false"/>
          <w:color w:val="000000"/>
          <w:sz w:val="20"/>
        </w:rPr>
        <w:t>Note 4—</w:t>
      </w:r>
      <w:hyperlink w:anchor="ic01bfbabb6754916b0efdfc1e843db94_49">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 As a result, at the closing of the 2025 Drop Down, the Company regained its status as a “controlled company” under the applicable Nasdaq Rules; however, while the controlled company exemptions were again available to the Company, the Company’s board of directors did not avail itself of these exemptions.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19, 2025, immediately following the completion of the Sitio Acquisition, Diamondback’s beneficial ownership again decreased to below 50% of the Company’s outstanding Common Stock and, as such, the Company once again ceased to be a “controlled company” under the Nasdaq Rules. As of September 30, 2025, Diamondback beneficially owned approximately 43.0% of the outstanding voting power of the Company’s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and related notes thereto were prepared in accordance with GAAP. All material intercompany balances and transactions have been eliminated upon consolidation. The Company reports its operations in one reportable segment.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report should be read in conjunction with the Company’s most recent </w:t>
      </w:r>
      <w:hyperlink r:id="rId2">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fiscal year ended December 31, 2024, which contains a summary of the Company’s significant accounting policies and other disclosures.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financial statement presentation. These reclassifications had no effect on the previously reported total assets, total liabilities, stockholders’ equity, results of operations or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amounts included in or affecting the Company’s condensed consolidated financial statements and related disclosures must be estimated by management, requiring certain assumptions to be made with respect to values or conditions that cannot be known with certainty at the time the condensed consolidated financial statements are prepared. These estimates and assumptions affect the amounts the Company reports for assets and liabilities and the Company’s disclosure of contingent assets and liabilities as of the date of the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Making accurate estimates and assumptions is particularly difficult in the oil and natural gas industry given the challenges resulting from volatility in oil and natural gas prices. For instance, conflicts in the Middle East and globally, higher interest rates, effects of tariffs, actions taken by OPEC and its non-OPEC allies, known collectively as OPEC+, global supply chain disruptions and measures to combat persistent inflation and instability in the financial sector have contributed to recent pricing and economic volatility. The financial results of companies in the oil and natural gas industry have been and may continue to be impacted materially as a result of changing market conditions. Such circumstances generally increase uncertainty in the Company’s accounting estimates, particularly those involving financial forecasts.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these estimates on an ongoing basis, using historical experience, consultation with experts and other methods the Company considers reasonable in each particular circumstance.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interests, estimates of third-party operated royalty income related to expected sales volumes and prices, the recoverability of costs of unevaluated properties, the fair value determination of assets and liabilities, including those acquired by the Company, fair value estimates of commodity derivatives and estimates of income taxes, including deferred tax valuation allowances.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Royalty Income Receivable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Diamondback, either directly or through its consolidated subsidiaries, owed the Company $107 million and $31 million, respectively, for royalty income received from third parties for the Company’s production, which had not yet been remitted to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 Bonus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paid the Company $17 million of lease bonus income for 10 new leases covering 1,948 acres in Howard, Martin, and Reagan Counties, Texas during the three months ended September 30, 2025 and $17 million of lease bonus income for 13 new leases covering 1,961 acres in Howard, Martin, Midland and Reagan Counties, Texas during the nine months ended September 30, 2025. Lease bonus income for the three and nine months ended September 30, 2024, was immaterial.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Related Party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4—</w:t>
      </w:r>
      <w:hyperlink w:anchor="ic01bfbabb6754916b0efdfc1e843db94_49">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for significant related party acquisitions of oil and natural gas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7—</w:t>
      </w:r>
      <w:hyperlink w:anchor="ic01bfbabb6754916b0efdfc1e843db94_58">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for further details regarding equity transactions with related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other significant related party transactions with Diamondback or its affiliates have been stated on the face of the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Accrued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liabilities consist of the following as of the dates indicated:</w:t>
      </w:r>
    </w:p>
    <w:p>
      <w:pPr>
        <w:pStyle w:val="TextBody"/>
        <w:bidi w:val="0"/>
        <w:spacing w:before="0" w:after="0"/>
        <w:ind w:left="0" w:right="0" w:firstLine="720"/>
        <w:jc w:val="both"/>
        <w:rPr/>
      </w:pPr>
      <w:r>
        <w:rPr/>
      </w:r>
    </w:p>
    <w:tbl>
      <w:tblPr>
        <w:tblW w:w="5440" w:type="dxa"/>
        <w:jc w:val="left"/>
        <w:tblInd w:w="0" w:type="dxa"/>
        <w:tblLayout w:type="fixed"/>
        <w:tblCellMar>
          <w:top w:w="28" w:type="dxa"/>
          <w:left w:w="28" w:type="dxa"/>
          <w:bottom w:w="28" w:type="dxa"/>
          <w:right w:w="28" w:type="dxa"/>
        </w:tblCellMar>
      </w:tblPr>
      <w:tblGrid>
        <w:gridCol w:w="987"/>
        <w:gridCol w:w="869"/>
        <w:gridCol w:w="873"/>
        <w:gridCol w:w="371"/>
        <w:gridCol w:w="635"/>
        <w:gridCol w:w="193"/>
        <w:gridCol w:w="109"/>
        <w:gridCol w:w="109"/>
        <w:gridCol w:w="109"/>
        <w:gridCol w:w="344"/>
        <w:gridCol w:w="589"/>
        <w:gridCol w:w="252"/>
      </w:tblGrid>
      <w:tr>
        <w:trPr/>
        <w:tc>
          <w:tcPr>
            <w:tcW w:w="98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 payable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instruments payable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adjustment accrual</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no recently adopted pronouncements.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ASUs. ASUs not discussed above were assessed and determined to be either not applicable, previously disclosed, or not material upon adoption.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3.    </w:t>
      </w:r>
      <w:r>
        <w:rPr>
          <w:rFonts w:ascii="Times New Roman;serif" w:hAnsi="Times New Roman;serif"/>
          <w:b/>
          <w:color w:val="000000"/>
          <w:sz w:val="20"/>
          <w:shd w:fill="FFFFFF" w:val="clear"/>
        </w:rPr>
        <w:t>REVENUE FROM CONTRACTS WITH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income represents the right to receive revenues from oil, natural gas and natural gas liquids sales obtained from third-party purchasers by the operator of the wells in which the Company owns a royalty interest. Royalty income is recognized at the point control of the product is transferred to the purchaser at the wellhead or at the gas processing facility based on the Company’s percentage ownership share of the revenue, net of any deductions for gathering and transportation. Virtually all of the pricing provisions in the Company’s contracts are tied to a market index.</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disaggregate the Company’s revenue from oil, natural gas and natural gas liquids by revenue generated from production on properties operated by Diamondback and revenue generated from production on properties operated by third parties: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20"/>
        <w:gridCol w:w="281"/>
        <w:gridCol w:w="283"/>
        <w:gridCol w:w="393"/>
        <w:gridCol w:w="869"/>
        <w:gridCol w:w="204"/>
        <w:gridCol w:w="109"/>
        <w:gridCol w:w="109"/>
        <w:gridCol w:w="109"/>
        <w:gridCol w:w="361"/>
        <w:gridCol w:w="798"/>
        <w:gridCol w:w="187"/>
        <w:gridCol w:w="109"/>
        <w:gridCol w:w="109"/>
        <w:gridCol w:w="109"/>
        <w:gridCol w:w="211"/>
        <w:gridCol w:w="466"/>
        <w:gridCol w:w="109"/>
        <w:gridCol w:w="109"/>
        <w:gridCol w:w="109"/>
        <w:gridCol w:w="109"/>
        <w:gridCol w:w="393"/>
        <w:gridCol w:w="869"/>
        <w:gridCol w:w="204"/>
        <w:gridCol w:w="109"/>
        <w:gridCol w:w="109"/>
        <w:gridCol w:w="109"/>
        <w:gridCol w:w="361"/>
        <w:gridCol w:w="798"/>
        <w:gridCol w:w="187"/>
        <w:gridCol w:w="109"/>
        <w:gridCol w:w="109"/>
        <w:gridCol w:w="109"/>
        <w:gridCol w:w="211"/>
        <w:gridCol w:w="466"/>
        <w:gridCol w:w="109"/>
        <w:gridCol w:w="109"/>
        <w:gridCol w:w="109"/>
        <w:gridCol w:w="109"/>
        <w:gridCol w:w="16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Third-Party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Third-Party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royalty income</w:t>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Third-Party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Third-Party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royalty income</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ACQUISITIONS AND DIVESTITURES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2025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August 19, 2025, the Company completed a series of transactions in which New Viper acquired Sitio Royalties Corp. (“Sitio”), Sitio Royalties Operating Partnership, LP (“Sitio OpCo”) and their respective subsidiaries, pursuant to the Agreement and Plan of Merger, dated June 2, 2025, by and among Former Viper, the Operating Company, Sitio, Sitio OpCo, New Viper, Cobra Merger Sub, Inc. and Scorpion Merger Sub, Inc. (the “Sitio Acquisition”). The Sitio Acquisition was an all-equity transaction valued at approximately $4.0 billion, subject to further adjustments for transaction costs and certain customary post-closing adjustments, including the retirement of Sitio’s net debt of approximately $1.2 billion. The Company funded the retirement of Sitio’s net debt through a combination of cash on hand, proceeds from the issuance of the Guaranteed Senior Notes and borrowings under the Term Loan (</w:t>
      </w:r>
      <w:r>
        <w:rPr>
          <w:rFonts w:ascii="Times New Roman;serif" w:hAnsi="Times New Roman;serif"/>
          <w:b w:val="false"/>
          <w:color w:val="000000"/>
          <w:sz w:val="20"/>
          <w:shd w:fill="FFFFFF" w:val="clear"/>
        </w:rPr>
        <w:t xml:space="preserve">as defined and discussed in Note </w:t>
      </w:r>
      <w:r>
        <w:rPr>
          <w:rFonts w:ascii="Times New Roman;serif" w:hAnsi="Times New Roman;serif"/>
          <w:b w:val="false"/>
          <w:color w:val="000000"/>
          <w:sz w:val="20"/>
        </w:rPr>
        <w:t>6—</w:t>
      </w:r>
      <w:hyperlink w:anchor="ic01bfbabb6754916b0efdfc1e843db94_55">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Consideration for the Sitio Acquisition consisted of the right for Sitio and Sitio OpCo’s former equity holders to receive (a) 0.4855 shares of New Viper Class A Common Stock, for each share of Sitio Class A common stock, par value $0.0001 per share, and (b) 0.4855 OpCo Units, along with a corresponding amount of New Viper Class B Common Stock, par value $0.000001 per share, for each unit representing limited partnership interests of Sitio OpCo, subject to certain exclusions. The OpCo Units and New Viper Class B Common Stock issued in the Sitio Acquisition are exchangeable from time to time for shares of New Viper Class A Common Stock (that is, one OpCo Unit and one share of Class B Common Stock, together, are exchangeable for one share of Class A Common Stock). Each share of Class C common stock, par value $0.0001 per share, of Sitio was automatically canceled in the transaction for no consideration and ceased to exist upon closing of the Sitio Acquisition. The shares of common stock of Former Viper and Sitio were delisted from the Nasdaq and their respective reporting obligations under the Exchange Act were terminated. As part of the Sitio Acquisition, New Viper issued 38,536,236 shares of Class A Common Stock, 33,619,951 shares of Class B Common Stock and 33,619,951 OpCo Units. In addition, at the closing of the Sitio Acquisition, the Company entered into a registration rights agreement with certain of Sitio OpCo’s former equity holders, pursuant to which such equity holders received certain demand registration rights with respect to the shares of the Company’s Class A Common Stock that may be acquired by them in exchange for OpCo Units and shares of the Company’s Class B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 On October 30, 2025, the Company entered into an equity interest purchase agreement to divest all the non-Permian assets acquired from Sitio in the Sitio Acquisition. See Note 13—</w:t>
      </w:r>
      <w:hyperlink w:anchor="ic01bfbabb6754916b0efdfc1e843db94_76">
        <w:r>
          <w:rPr>
            <w:rStyle w:val="InternetLink"/>
            <w:rFonts w:ascii="Times New Roman;serif" w:hAnsi="Times New Roman;serif"/>
            <w:b w:val="false"/>
            <w:color w:val="0000FF"/>
            <w:sz w:val="20"/>
            <w:u w:val="single"/>
          </w:rPr>
          <w:t>Subsequent Events</w:t>
        </w:r>
      </w:hyperlink>
      <w:r>
        <w:rPr>
          <w:color w:val="000000"/>
        </w:rPr>
        <w:t xml:space="preserve"> </w:t>
      </w:r>
      <w:r>
        <w:rPr>
          <w:rFonts w:ascii="Times New Roman;serif" w:hAnsi="Times New Roman;serif"/>
          <w:b w:val="false"/>
          <w:color w:val="000000"/>
          <w:sz w:val="20"/>
        </w:rPr>
        <w:t xml:space="preserve">for additional information on this divestiture.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Sitio Acquisition was accounted for as an asset acquisition in accordance with ASC 805.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Drop Down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2025, the Company acquired all of the issued and outstanding equity interests in 1979 Royalties, LP and 1979 Royalties GP, LLC from Endeavor Energy Resources, LP (“Endeavor”), each a seller party and a subsidiary of Diamondback, pursuant to a definitive equity purchase agreement for consideration consisting of (i) $873 million in cash including certain customary post-closing adjustments, and (ii) the issuance of 69,626,640 OpCo Units and an equivalent number of shares of the Company’s Class B Common Stock (collectively, the “Drop Down Equity Issuance”) (the “2025 Drop Down”). The OpCo Units and the Class B Common Stock issued in the 2025 Drop Down, as well as the OpCo Units and Class B Common Stock otherwise beneficially owned by Diamondback, are exchangeable from time to time for shares of the Company’s Class A Common Stock (that is, one OpCo Unit and one share of Class B Common Stock, together, are exchangeable for one share of Class A Common Stock). The shares of Class A Common Stock that may be issued to Diamondback and/or its subsidiaries upon exchange of their OpCo Units and shares of Class B Common Stock, including those OpCo Units and shares of Class B Common Stock issued at the closing of the 2025 Drop Down, are subject to the Company’s existing registration rights agreement with Diamondback, dated as of November 13, 2023, previously filed by the Company with the SEC.</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mineral and royalty interests acquired in the 2025 Drop Down represent approximately 24,446 net royalty acres in the Permian Basin, 69% of which are operated by Diamondback, and have an average net royalty interest of approximately 2.2% and current oil production of approximately 17,097 BO/d (the “Endeavor Mineral and Royalty Interests”). The Endeavor Mineral and Royalty Interests include interests in horizontal wells comprised of 5,574 gross proved developed production wells (of which approximately 32% are operated by Diamondback), 116 gross completed wells and 394 gross drilled but uncompleted wells, all of which are principally concentrated in the Midland Basin, with the balance located primarily in the Delaware and Williston Basins.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2025 Drop Down was approved by (i) the Company’s audit committee comprised of all independent directors and the full board of directors, in each case on January 30, 2025, and (ii) the majority of the Company’s stockholders, other than Diamondback and its subsidiaries, at the special meeting of the Company’s stockholders held on May 1, 2025, as required under the Nasdaq Rules.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funded the cash consideration for the 2025 Drop Down with a portion of the proceeds from the 2025 Equity Offering (</w:t>
      </w:r>
      <w:r>
        <w:rPr>
          <w:rFonts w:ascii="Times New Roman;serif" w:hAnsi="Times New Roman;serif"/>
          <w:b w:val="false"/>
          <w:color w:val="000000"/>
          <w:sz w:val="20"/>
          <w:shd w:fill="FFFFFF" w:val="clear"/>
        </w:rPr>
        <w:t xml:space="preserve">as defined and discussed in Note </w:t>
      </w:r>
      <w:r>
        <w:rPr>
          <w:rFonts w:ascii="Times New Roman;serif" w:hAnsi="Times New Roman;serif"/>
          <w:b w:val="false"/>
          <w:color w:val="000000"/>
          <w:sz w:val="20"/>
        </w:rPr>
        <w:t>7—</w:t>
      </w:r>
      <w:hyperlink w:anchor="ic01bfbabb6754916b0efdfc1e843db94_58">
        <w:r>
          <w:rPr>
            <w:rStyle w:val="InternetLink"/>
            <w:rFonts w:ascii="Times New Roman;serif" w:hAnsi="Times New Roman;serif"/>
            <w:b w:val="false"/>
            <w:color w:val="0000FF"/>
            <w:sz w:val="20"/>
            <w:u w:val="single"/>
          </w:rPr>
          <w:t>Stockholders’ Equity</w:t>
        </w:r>
      </w:hyperlink>
      <w:r>
        <w:rPr>
          <w:rFonts w:ascii="Times New Roman;serif" w:hAnsi="Times New Roman;serif"/>
          <w:b w:val="false"/>
          <w:color w:val="000000"/>
          <w:sz w:val="20"/>
        </w:rPr>
        <w:t>) and borrowings under the Operating Company’s previous revolving credit facility. The 2025 Drop Down was accounted for as a transaction between entities under common control, with the Endeavor Mineral and Royalty Interests recorded at Endeavor’s historical carrying value in the Company’s condensed consolidated balance sheet.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Morita Ranches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14, 2025, the Company completed an acquisition of certain mineral and royalty interests located in Howard County, Texas from Morita Ranches Minerals, LLC (“Morita Ranches”) (the “Morita Ranches Acquisition”) pursuant to a definitive purchase and sale agreement for consideration consisting of approximately (i) $208 million in cash, and (ii) 2,400,297 OpCo Units together with an equal number of shares of the Company’s Class B Common Stock issued to certain affiliate designees of Morita Ranches (the “Morita Ranches Equity Recipients”), including certain transaction costs and customary post-closing adjustments. At the closing of the Morita Ranches Acquisition, the Morita Ranches Equity Recipients (i) became parties to the Third Amended and Restated Limited Liability Agreement of the Operating Company, dated as of October 1, 2024, as amended, and (ii) entered into an Exchange Agreement with the Company and the Operating Company to provide for the right to exchange the OpCo Units and shares of the Company’s Class B Common Stock acquired by the Morita Ranches Equity Recipients at the closing of the Morita Ranches Acquisition for an equal number of shares of the Company’s Class A Common Stock. In addition, at the closing of the Morita Ranches Acquisition, the Company entered into a registration rights agreement with the Morita Ranches Equity Recipients, pursuant to which the Morita Ranches Equity Recipients received certain demand and piggyback registration rights with respect to the shares of the Company’s Class A Common Stock that may be acquired by them in exchange for OpCo Units and shares of the Company’s Class B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mineral and royalty interests included in the Morita Ranches Acquisition represent approximately 1,691 net royalty acres in the Permian Basin, 75% of which are operated by Diamondback, and have an average net royalty interest of approximately 10.9%. The Company funded the cash consideration for the Morita Ranches Acquisition with proceeds from the 2025 Equity Offering.</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acquired, in individually insignificant transactions from unrelated third-party sellers, mineral and royalty interests representing 270 net royalty acres in the Permian Basin for an aggregate purchase price of approximately $72 million, subject to customary post-closing adjustments.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2024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Tumbleweed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and October of 2024, the Company completed a series of related acquisitions including the TWR Acquisition, the Q Acquisition and the M Acquisition (collectively, the “Tumbleweed Acquisitions”), each as defined and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TWR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 2024, the Company acquired all of the issued and outstanding equity interests in TWR IV, LLC and TWR IV SellCo, LLC from Tumbleweed Royalty IV, LLC (“TWR IV”) and TWR IV SellCo Parent, LLC (the “TWR Acquisition”), pursuant to a definitive purchase and sale agreement for consideration consisting of approximately (i) $464 million in cash, including transaction costs and certain customary post-closing adjustments, (ii) 10,093,670 OpCo Units to TWR IV, (iii) an option (the “TWR Class B Option”) granted to TWR IV to acquire up to 10,093,670 shares of the Company’s Class B Common Stock, and (iv) contingent cash consideration of up to $41 million, payable in January of 2026, based on the average price of WTI sweet crude oil prompt month futures contracts for the calendar year 2025 (the “WTI 2025 Average”). The contingent cash consideration payment will be (i) $16 million if the WTI 2025 Average is between $60.00 and $65.00, (ii) $25 million if the WTI 2025 Average is between $65.00 and $75.00, or (iii) $41 million if the WTI 2025 Average is greater than $75.00 (the “TWR Contingent Liability”). Additionally, at the closing of the TWR Acquisition, the Company assumed from TWR IV a royalty income receivable of approximately $24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TWR IV can exchange some or all of its OpCo Units for an equal number of shares of the Company’s Class A Common Stock and any OpCo Units so exchanged will reduce the number of shares of Class B Common Stock subject to the TWR Class B Option. In addition, at the closing of the TWR Acquisition, the Company entered into a registration rights agreement with TWR IV, pursuant to which TWR IV received certain demand and piggyback registration rights with respect to the shares of the Company’s Class A Common Stock that may be acquired by them in exchange for OpCo Units. The mineral and royalty interests acquired in the TWR Acquisition represent approximately 3,067 net royalty acres located primarily in the Permian Basin. The Company funded the cash consideration for the TWR Acquisition through a combination of cash on hand, borrowings under the Operating Company’s previous revolving credit facility and proceeds from the </w:t>
      </w:r>
      <w:r>
        <w:rPr>
          <w:rFonts w:ascii="Times New Roman;serif" w:hAnsi="Times New Roman;serif"/>
          <w:b w:val="false"/>
          <w:color w:val="000000"/>
          <w:sz w:val="20"/>
          <w:shd w:fill="FFFFFF" w:val="clear"/>
        </w:rPr>
        <w:t xml:space="preserve">2024 Equity Offering as defined and discussed in Note </w:t>
      </w:r>
      <w:r>
        <w:rPr>
          <w:rFonts w:ascii="Times New Roman;serif" w:hAnsi="Times New Roman;serif"/>
          <w:b w:val="false"/>
          <w:color w:val="000000"/>
          <w:sz w:val="20"/>
        </w:rPr>
        <w:t>7—</w:t>
      </w:r>
      <w:hyperlink w:anchor="ic01bfbabb6754916b0efdfc1e843db94_58">
        <w:r>
          <w:rPr>
            <w:rStyle w:val="InternetLink"/>
            <w:rFonts w:ascii="Times New Roman;serif" w:hAnsi="Times New Roman;serif"/>
            <w:b w:val="false"/>
            <w:color w:val="0000FF"/>
            <w:sz w:val="20"/>
            <w:u w:val="single"/>
          </w:rPr>
          <w:t>Stockholders’ Equity</w:t>
        </w:r>
      </w:hyperlink>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Q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3, 2024, the Company acquired all of the issued and outstanding equity interests in Tumbleweed-Q Royalties, LLC (the “Q Acquisition”), pursuant to a definitive purchase and sale agreement for consideration consisting of (i) approximately $114 million in cash, including transaction costs and certain customary post-closing adjustments, and (ii) contingent cash consideration of up to $5 million, payable in January of 2026, based on the WTI 2025 Average. The contingent cash consideration payment will be (i) $2 million if the WTI 2025 Average is between $60.00 and $65.00, (ii) $3 million if the WTI 2025 Average is between $65.00 and $75.00, or (iii) $5 million if the WTI 2025 Average is greater than $75.00 (the “Q Contingent Liability”). The mineral and royalty interests acquired in the Q Acquisition represent approximately 406 net royalty acres located primarily in the Permian Basin. The cash consideration for the Q Acquisition was funded through a combination of cash on hand and borrowings under the Operating Company’s previous revolving credit facility.</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3, 2024, the Company acquired all of the issued and outstanding equity interests in MC TWR Royalties, LP and MC TWR Intermediate, LLC (the “M Acquisition”), pursuant to a definitive purchase and sale agreement for consideration consisting of (i) approximately $76 million in cash, including transaction costs and certain customary post-closing adjustments, and (ii) contingent cash consideration of up to $4 million, payable in January of 2026, based on the WTI 2025 Average. The contingent cash consideration payment will be (i) $1 million if the WTI 2025 Average is between $60.00 and $65.00, (ii) $2 million if the WTI 2025 Average is between $65.00 and $75.00, or (iii) $4 million if the WTI 2025 Average is greater than $75.00 (the “M Contingent Liability”). The mineral and royalty interests acquired in the M Acquisition represent approximately 267 net royalty acres located primarily in the Permian Basin. The cash consideration for the M Acquisition was funded through a combination of cash on hand and borrowings under the Operating Company’s previous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records the Q Contingent Liability, the M Contingent Liability and the TWR Contingent Liability (collectively, the “2026 WTI Contingent Liability”) at their aggregate estimated fair values on a quarterly basis as discussed further in Note 10—</w:t>
      </w:r>
      <w:hyperlink w:anchor="ic01bfbabb6754916b0efdfc1e843db94_67">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and Note 11—</w:t>
      </w:r>
      <w:hyperlink w:anchor="ic01bfbabb6754916b0efdfc1e843db94_70">
        <w:r>
          <w:rPr>
            <w:rStyle w:val="InternetLink"/>
            <w:rFonts w:ascii="Times New Roman;serif" w:hAnsi="Times New Roman;serif"/>
            <w:b w:val="false"/>
            <w:color w:val="0000FF"/>
            <w:sz w:val="20"/>
            <w:u w:val="single"/>
          </w:rPr>
          <w:t>Fair Value Measurements</w:t>
        </w:r>
      </w:hyperlink>
      <w:r>
        <w:rPr>
          <w:rFonts w:ascii="Times New Roman;serif" w:hAnsi="Times New Roman;serif"/>
          <w:b w:val="false"/>
          <w:color w:val="000000"/>
          <w:sz w:val="20"/>
        </w:rPr>
        <w:t>. At September 30, 2025, the aggregate estimated fair value of the 2026 WTI Contingent Liability was $27 million.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during the year ended December 31, 2024, the Company acquired, in individually insignificant transactions from unrelated third-party sellers, mineral and royalty interests representing 261 net royalty acres in the Permian Basin for an aggregate purchase price of approximately $54 million, including customary closing adjustments. The Company funded these acquisitions with cash on hand and borrowings under the Operating Company’s previous revolving credit facility.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2024, the Company divested all of its non-Permian assets for a purchase price of approximately $87 million, including transaction costs and customary post-closing adjustments. The divested properties consisted of approximately 2,713 net royalty acres with current production of approximately 450 BO/d. The Company recorded the proceeds as a reduction of its full cost pool with no gain or loss recognized on the sale.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OIL AND NATURAL GAS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Oil and natural gas interests include the following for the periods presented:</w:t>
      </w:r>
    </w:p>
    <w:p>
      <w:pPr>
        <w:pStyle w:val="TextBody"/>
        <w:bidi w:val="0"/>
        <w:spacing w:before="0" w:after="0"/>
        <w:ind w:left="0" w:right="0" w:firstLine="720"/>
        <w:jc w:val="both"/>
        <w:rPr/>
      </w:pPr>
      <w:r>
        <w:rPr/>
      </w:r>
    </w:p>
    <w:tbl>
      <w:tblPr>
        <w:tblW w:w="7300" w:type="dxa"/>
        <w:jc w:val="left"/>
        <w:tblInd w:w="0" w:type="dxa"/>
        <w:tblLayout w:type="fixed"/>
        <w:tblCellMar>
          <w:top w:w="28" w:type="dxa"/>
          <w:left w:w="28" w:type="dxa"/>
          <w:bottom w:w="28" w:type="dxa"/>
          <w:right w:w="28" w:type="dxa"/>
        </w:tblCellMar>
      </w:tblPr>
      <w:tblGrid>
        <w:gridCol w:w="1661"/>
        <w:gridCol w:w="1459"/>
        <w:gridCol w:w="1469"/>
        <w:gridCol w:w="243"/>
        <w:gridCol w:w="831"/>
        <w:gridCol w:w="125"/>
        <w:gridCol w:w="109"/>
        <w:gridCol w:w="109"/>
        <w:gridCol w:w="109"/>
        <w:gridCol w:w="255"/>
        <w:gridCol w:w="744"/>
        <w:gridCol w:w="186"/>
      </w:tblGrid>
      <w:tr>
        <w:trPr/>
        <w:tc>
          <w:tcPr>
            <w:tcW w:w="16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interests: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Subject to depletion</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 subject to depletion</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oil and natural gas interests</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depletion</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interests, net</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land</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net of accumulated depletion and impairment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mineral and royalty interests representing approximately 95,846 and 35,671 net royalty acres,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Under the full cost method of accounting, the Company is required to perform a ceiling test each quarter. As a result of its ceiling test, the Company recorded a non-cash ceiling test impairment for the three and nine months ended September 30, 2025, of $360 million. No impairment expense was recorded on the Company’s oil and natural gas interests for the three and nine months ended September 30, 2024, based on the results of the respective quarterly ceiling tests. In addition to commodity prices, the Company’s production rates, levels of proved reserves, transfers of unevaluated properties, income tax rate assumptions and other factors will determine its actual ceiling test limitations and impairment analysis in future periods. </w:t>
      </w:r>
      <w:r>
        <w:rPr>
          <w:rFonts w:ascii="Times New Roman;serif" w:hAnsi="Times New Roman;serif"/>
          <w:b w:val="false"/>
          <w:color w:val="000000"/>
          <w:sz w:val="20"/>
          <w:shd w:fill="FFFFFF" w:val="clear"/>
        </w:rPr>
        <w:t>If the SEC Prices decline as compared to the com</w:t>
      </w:r>
      <w:r>
        <w:rPr>
          <w:rFonts w:ascii="Times New Roman;serif" w:hAnsi="Times New Roman;serif"/>
          <w:b w:val="false"/>
          <w:color w:val="000000"/>
          <w:sz w:val="20"/>
        </w:rPr>
        <w:t>modity prices used in prior quarters, the Company could have material write-downs in subsequent quarters.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 the dates indicated:</w:t>
      </w:r>
    </w:p>
    <w:p>
      <w:pPr>
        <w:pStyle w:val="TextBody"/>
        <w:bidi w:val="0"/>
        <w:spacing w:before="0" w:after="0"/>
        <w:ind w:left="0" w:right="0" w:firstLine="720"/>
        <w:jc w:val="both"/>
        <w:rPr/>
      </w:pPr>
      <w:r>
        <w:rPr/>
      </w:r>
    </w:p>
    <w:tbl>
      <w:tblPr>
        <w:tblW w:w="5470" w:type="dxa"/>
        <w:jc w:val="left"/>
        <w:tblInd w:w="0" w:type="dxa"/>
        <w:tblLayout w:type="fixed"/>
        <w:tblCellMar>
          <w:top w:w="28" w:type="dxa"/>
          <w:left w:w="28" w:type="dxa"/>
          <w:bottom w:w="28" w:type="dxa"/>
          <w:right w:w="28" w:type="dxa"/>
        </w:tblCellMar>
      </w:tblPr>
      <w:tblGrid>
        <w:gridCol w:w="1000"/>
        <w:gridCol w:w="878"/>
        <w:gridCol w:w="881"/>
        <w:gridCol w:w="270"/>
        <w:gridCol w:w="790"/>
        <w:gridCol w:w="139"/>
        <w:gridCol w:w="109"/>
        <w:gridCol w:w="109"/>
        <w:gridCol w:w="109"/>
        <w:gridCol w:w="255"/>
        <w:gridCol w:w="744"/>
        <w:gridCol w:w="186"/>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5.375% Senior Notes due 2027</w:t>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4.900% Senior Notes due 2030</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7.375% Senior Notes due 2031</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5.700% Senior Notes due 2035</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costs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debt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2025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2025, Former Viper, as guarantor, entered into a credit agreement with the Operating Company, as borrower, and Wells Fargo, as the administrative agent (the “2025 Revolving Credit Facility”), which among other things, provides the Operating Company with a senior unsecured revolving credit facility with a commitment of $1.5 billion, a swingline commitment of up to $50 million and a letter of credit commitment of $5 million. The 2025 Revolving Credit Facility has a maturity date of June 12, 2030, with the ability to request three extensions of the maturity date by one year. The 2025 Revolving Credit Facility was previously guaranteed by certain subsidiaries of the Operating Company, and upon completion of the Sitio Acquisition, those subsidiary guarantees were released and New Viper and Former Viper became co-guarantors. The 2025 Revolving Credit Facility replaced the Operating Company’s previous revolving credit facility, dated July 20, 2018, among the Company, the Operating Company and Wells Fargo as amended, restated, amended and restated, supplemented or otherwise modified prior to June 12, 2025. As of September 30, 2025, the Operating Company had $160 million in outstanding borrowings and $1.3 billion available for future borrowings under the 2025 Revolving Credit Facility. The weighted average interest rates on borrowings under the Operating Company’s respective revolving credit facilities were 5.83% and 6.21% for the three and nine months ended September 30, 2025, respectively, and 7.51% and 7.52% for the three and nine months ended September 30, 2024,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2025 Revolving Credit Facility bear interest at a per annum rate elected by the Operating Company that is equal to term SOFR or an alternate base rate (which is equal to the greatest of the prime rate, the federal funds effective rate plus 0.50% and 1-month term SOFR plus 1.0%, subject to a 1.0% floor), in each case plus the applicable margin. The applicable margin ranges from 0.125% to 1.000% per annum in the case of the alternate base rate loans and from 1.125% to 2.000% per annum in the case of term SOFR loans, in each case based on the pricing level. Further, the commitment fee ranges from 0.125% to 0.325% per annum on the average daily unused portion of the commitment, again based on the pricing level. The pricing level depends on the rating of the Company’s long-term senior unsecured debt by certain ratings agencies.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2025 Revolving Credit Facility contains a financial covenant that requires the Company to maintain a Total Net Debt to Capitalization Ratio (as defined in the 2025 Revolving Credit Facility) of no more than 65%. </w:t>
      </w:r>
      <w:r>
        <w:rPr>
          <w:rFonts w:ascii="Times New Roman;serif" w:hAnsi="Times New Roman;serif"/>
          <w:b w:val="false"/>
          <w:color w:val="000000"/>
          <w:sz w:val="20"/>
          <w:shd w:fill="FFFFFF" w:val="clear"/>
        </w:rPr>
        <w:t>As of September 30, 2025, the Operating Comp</w:t>
      </w:r>
      <w:r>
        <w:rPr>
          <w:rFonts w:ascii="Times New Roman;serif" w:hAnsi="Times New Roman;serif"/>
          <w:b w:val="false"/>
          <w:color w:val="000000"/>
          <w:sz w:val="20"/>
        </w:rPr>
        <w:t>any was in compliance with all financial maintenance covenants under the 2025 Revolving Credit Facility.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in connection with the Sitio Acquisition, Former Viper, as guarantor, entered into a term loan credit agreement with the Operating Company, as borrower, and Goldman Sachs Bank USA, as administrative agent (the “Term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provided the Company with the ability to borrow up to $500 million on a senior unsecured basis to fund a portion of the retirement of Sitio’s debt, in connection with the Sitio Acquisition. On the date of closing of the Sitio Acquisition, the Term Loan was fully drawn in a single borrowing. Any then-outstanding amounts will mature and be payable in full on the second anniversary of the initial funding date. In connection with the closing of the Sitio Acquisition, New Viper became a co-guarantor of the Term Loan.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Term Loan bear interest at a per annum rate elected by the Operating Company that is equal to SOFR or an alternate base rate (which is equal to the greatest of the prime rate, the federal funds effective rate plus 0.50% and 1-month term SOFR plus 1.0%, subject to a 1.0% floor), in each case plus the applicable margin. The applicable margin ranges from 0.250% to 1.125% per annum in the case of the alternate base rate loans and from 1.250% to 2.125% per annum in the case of term SOFR loans, in each case based on the pricing level. The pricing level depends on the rating of the Company’s long-term senior unsecured debt by certain ratings agencies. In addition, the fee on undrawn commitments is equal to 0.20% per annum on the aggregate principal amount of such commitments. During the three and nine months ended September 30, 2025, the weighted average interest rate on borrowings under the Term Loan was 5.92%.</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the Operating Company, as borrower, and Former Viper, as guarantor, issued $1.6 billion in aggregate principal amount of the Guaranteed Senior Notes consisting of (i) $500 million aggregate principal amount of 4.900% Senior Notes due August 1, 2030, (the “2030 Notes”), and (ii) $1.1 billion aggregate principal amount of 5.700% Senior Notes due August 1, 2035, (the “2035 Notes”). The Company received net proceeds of approximately $1.58 billion, after underwriters’ discounts and transaction costs. Interest on the Guaranteed Senior Notes is payable semi-annually in February and August of each year, beginning on February 1, 2026. Concurrently, the Company used a portion of the proceeds to redeem or satisfy and discharge, as discussed below, approximately $780 million in aggregate principal amounts of the Company’s outstanding Notes. Following the closing of the Sitio Acquisition, the Company used the remaining proceeds from the issuance of the Guaranteed Senior Notes to (i) retire Sitio’s 7.875% senior notes due 2028, (ii) repay borrowings under Sitio’s revolving credit facility, (iii) pay fees, costs and expenses related to the redemption or repayment of such debt, and (iv) for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Guaranteed Senior Notes (i) are senior unsecured obligations and are fully and unconditionally guaranteed by Former Viper, and, following the closing of the Sitio Acquisition, also by New Viper (ii) are senior in right of payment to any of the Company’s future subordinated indebtedness, and (iii) rank equal in right of payment with all of the Company’s existing and future senior indebtedness. The Guaranteed Senior Notes have been registered under the Securities Act.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Retirement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opportunistically repurchased principal amounts of $50 million of its 5.375% Senior Notes due 2027 (the “2027 Notes”) in open market transactions for total cash consideration of $50 million, at an average of 99.7% of par value, resulting in an immaterial gain on extinguishment of debt for the nine months ended September 30, 2025.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2025, using proceeds from the issuance of the Guaranteed Senior Notes, the Company (i) redeemed all of its outstanding 7.375% Senior Notes due 2031 (the “2031 Notes”) for total cash consideration of approximately $434 million including the applicable redemption premium of 106.767% of par and accrued and unpaid interest up to, but not including, the redemption date, and (ii) issued and delivered a notice of redemption to redeem all of its outstanding 2027 Notes on November 1, 2025, for total cash consideration, including payment of interest due to, but not including, the redemption date at a redemption price equal to 100% of the principal amount of the 2027 Notes. The redemption of the 2031 Notes resulted in a loss on extinguishment of debt of $32 million. Concurrent with the notice of redemption for the 2027 Notes, the Company irrevocably deposited with Computershare Trust Company, National Association, the trustee under the indenture governing the 2027 Notes, approximately $390 million, the redemption amount of the 2027 Notes, which is reflected in the caption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Restricted cash” on the condensed consolidated balance sheet as of September 30, 2025. The indenture governing the 2027 Notes was satisfied and discharged at that time in accordance with its terms and ceased to be of further effect as to the 2027 Notes issued thereunder, except those provisions of the indenture that, by their terms, survived the satisfaction and discharge. The satisfaction and discharge of the 2027 Notes did not represent a legal defeasance or release, and as such, the 2027 Notes were reflected as a short-term obligation until subsequently redeemed on November 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STOCKHOLDERS’ EQUITY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30, 2025, the Company had a total of 169,261,023 shares of Class A Common Stock issued and outstanding and 191,078,341 shares of Class B Common Stock issued and outstanding. At September 30, 2025, Diamondback beneficially owned 155,058,093 shares of the Company’s Class B Common Stock, representing approximately 43.0% of the Company’s total shares outstanding, approximately 33,619,951 shares of the Company’s Class B Common Stock are beneficially owned by Sitio OpCo’s former equity holders, representing approximately 9.3% of the Company’s total shares outstanding and the Morita Ranches Equity Recipients beneficially owned 2,400,297 shares of the Company’s Class B Common Stock, representing approximately 0.7% of the Company’s total shares outstanding. In addition, at September 30, 2025, TWR IV held the TWR Class B Option to purchase up to 10,093,670 shares of the Company’s Class B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also beneficially owned 155,058,093 OpCo Units, representing a 41.9% non-controlling ownership interest in the Operating Company, Sitio OpCo’s former equity holders beneficially owned 33,619,951 OpCo Units, representing a 9.1% non-controlling ownership interest in the Operating Company, TWR IV beneficially owned 10,093,670 OpCo Units, representing a 2.7% non-controlling ownership interest in the Operating Company, the Morita Ranches Equity Recipients beneficially owned 2,400,297 OpCo Units, representing a 0.6% non-controlling ownership interest in the Operating Company and the Company owned 169,261,023 OpCo Units, representing a 45.7% controlling ownership interest in the Operating Company as the managing member of the Operating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OpCo Units and the Company’s Class B Common Stock are exchangeable from time to</w:t>
      </w:r>
      <w:r>
        <w:rPr>
          <w:color w:val="000000"/>
          <w:shd w:fill="FFFFFF" w:val="clear"/>
        </w:rPr>
        <w:t xml:space="preserve"> </w:t>
      </w:r>
      <w:r>
        <w:rPr>
          <w:rFonts w:ascii="Times New Roman;serif" w:hAnsi="Times New Roman;serif"/>
          <w:b w:val="false"/>
          <w:color w:val="000000"/>
          <w:sz w:val="20"/>
          <w:shd w:fill="FFFFFF" w:val="clear"/>
        </w:rPr>
        <w:t xml:space="preserve">time for the </w:t>
      </w:r>
      <w:r>
        <w:rPr>
          <w:rFonts w:ascii="Times New Roman;serif" w:hAnsi="Times New Roman;serif"/>
          <w:b w:val="false"/>
          <w:color w:val="000000"/>
          <w:sz w:val="20"/>
        </w:rPr>
        <w:t>Company</w:t>
      </w:r>
      <w:r>
        <w:rPr>
          <w:color w:val="000000"/>
          <w:shd w:fill="FFFFFF" w:val="clear"/>
        </w:rPr>
        <w:t>’</w:t>
      </w:r>
      <w:r>
        <w:rPr>
          <w:rFonts w:ascii="Times New Roman;serif" w:hAnsi="Times New Roman;serif"/>
          <w:b w:val="false"/>
          <w:color w:val="000000"/>
          <w:sz w:val="20"/>
          <w:shd w:fill="FFFFFF" w:val="clear"/>
        </w:rPr>
        <w:t xml:space="preserve">s Class A Common Stock (that is, one OpCo Unit and one share of the </w:t>
      </w:r>
      <w:r>
        <w:rPr>
          <w:rFonts w:ascii="Times New Roman;serif" w:hAnsi="Times New Roman;serif"/>
          <w:b w:val="false"/>
          <w:color w:val="000000"/>
          <w:sz w:val="20"/>
        </w:rPr>
        <w:t>Company’s</w:t>
      </w:r>
      <w:r>
        <w:rPr>
          <w:color w:val="000000"/>
          <w:shd w:fill="FFFFFF" w:val="clear"/>
        </w:rPr>
        <w:t xml:space="preserve"> </w:t>
      </w:r>
      <w:r>
        <w:rPr>
          <w:rFonts w:ascii="Times New Roman;serif" w:hAnsi="Times New Roman;serif"/>
          <w:b w:val="false"/>
          <w:color w:val="000000"/>
          <w:sz w:val="20"/>
          <w:shd w:fill="FFFFFF" w:val="clear"/>
        </w:rPr>
        <w:t xml:space="preserve">Class B Common Stock, together, are exchangeable for one share of the </w:t>
      </w:r>
      <w:r>
        <w:rPr>
          <w:rFonts w:ascii="Times New Roman;serif" w:hAnsi="Times New Roman;serif"/>
          <w:b w:val="false"/>
          <w:color w:val="000000"/>
          <w:sz w:val="20"/>
        </w:rPr>
        <w:t>Company’s</w:t>
      </w:r>
      <w:r>
        <w:rPr>
          <w:color w:val="000000"/>
          <w:shd w:fill="FFFFFF" w:val="clear"/>
        </w:rPr>
        <w:t xml:space="preserve"> </w:t>
      </w:r>
      <w:r>
        <w:rPr>
          <w:rFonts w:ascii="Times New Roman;serif" w:hAnsi="Times New Roman;serif"/>
          <w:b w:val="false"/>
          <w:color w:val="000000"/>
          <w:sz w:val="20"/>
          <w:shd w:fill="FFFFFF" w:val="clear"/>
        </w:rPr>
        <w:t xml:space="preserve">Class A Common Stock). </w:t>
      </w:r>
      <w:r>
        <w:rPr>
          <w:rFonts w:ascii="Times New Roman;serif" w:hAnsi="Times New Roman;serif"/>
          <w:b w:val="false"/>
          <w:color w:val="000000"/>
          <w:sz w:val="20"/>
        </w:rPr>
        <w:t>TWR IV can exchange some or all of its OpCo Units for an equal number of shares of the Company’s Class A Common Stock and any OpCo Units so exchanged will reduce the number of shares of Class B Common Stock subject to the TWR Class B Option. From time to time, we may also elect to purchase shares of Class B Common Stock and OpCo Units to the extent they become available in connection with holders’ requests for exchanges into shares of 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2025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February 3, 2025, the Company completed an underwritten public offering of 28,336,000 shares of Class A Common Stock, which included 3,696,000 shares issued pursuant to an option to purchase additional shares of Class A Common Stock granted to the underwriters, at a price to the public of $44.50 per share for total net proceeds of approximately $1.2 billion, after the underwriters’ discount and transaction costs (the “2025 Equity Offering”). </w:t>
      </w:r>
      <w:r>
        <w:rPr>
          <w:rFonts w:ascii="Times New Roman;serif" w:hAnsi="Times New Roman;serif"/>
          <w:b w:val="false"/>
          <w:color w:val="000000"/>
          <w:sz w:val="20"/>
          <w:shd w:fill="FFFFFF" w:val="clear"/>
        </w:rPr>
        <w:t xml:space="preserve">The Company used the net proceeds from the </w:t>
      </w:r>
      <w:r>
        <w:rPr>
          <w:rFonts w:ascii="Times New Roman;serif" w:hAnsi="Times New Roman;serif"/>
          <w:b w:val="false"/>
          <w:color w:val="000000"/>
          <w:sz w:val="20"/>
        </w:rPr>
        <w:t>2025 Equity Offering</w:t>
      </w:r>
      <w:r>
        <w:rPr>
          <w:color w:val="000000"/>
          <w:shd w:fill="FFFFFF" w:val="clear"/>
        </w:rPr>
        <w:t xml:space="preserve"> </w:t>
      </w:r>
      <w:r>
        <w:rPr>
          <w:rFonts w:ascii="Times New Roman;serif" w:hAnsi="Times New Roman;serif"/>
          <w:b w:val="false"/>
          <w:color w:val="000000"/>
          <w:sz w:val="20"/>
          <w:shd w:fill="FFFFFF" w:val="clear"/>
        </w:rPr>
        <w:t xml:space="preserve">to fund (i) the cash consideration for the </w:t>
      </w:r>
      <w:r>
        <w:rPr>
          <w:rFonts w:ascii="Times New Roman;serif" w:hAnsi="Times New Roman;serif"/>
          <w:b w:val="false"/>
          <w:color w:val="000000"/>
          <w:sz w:val="20"/>
        </w:rPr>
        <w:t>Morita Ranches Acquisition, (ii) a portion of the cash consideration for the</w:t>
      </w:r>
      <w:r>
        <w:rPr>
          <w:color w:val="000000"/>
          <w:shd w:fill="FFFFFF" w:val="clear"/>
        </w:rPr>
        <w:t xml:space="preserve"> </w:t>
      </w:r>
      <w:r>
        <w:rPr>
          <w:rFonts w:ascii="Times New Roman;serif" w:hAnsi="Times New Roman;serif"/>
          <w:b w:val="false"/>
          <w:color w:val="000000"/>
          <w:sz w:val="20"/>
        </w:rPr>
        <w:t>2025 Drop Down</w:t>
      </w:r>
      <w:r>
        <w:rPr>
          <w:rFonts w:ascii="Times New Roman;serif" w:hAnsi="Times New Roman;serif"/>
          <w:b w:val="false"/>
          <w:color w:val="000000"/>
          <w:sz w:val="20"/>
          <w:shd w:fill="FFFFFF" w:val="clear"/>
        </w:rPr>
        <w:t>, and (iii) for general corporate purposes.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2024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On September 13, 2024, the Company completed an underwritten public offering of </w:t>
      </w:r>
      <w:r>
        <w:rPr>
          <w:rFonts w:ascii="Times New Roman;serif" w:hAnsi="Times New Roman;serif"/>
          <w:b w:val="false"/>
          <w:color w:val="000000"/>
          <w:sz w:val="20"/>
        </w:rPr>
        <w:t>11,500,000</w:t>
      </w:r>
      <w:r>
        <w:rPr>
          <w:color w:val="000000"/>
          <w:shd w:fill="FFFFFF" w:val="clear"/>
        </w:rPr>
        <w:t xml:space="preserve"> </w:t>
      </w:r>
      <w:r>
        <w:rPr>
          <w:rFonts w:ascii="Times New Roman;serif" w:hAnsi="Times New Roman;serif"/>
          <w:b w:val="false"/>
          <w:color w:val="000000"/>
          <w:sz w:val="20"/>
          <w:shd w:fill="FFFFFF" w:val="clear"/>
        </w:rPr>
        <w:t xml:space="preserve">shares of Class A Common Stock, which included </w:t>
      </w:r>
      <w:r>
        <w:rPr>
          <w:rFonts w:ascii="Times New Roman;serif" w:hAnsi="Times New Roman;serif"/>
          <w:b w:val="false"/>
          <w:color w:val="000000"/>
          <w:sz w:val="20"/>
        </w:rPr>
        <w:t>1,500,000</w:t>
      </w:r>
      <w:r>
        <w:rPr>
          <w:color w:val="000000"/>
          <w:shd w:fill="FFFFFF" w:val="clear"/>
        </w:rPr>
        <w:t xml:space="preserve"> </w:t>
      </w:r>
      <w:r>
        <w:rPr>
          <w:rFonts w:ascii="Times New Roman;serif" w:hAnsi="Times New Roman;serif"/>
          <w:b w:val="false"/>
          <w:color w:val="000000"/>
          <w:sz w:val="20"/>
          <w:shd w:fill="FFFFFF" w:val="clear"/>
        </w:rPr>
        <w:t>shares issued pursuant to an option to purchase additional shares of Class A Common Stock granted to the under</w:t>
      </w:r>
      <w:r>
        <w:rPr>
          <w:rFonts w:ascii="Times New Roman;serif" w:hAnsi="Times New Roman;serif"/>
          <w:b w:val="false"/>
          <w:color w:val="000000"/>
          <w:sz w:val="20"/>
        </w:rPr>
        <w:t>writers, at a price to the public of $42.50 per share fo</w:t>
      </w:r>
      <w:r>
        <w:rPr>
          <w:rFonts w:ascii="Times New Roman;serif" w:hAnsi="Times New Roman;serif"/>
          <w:b w:val="false"/>
          <w:color w:val="000000"/>
          <w:sz w:val="20"/>
          <w:shd w:fill="FFFFFF" w:val="clear"/>
        </w:rPr>
        <w:t xml:space="preserve">r total net proceeds of approximately </w:t>
      </w:r>
      <w:r>
        <w:rPr>
          <w:rFonts w:ascii="Times New Roman;serif" w:hAnsi="Times New Roman;serif"/>
          <w:b w:val="false"/>
          <w:color w:val="000000"/>
          <w:sz w:val="20"/>
        </w:rPr>
        <w:t>$476 million</w:t>
      </w:r>
      <w:r>
        <w:rPr>
          <w:rFonts w:ascii="Times New Roman;serif" w:hAnsi="Times New Roman;serif"/>
          <w:b w:val="false"/>
          <w:color w:val="000000"/>
          <w:sz w:val="20"/>
          <w:shd w:fill="FFFFFF" w:val="clear"/>
        </w:rPr>
        <w:t xml:space="preserve">, after the underwriters’ discount and transaction costs (the “2024 Equity Offering”). The net proceeds were used to fund a portion of the cash consideration for </w:t>
      </w:r>
      <w:r>
        <w:rPr>
          <w:rFonts w:ascii="Times New Roman;serif" w:hAnsi="Times New Roman;serif"/>
          <w:b w:val="false"/>
          <w:color w:val="000000"/>
          <w:sz w:val="20"/>
        </w:rPr>
        <w:t>the TWR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Common Stock 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The Company’s board of directors has authorized a </w:t>
      </w:r>
      <w:r>
        <w:rPr>
          <w:rFonts w:ascii="Times New Roman;serif" w:hAnsi="Times New Roman;serif"/>
          <w:b w:val="false"/>
          <w:color w:val="000000"/>
          <w:sz w:val="20"/>
        </w:rPr>
        <w:t>$750 million</w:t>
      </w:r>
      <w:r>
        <w:rPr>
          <w:color w:val="000000"/>
          <w:shd w:fill="FFFFFF" w:val="clear"/>
        </w:rPr>
        <w:t xml:space="preserve"> </w:t>
      </w:r>
      <w:r>
        <w:rPr>
          <w:rFonts w:ascii="Times New Roman;serif" w:hAnsi="Times New Roman;serif"/>
          <w:b w:val="false"/>
          <w:color w:val="000000"/>
          <w:sz w:val="20"/>
        </w:rPr>
        <w:t>common stock r</w:t>
      </w:r>
      <w:r>
        <w:rPr>
          <w:rFonts w:ascii="Times New Roman;serif" w:hAnsi="Times New Roman;serif"/>
          <w:b w:val="false"/>
          <w:color w:val="000000"/>
          <w:sz w:val="20"/>
          <w:shd w:fill="FFFFFF" w:val="clear"/>
        </w:rPr>
        <w:t xml:space="preserve">epurchase program, with respect to the repurchase of the Company’s Class A Common Stock, excluding excise tax, over an indefinite period of time. </w:t>
      </w:r>
      <w:r>
        <w:rPr>
          <w:rFonts w:ascii="Times New Roman;serif" w:hAnsi="Times New Roman;serif"/>
          <w:b w:val="false"/>
          <w:color w:val="000000"/>
          <w:sz w:val="20"/>
        </w:rPr>
        <w:t>The Company has purchased and intends to continue to purchase shares of Class A Common Stock un</w:t>
      </w:r>
      <w:r>
        <w:rPr>
          <w:rFonts w:ascii="Times New Roman;serif" w:hAnsi="Times New Roman;serif"/>
          <w:b w:val="false"/>
          <w:color w:val="000000"/>
          <w:sz w:val="20"/>
          <w:shd w:fill="FFFFFF" w:val="clear"/>
        </w:rPr>
        <w:t>der the repurchase program opportunistically with funds from cash on hand, free cash flow from operatio</w:t>
      </w:r>
      <w:r>
        <w:rPr>
          <w:rFonts w:ascii="Times New Roman;serif" w:hAnsi="Times New Roman;serif"/>
          <w:b w:val="false"/>
          <w:color w:val="000000"/>
          <w:sz w:val="20"/>
        </w:rPr>
        <w:t>ns and potential l</w:t>
      </w:r>
      <w:r>
        <w:rPr>
          <w:rFonts w:ascii="Times New Roman;serif" w:hAnsi="Times New Roman;serif"/>
          <w:b w:val="false"/>
          <w:color w:val="000000"/>
          <w:sz w:val="20"/>
          <w:shd w:fill="FFFFFF" w:val="clear"/>
        </w:rPr>
        <w:t xml:space="preserve">iquidity events such as the sale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pPr>
      <w:r>
        <w:rPr>
          <w:rFonts w:ascii="Times New Roman;serif" w:hAnsi="Times New Roman;serif"/>
          <w:b w:val="false"/>
          <w:color w:val="000000"/>
          <w:sz w:val="20"/>
          <w:shd w:fill="FFFFFF" w:val="clear"/>
        </w:rPr>
        <w:t>assets. This repurchase program may be suspended from time to time, modified, extended or discontinued by the Company’s board of directors</w:t>
      </w:r>
      <w:r>
        <w:rPr>
          <w:color w:val="000000"/>
        </w:rPr>
        <w:t xml:space="preserve"> </w:t>
      </w:r>
      <w:r>
        <w:rPr>
          <w:rFonts w:ascii="Times New Roman;serif" w:hAnsi="Times New Roman;serif"/>
          <w:b w:val="false"/>
          <w:color w:val="000000"/>
          <w:sz w:val="20"/>
        </w:rPr>
        <w:t>at any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repurchased approximately $90 million and $100 million of its Class A Common Stock under the repurchase program, respectively, excluding excise tax. There were no repurchases of Class A Common stock during the three and nine months ended September 30, 2024. As of September 30, 2025, approximately $334 million remained available under the repurchase program, excluding excise tax.</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Dividends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of directors of the Company has established a dividend policy, whereby the Operating Company distributes all or a portion of its available cash on a quarterly basis to its unitholders (including Diamondback, the Company, Sitio’s former equity holders, TWR IV and the Morita Ranches Equity Recipients). Viper in turn distributes all or a portion of the available cash it receives from the Operating Company to holders of its Class A Common Stock through base and variable dividends that take into account capital returned to stockholders via its stock repurchase program. Viper’s available cash and the available cash of the Operating Company for each quarter is determined by the board of directors following the end of such quarter.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cash available for distribution by the Operating Company, a non-GAAP measure, generally equals the Company’s consolidated Adjusted EBITDA for the applicable quarter, less cash needed for income taxes payable, debt service, contractual obligations, fixed charges and reserves for future operating or capital needs that the board of directors of the Company deems necessary or appropriate, lease bonus income (net of applicable taxes), distribution equivalent rights payments, preferred dividends and an adjustment for changes in ownership interests that occurred subsequent to the quarter, if any. For a detailed description of the Company’s and the Operating Company’s dividend policy, see </w:t>
      </w:r>
      <w:r>
        <w:fldChar w:fldCharType="begin"/>
      </w:r>
      <w:r>
        <w:rPr>
          <w:rStyle w:val="InternetLink"/>
          <w:sz w:val="20"/>
          <w:u w:val="single"/>
          <w:b w:val="false"/>
          <w:rFonts w:ascii="Times New Roman;serif" w:hAnsi="Times New Roman;serif"/>
          <w:color w:val="0000FF"/>
        </w:rPr>
        <w:instrText xml:space="preserve"> HYPERLINK "https://www.sec.gov/ix?doc=/Archives/edgar/data/1602065/000160206525000010/vnom-20241231.htm" \l "ib14eb29379da49d391d7c1866e807b85_136"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Note 7—Stockholders’ Equity—Cash Dividends in the Company’s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percentage of cash available for di</w:t>
      </w:r>
      <w:r>
        <w:rPr>
          <w:rFonts w:ascii="Times New Roman;serif" w:hAnsi="Times New Roman;serif"/>
          <w:b w:val="false"/>
          <w:color w:val="000000"/>
          <w:sz w:val="20"/>
        </w:rPr>
        <w:t>stribution by the Operating Company pursuant to its distribution policy may change quarterly to enable the Operating Company to retain cash flow to help strengthen the Company’s balance sheet while also expanding the return of capital program through Viper’s stock repurchase program. Viper i</w:t>
      </w:r>
      <w:r>
        <w:rPr>
          <w:rFonts w:ascii="Times New Roman;serif" w:hAnsi="Times New Roman;serif"/>
          <w:b w:val="false"/>
          <w:color w:val="000000"/>
          <w:sz w:val="20"/>
          <w:shd w:fill="FFFFFF" w:val="clear"/>
        </w:rPr>
        <w:t>s not required to pay dividends to its Class A Common stockholders on a quarterly or other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cash dividends paid during the periods presented (in millions except per share amounts):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20"/>
        <w:gridCol w:w="193"/>
        <w:gridCol w:w="195"/>
        <w:gridCol w:w="109"/>
        <w:gridCol w:w="109"/>
        <w:gridCol w:w="109"/>
        <w:gridCol w:w="211"/>
        <w:gridCol w:w="503"/>
        <w:gridCol w:w="117"/>
        <w:gridCol w:w="109"/>
        <w:gridCol w:w="109"/>
        <w:gridCol w:w="109"/>
        <w:gridCol w:w="406"/>
        <w:gridCol w:w="873"/>
        <w:gridCol w:w="227"/>
        <w:gridCol w:w="109"/>
        <w:gridCol w:w="109"/>
        <w:gridCol w:w="109"/>
        <w:gridCol w:w="225"/>
        <w:gridCol w:w="536"/>
        <w:gridCol w:w="125"/>
        <w:gridCol w:w="109"/>
        <w:gridCol w:w="109"/>
        <w:gridCol w:w="109"/>
        <w:gridCol w:w="353"/>
        <w:gridCol w:w="596"/>
        <w:gridCol w:w="198"/>
        <w:gridCol w:w="109"/>
        <w:gridCol w:w="109"/>
        <w:gridCol w:w="109"/>
        <w:gridCol w:w="329"/>
        <w:gridCol w:w="329"/>
        <w:gridCol w:w="330"/>
        <w:gridCol w:w="109"/>
        <w:gridCol w:w="109"/>
        <w:gridCol w:w="109"/>
        <w:gridCol w:w="369"/>
        <w:gridCol w:w="369"/>
        <w:gridCol w:w="370"/>
        <w:gridCol w:w="109"/>
        <w:gridCol w:w="109"/>
        <w:gridCol w:w="109"/>
        <w:gridCol w:w="242"/>
        <w:gridCol w:w="242"/>
        <w:gridCol w:w="358"/>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919" w:type="dxa"/>
            <w:gridSpan w:val="18"/>
            <w:tcBorders/>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per OpCo Unit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Operating Company Distributions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 per Class A Common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Class A Common Stockholders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Payment Date</w:t>
            </w:r>
          </w:p>
        </w:tc>
      </w:tr>
      <w:tr>
        <w:trPr/>
        <w:tc>
          <w:tcPr>
            <w:tcW w:w="10205" w:type="dxa"/>
            <w:gridSpan w:val="4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2025</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March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March 13, 2025</w:t>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22, 2025</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21, 2025</w:t>
            </w:r>
          </w:p>
        </w:tc>
      </w:tr>
      <w:tr>
        <w:trPr/>
        <w:tc>
          <w:tcPr>
            <w:tcW w:w="10205" w:type="dxa"/>
            <w:gridSpan w:val="45"/>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2024</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March 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March 12, 2024</w:t>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April 25,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22, 2024</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22, 2024</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Dividends paid in the first quarter of 2024 include amounts paid to Diamondback for the 7,946,507 shares of Class A Common Stock then beneficially owned by Diamondback and distribution equivalent rights payments. As of March 31, 2024, Diamondback did not beneficially own any shares of Class A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dividends will be made to the holders of record of the Company’s Class A Common Stock on the applicable record date, generally within 60 days after the end of each quarter.</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 in Ownership of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Non-controlling interest in the accompanying condensed consolidated financial statements represents the ownership interests of Diamondback, </w:t>
      </w:r>
      <w:r>
        <w:rPr>
          <w:rFonts w:ascii="Times New Roman;serif" w:hAnsi="Times New Roman;serif"/>
          <w:b w:val="false"/>
          <w:color w:val="000000"/>
          <w:sz w:val="20"/>
        </w:rPr>
        <w:t>Sitio’s former equity holders,</w:t>
      </w:r>
      <w:r>
        <w:rPr>
          <w:color w:val="000000"/>
          <w:shd w:fill="FFFFFF" w:val="clear"/>
        </w:rPr>
        <w:t xml:space="preserve"> </w:t>
      </w:r>
      <w:r>
        <w:rPr>
          <w:rFonts w:ascii="Times New Roman;serif" w:hAnsi="Times New Roman;serif"/>
          <w:b w:val="false"/>
          <w:color w:val="000000"/>
          <w:sz w:val="20"/>
        </w:rPr>
        <w:t>TWR IV and the Morita Ranches Equity Recipients</w:t>
      </w:r>
      <w:r>
        <w:rPr>
          <w:color w:val="000000"/>
          <w:shd w:fill="FFFFFF" w:val="clear"/>
        </w:rPr>
        <w:t xml:space="preserve"> </w:t>
      </w:r>
      <w:r>
        <w:rPr>
          <w:rFonts w:ascii="Times New Roman;serif" w:hAnsi="Times New Roman;serif"/>
          <w:b w:val="false"/>
          <w:color w:val="000000"/>
          <w:sz w:val="20"/>
          <w:shd w:fill="FFFFFF" w:val="clear"/>
        </w:rPr>
        <w:t xml:space="preserve">in the net assets of the Operating Company. The non-controlling interests’ relative ownership in the Operating Company can change due to the purchase or sale of the Company’s Common Stock, the </w:t>
      </w:r>
      <w:r>
        <w:rPr>
          <w:rFonts w:ascii="Times New Roman;serif" w:hAnsi="Times New Roman;serif"/>
          <w:b w:val="false"/>
          <w:color w:val="000000"/>
          <w:sz w:val="20"/>
        </w:rPr>
        <w:t>Company</w:t>
      </w:r>
      <w:r>
        <w:rPr>
          <w:color w:val="000000"/>
          <w:shd w:fill="FFFFFF" w:val="clear"/>
        </w:rPr>
        <w:t>’</w:t>
      </w:r>
      <w:r>
        <w:rPr>
          <w:rFonts w:ascii="Times New Roman;serif" w:hAnsi="Times New Roman;serif"/>
          <w:b w:val="false"/>
          <w:color w:val="000000"/>
          <w:sz w:val="20"/>
          <w:shd w:fill="FFFFFF" w:val="clear"/>
        </w:rPr>
        <w:t xml:space="preserve">s public offerings of shares of Class A Common Stock for which proceeds are contributed to the Operating Company in exchange for OpCo Units, issuance of shares of Class A Common Stock or issuance of shares of Class B Common Stock and OpCo Units for acquisitions, share-based compensation, repurchases of shares of Class A Common Stock and distribution equivalent rights paid on the </w:t>
      </w:r>
      <w:r>
        <w:rPr>
          <w:rFonts w:ascii="Times New Roman;serif" w:hAnsi="Times New Roman;serif"/>
          <w:b w:val="false"/>
          <w:color w:val="000000"/>
          <w:sz w:val="20"/>
        </w:rPr>
        <w:t>Company</w:t>
      </w:r>
      <w:r>
        <w:rPr>
          <w:color w:val="000000"/>
          <w:shd w:fill="FFFFFF" w:val="clear"/>
        </w:rPr>
        <w:t>’</w:t>
      </w:r>
      <w:r>
        <w:rPr>
          <w:rFonts w:ascii="Times New Roman;serif" w:hAnsi="Times New Roman;serif"/>
          <w:b w:val="false"/>
          <w:color w:val="000000"/>
          <w:sz w:val="20"/>
          <w:shd w:fill="FFFFFF" w:val="clear"/>
        </w:rPr>
        <w:t>s Class A Common Stock. These changes in ownership percentage</w:t>
      </w:r>
      <w:r>
        <w:rPr>
          <w:color w:val="000000"/>
        </w:rPr>
        <w:t xml:space="preserve"> </w:t>
      </w:r>
      <w:r>
        <w:rPr>
          <w:rFonts w:ascii="Times New Roman;serif" w:hAnsi="Times New Roman;serif"/>
          <w:b w:val="false"/>
          <w:color w:val="000000"/>
          <w:sz w:val="20"/>
          <w:shd w:fill="FFFFFF" w:val="clear"/>
        </w:rPr>
        <w:t>result in adjustments to non-controlling interest and stockholders’ equity, tax effected, but do not impact earnings.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changes in stockholders’ equity due to changes in ownership interest during the period: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39"/>
        <w:gridCol w:w="1551"/>
        <w:gridCol w:w="1561"/>
        <w:gridCol w:w="250"/>
        <w:gridCol w:w="610"/>
        <w:gridCol w:w="129"/>
        <w:gridCol w:w="129"/>
        <w:gridCol w:w="129"/>
        <w:gridCol w:w="129"/>
        <w:gridCol w:w="250"/>
        <w:gridCol w:w="610"/>
        <w:gridCol w:w="129"/>
        <w:gridCol w:w="109"/>
        <w:gridCol w:w="109"/>
        <w:gridCol w:w="109"/>
        <w:gridCol w:w="255"/>
        <w:gridCol w:w="565"/>
        <w:gridCol w:w="131"/>
        <w:gridCol w:w="131"/>
        <w:gridCol w:w="131"/>
        <w:gridCol w:w="131"/>
        <w:gridCol w:w="255"/>
        <w:gridCol w:w="565"/>
        <w:gridCol w:w="198"/>
      </w:tblGrid>
      <w:tr>
        <w:trPr/>
        <w:tc>
          <w:tcPr>
            <w:tcW w:w="203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the Company</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ownership of consolidated subsidiaries </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from net income (loss) attributable to the Company’s stockholders and transfers with non-controlling interest</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EARNINGS PER COMMON SHARE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income (loss) per common share on the condensed consolidated statements of operations is based on the net income (loss) attributable to the Company’s Class A Common Stock for the three and nine months ended September 30, 2025, and 2024,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and diluted earnings per common share are calculated using the two-class method. The two-class method is an earnings allocation proportional to the respective ownership among holders of Class A Common Stock and participating securities. Basic net income (loss) per common share is calculated by dividing net income (loss) by the weighted-average shares of Class A Common Stock outstanding during the period. Diluted net income (loss) per common share gives effect, when applicable, to unvested restricted stock units and performance restricted stock units granted under the LTIP.</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reconciliation of the components of basic and diluted earnings per common share is presented in the table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819"/>
        <w:gridCol w:w="1434"/>
        <w:gridCol w:w="1447"/>
        <w:gridCol w:w="296"/>
        <w:gridCol w:w="713"/>
        <w:gridCol w:w="136"/>
        <w:gridCol w:w="136"/>
        <w:gridCol w:w="136"/>
        <w:gridCol w:w="136"/>
        <w:gridCol w:w="264"/>
        <w:gridCol w:w="639"/>
        <w:gridCol w:w="136"/>
        <w:gridCol w:w="109"/>
        <w:gridCol w:w="109"/>
        <w:gridCol w:w="109"/>
        <w:gridCol w:w="295"/>
        <w:gridCol w:w="647"/>
        <w:gridCol w:w="136"/>
        <w:gridCol w:w="136"/>
        <w:gridCol w:w="136"/>
        <w:gridCol w:w="136"/>
        <w:gridCol w:w="263"/>
        <w:gridCol w:w="639"/>
        <w:gridCol w:w="198"/>
      </w:tblGrid>
      <w:tr>
        <w:trPr/>
        <w:tc>
          <w:tcPr>
            <w:tcW w:w="181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4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the period</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distributed and undistributed earnings allocated to participating securities</w:t>
            </w:r>
            <w:r>
              <w:rPr>
                <w:rFonts w:ascii="Times New Roman;serif" w:hAnsi="Times New Roman;serif"/>
                <w:b w:val="false"/>
                <w:color w:val="000000"/>
                <w:sz w:val="13"/>
              </w:rPr>
              <w:t>(1)</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133,741 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90,895 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Potential common shares issuable</w:t>
            </w:r>
            <w:r>
              <w:rPr>
                <w:rFonts w:ascii="Times New Roman;serif" w:hAnsi="Times New Roman;serif"/>
                <w:b w:val="false"/>
                <w:color w:val="000000"/>
                <w:sz w:val="13"/>
              </w:rPr>
              <w:t>(2)</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148,931 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93,747 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133,868 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90,989 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9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diluted</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Unvested restricted stock units and performance restricted stock units that contain non-forfeitable distribution equivalent rights are considered participating securities and are therefore included in the earnings per share calculation pursuant to the two-class method.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For the three and nine months ended September 30, 2025, and 2024, there were no other significant potential common shares excluded from the computation of diluted earnings per common share.</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Company’s provision for (benefit from) income taxes and the effective income tax rate for the dates indicated:</w:t>
      </w:r>
    </w:p>
    <w:p>
      <w:pPr>
        <w:pStyle w:val="TextBody"/>
        <w:bidi w:val="0"/>
        <w:spacing w:before="0" w:after="0"/>
        <w:ind w:left="0" w:right="0" w:firstLine="720"/>
        <w:jc w:val="both"/>
        <w:rPr/>
      </w:pPr>
      <w:r>
        <w:rPr/>
      </w:r>
    </w:p>
    <w:tbl>
      <w:tblPr>
        <w:tblW w:w="9501" w:type="dxa"/>
        <w:jc w:val="left"/>
        <w:tblInd w:w="0" w:type="dxa"/>
        <w:tblLayout w:type="fixed"/>
        <w:tblCellMar>
          <w:top w:w="28" w:type="dxa"/>
          <w:left w:w="28" w:type="dxa"/>
          <w:bottom w:w="28" w:type="dxa"/>
          <w:right w:w="28" w:type="dxa"/>
        </w:tblCellMar>
      </w:tblPr>
      <w:tblGrid>
        <w:gridCol w:w="1243"/>
        <w:gridCol w:w="1094"/>
        <w:gridCol w:w="1098"/>
        <w:gridCol w:w="292"/>
        <w:gridCol w:w="604"/>
        <w:gridCol w:w="375"/>
        <w:gridCol w:w="151"/>
        <w:gridCol w:w="151"/>
        <w:gridCol w:w="151"/>
        <w:gridCol w:w="292"/>
        <w:gridCol w:w="500"/>
        <w:gridCol w:w="375"/>
        <w:gridCol w:w="109"/>
        <w:gridCol w:w="109"/>
        <w:gridCol w:w="109"/>
        <w:gridCol w:w="308"/>
        <w:gridCol w:w="373"/>
        <w:gridCol w:w="395"/>
        <w:gridCol w:w="159"/>
        <w:gridCol w:w="159"/>
        <w:gridCol w:w="159"/>
        <w:gridCol w:w="308"/>
        <w:gridCol w:w="526"/>
        <w:gridCol w:w="461"/>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for tax rate)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rates for the three and nine months ended September 30, 2025, and 2024, differed from the amounts computed by applying the United States federal statutory tax rate to pre-tax income for the periods primarily due to net income attributable to the non-controlling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Sitio Acquisition, the Company acquired prepaid income tax balances of approximately $14 million and deferred tax assets of $5 million related to loss carryforwards. The Company also recognized a deferred tax liability of approximately $122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2024, Diamondback converted 5,278,493 shares of the Company’s Class B Common Stock along with 5,278,493 OpCo Units into an equivalent number of shares of the Company’s Class A Common Stock. In connection with this transaction, the Company recognized a $28 million increase in its deferred tax asset and an $11 million increase in its valuation allowance through additional paid-in capital.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2024, the Company maintained a partial valuation allowance against its deferred tax assets considered not more likely than not to be realized, based on its assessment of all available evidence, both positive and negative as required by applicable accounting standards. The remaining valuation allowance was released in full during the fourth quarter of 2024.</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H.R. 1, commonly known as the One Big Beautiful Bill Act (the “Act”), was enacted. The Act included multiple provisions applicable to U.S. income taxes for businesses, including immediate expensing of research or experimental expenses, bonus depreciation for qualified tangible property, deductible intangible drilling costs for purposes of the corporate “book” minimum tax and enhancements to limits on business interest expense deductions. The Company accounted for the Act in the period of enactment and concluded there was not a material impact to the Company’s current or deferred income tax balances.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DERIVATIVES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historically has used fixed price swap contracts, fixed price basis swap contracts and costless collars with corresponding put and call options to reduce price volatility associated with certain of its royalty income. At September 30, 2025, the Company has puts, costless collars and fixed price basis swaps outstanding.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derivative contracts are based upon reported settlement prices on commodity exchanges, with put contracts for oil based on WTI Cushing and fixed price basis swaps for oil based on the spread between the WTI Cushing crude oil price and the Argus WTI Midland crude oil price. The Company’s fixed price basis swaps for natural gas are for the spread between the Waha Hub natural gas price and the Henry Hub natural gas price. The weighted average differential represents the amount of reduction to the WTI Cushing oil price and the Waha Hub natural gas price for the notional volumes covered by the basis swap contracts. Under the Company’s costless collar contracts, each collar has an established floor price and ceiling price. When the settlement price is below the floor price, the counterparty is required to make a payment to the Company, and when the settlement price is above the ceiling price, the Company is required to make a payment to the counterparty. When the settlement price is between the floor and the ceiling, there is no payment required.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all participants in the amended and restated credit facility, which is secured by substantially all of the assets of the Operating Company; therefore, the Company is not required to post any collateral. The Company’s counterparties have been determined to have an acceptable credit risk; therefore, the Company does not require collateral from its counterparties. Market risks involved in our use of derivative instruments relate to our potential inability to realize the benefits of any increases in commodity prices above the prices established by our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had the following outstanding derivative contracts. When aggregating multiple contracts, the weighted average contract price is disclosed.</w:t>
      </w:r>
    </w:p>
    <w:p>
      <w:pPr>
        <w:pStyle w:val="TextBody"/>
        <w:bidi w:val="0"/>
        <w:spacing w:before="0" w:after="0"/>
        <w:ind w:left="0" w:right="0" w:firstLine="720"/>
        <w:jc w:val="both"/>
        <w:rPr/>
      </w:pPr>
      <w:r>
        <w:rPr/>
      </w:r>
    </w:p>
    <w:tbl>
      <w:tblPr>
        <w:tblW w:w="11012"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90"/>
        <w:gridCol w:w="290"/>
        <w:gridCol w:w="291"/>
        <w:gridCol w:w="109"/>
        <w:gridCol w:w="109"/>
        <w:gridCol w:w="109"/>
        <w:gridCol w:w="255"/>
        <w:gridCol w:w="255"/>
        <w:gridCol w:w="256"/>
        <w:gridCol w:w="109"/>
        <w:gridCol w:w="109"/>
        <w:gridCol w:w="109"/>
        <w:gridCol w:w="220"/>
        <w:gridCol w:w="220"/>
        <w:gridCol w:w="221"/>
        <w:gridCol w:w="109"/>
        <w:gridCol w:w="109"/>
        <w:gridCol w:w="109"/>
        <w:gridCol w:w="234"/>
        <w:gridCol w:w="234"/>
        <w:gridCol w:w="238"/>
        <w:gridCol w:w="109"/>
        <w:gridCol w:w="109"/>
        <w:gridCol w:w="109"/>
        <w:gridCol w:w="314"/>
        <w:gridCol w:w="314"/>
        <w:gridCol w:w="318"/>
        <w:gridCol w:w="109"/>
        <w:gridCol w:w="109"/>
        <w:gridCol w:w="109"/>
        <w:gridCol w:w="109"/>
        <w:gridCol w:w="265"/>
        <w:gridCol w:w="265"/>
        <w:gridCol w:w="266"/>
        <w:gridCol w:w="109"/>
        <w:gridCol w:w="109"/>
        <w:gridCol w:w="109"/>
        <w:gridCol w:w="265"/>
        <w:gridCol w:w="265"/>
        <w:gridCol w:w="266"/>
        <w:gridCol w:w="109"/>
        <w:gridCol w:w="109"/>
        <w:gridCol w:w="109"/>
        <w:gridCol w:w="240"/>
        <w:gridCol w:w="240"/>
        <w:gridCol w:w="241"/>
        <w:gridCol w:w="109"/>
        <w:gridCol w:w="109"/>
        <w:gridCol w:w="109"/>
        <w:gridCol w:w="237"/>
        <w:gridCol w:w="237"/>
        <w:gridCol w:w="337"/>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Swaps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Puts</w:t>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Settlement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Settlement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Type of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Bbls/MMBtu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Floor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Ceiling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Strike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Deferred Premium</w:t>
            </w:r>
          </w:p>
        </w:tc>
      </w:tr>
      <w:tr>
        <w:trPr/>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$(1.70)</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Jan. - Mar.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$(1.76)</w:t>
            </w:r>
          </w:p>
        </w:tc>
      </w:tr>
      <w:tr>
        <w:trPr/>
        <w:tc>
          <w:tcPr>
            <w:tcW w:w="2084"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Basis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Basis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Basis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Costless Collar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Henry 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Costless Collar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Henry 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Treasury Locks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2025, the Company entered into certain treasury lock contracts to reduce the forecasted interest rate risk associated with the issuance of the Guaranteed Senior Notes. The treasury locks were terminated and settled upon issuance of the Guaranteed Senior Notes with a gain of $3 million recognized under the caption “Gain (loss) on derivative instruments, net” on the condensed consolidated statements of operations for the three and nine months ended September 30,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Contingent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2026 WTI Contingent Liability was recorded in “Accrued liabilities” on the Company’s condensed consolidated balance sheet at September 30, 2025, and in “Other long-term liabilities” on the Company’s consolidated balance sheet at December 31, 2024. The change in fair value of the 2026 WTI Contingent Liability is recognized in “Gain (loss) on derivative instruments, net” on the Company’s condensed consolidated statements of operations for the three and nine months ended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Balance Sheet Offsetting of Derivative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hyperlink w:anchor="ic01bfbabb6754916b0efdfc1e843db94_70">
        <w:r>
          <w:rPr>
            <w:rStyle w:val="InternetLink"/>
            <w:rFonts w:ascii="Times New Roman;serif" w:hAnsi="Times New Roman;serif"/>
            <w:b w:val="false"/>
            <w:color w:val="0000FF"/>
            <w:sz w:val="20"/>
            <w:u w:val="single"/>
          </w:rPr>
          <w:t>Fair Value Measurements</w:t>
        </w:r>
      </w:hyperlink>
      <w:r>
        <w:rPr>
          <w:color w:val="000000"/>
        </w:rPr>
        <w:t xml:space="preserve"> </w:t>
      </w:r>
      <w:r>
        <w:rPr>
          <w:rFonts w:ascii="Times New Roman;serif" w:hAnsi="Times New Roman;serif"/>
          <w:b w:val="false"/>
          <w:color w:val="000000"/>
          <w:sz w:val="20"/>
        </w:rPr>
        <w:t>for further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Gains and Losses on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gains and losses on derivative instruments included in the condensed consolidated statements of operations and the net cash receipts (payments) on derivatives for the periods presented:</w:t>
      </w:r>
    </w:p>
    <w:p>
      <w:pPr>
        <w:pStyle w:val="TextBody"/>
        <w:bidi w:val="0"/>
        <w:spacing w:before="0" w:after="0"/>
        <w:ind w:left="0" w:right="0" w:firstLine="720"/>
        <w:jc w:val="both"/>
        <w:rPr/>
      </w:pPr>
      <w:r>
        <w:rPr/>
      </w:r>
    </w:p>
    <w:tbl>
      <w:tblPr>
        <w:tblW w:w="9757" w:type="dxa"/>
        <w:jc w:val="left"/>
        <w:tblInd w:w="0" w:type="dxa"/>
        <w:tblLayout w:type="fixed"/>
        <w:tblCellMar>
          <w:top w:w="28" w:type="dxa"/>
          <w:left w:w="28" w:type="dxa"/>
          <w:bottom w:w="28" w:type="dxa"/>
          <w:right w:w="28" w:type="dxa"/>
        </w:tblCellMar>
      </w:tblPr>
      <w:tblGrid>
        <w:gridCol w:w="1335"/>
        <w:gridCol w:w="1175"/>
        <w:gridCol w:w="1179"/>
        <w:gridCol w:w="352"/>
        <w:gridCol w:w="602"/>
        <w:gridCol w:w="182"/>
        <w:gridCol w:w="182"/>
        <w:gridCol w:w="182"/>
        <w:gridCol w:w="182"/>
        <w:gridCol w:w="352"/>
        <w:gridCol w:w="678"/>
        <w:gridCol w:w="182"/>
        <w:gridCol w:w="109"/>
        <w:gridCol w:w="109"/>
        <w:gridCol w:w="109"/>
        <w:gridCol w:w="353"/>
        <w:gridCol w:w="603"/>
        <w:gridCol w:w="182"/>
        <w:gridCol w:w="182"/>
        <w:gridCol w:w="182"/>
        <w:gridCol w:w="182"/>
        <w:gridCol w:w="353"/>
        <w:gridCol w:w="553"/>
        <w:gridCol w:w="257"/>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06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locks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receipts (payments) on derivatives: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locks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FAIR VALUE MEASUREMENTS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Measured at Fair Value on a 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discussed in </w:t>
      </w:r>
      <w:r>
        <w:fldChar w:fldCharType="begin"/>
      </w:r>
      <w:r>
        <w:rPr>
          <w:rStyle w:val="InternetLink"/>
          <w:sz w:val="20"/>
          <w:u w:val="single"/>
          <w:b w:val="false"/>
          <w:rFonts w:ascii="Times New Roman;serif" w:hAnsi="Times New Roman;serif"/>
          <w:color w:val="0000FF"/>
        </w:rPr>
        <w:instrText xml:space="preserve"> HYPERLINK "https://www.sec.gov/ix?doc=/Archives/edgar/data/1602065/000160206525000010/vnom-20241231.htm" \l "ib14eb29379da49d391d7c1866e807b85_148"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Note 11—Fair Value Measurements in the Company’s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2024, certain assets and liabilities are reported at fair value on a recurring basis on the Company’s condensed consolidated balance sheets, including the Company’s commodity derivative instruments and the 2026 WTI Contingent Liability.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pPr>
      <w:r>
        <w:rPr>
          <w:rFonts w:ascii="Times New Roman;serif" w:hAnsi="Times New Roman;serif"/>
          <w:b w:val="false"/>
          <w:color w:val="000000"/>
          <w:sz w:val="20"/>
        </w:rPr>
        <w:t>The fair values of the Company’s derivative contracts are measured internally using established commodity futures price strips for the underlying commodity provided by a reputable third-party, the contracted notional volumes and time to maturity. The net amounts are classified as current or noncurrent based on their anticipated settlement dates. The fair value of the 2026 WTI Contingent Liability is estimated using observable market data and a Monte Carlo pricing model, which are considered Level 2 in</w:t>
      </w:r>
      <w:r>
        <w:rPr>
          <w:rFonts w:ascii="Times New Roman;serif" w:hAnsi="Times New Roman;serif"/>
          <w:b w:val="false"/>
          <w:color w:val="000000"/>
          <w:sz w:val="20"/>
          <w:shd w:fill="FFFFFF" w:val="clear"/>
        </w:rPr>
        <w:t>puts in the fair value hierarchy.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The following tables provide (i) fair value measurement information for financial assets and liabilities measured at fair value on a recurring basis, (ii) </w:t>
      </w:r>
      <w:r>
        <w:rPr>
          <w:rFonts w:ascii="Times New Roman;serif" w:hAnsi="Times New Roman;serif"/>
          <w:b w:val="false"/>
          <w:color w:val="000000"/>
          <w:sz w:val="20"/>
        </w:rPr>
        <w:t xml:space="preserve">the gross amounts of recognized derivative assets and liabilities, (iii) the amounts offset under master netting arrangements with counterparties, and (iv) the resulting net amounts presented in the Company’s condensed consolidated balance sheets </w:t>
      </w:r>
      <w:r>
        <w:rPr>
          <w:rFonts w:ascii="Times New Roman;serif" w:hAnsi="Times New Roman;serif"/>
          <w:b w:val="false"/>
          <w:color w:val="000000"/>
          <w:sz w:val="20"/>
          <w:shd w:fill="FFFFFF" w:val="clear"/>
        </w:rPr>
        <w:t>as of September 30, 2025, and December 31, 2024:</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27"/>
        <w:gridCol w:w="537"/>
        <w:gridCol w:w="548"/>
        <w:gridCol w:w="211"/>
        <w:gridCol w:w="406"/>
        <w:gridCol w:w="109"/>
        <w:gridCol w:w="109"/>
        <w:gridCol w:w="109"/>
        <w:gridCol w:w="109"/>
        <w:gridCol w:w="211"/>
        <w:gridCol w:w="361"/>
        <w:gridCol w:w="109"/>
        <w:gridCol w:w="109"/>
        <w:gridCol w:w="109"/>
        <w:gridCol w:w="109"/>
        <w:gridCol w:w="211"/>
        <w:gridCol w:w="406"/>
        <w:gridCol w:w="109"/>
        <w:gridCol w:w="109"/>
        <w:gridCol w:w="109"/>
        <w:gridCol w:w="109"/>
        <w:gridCol w:w="352"/>
        <w:gridCol w:w="603"/>
        <w:gridCol w:w="182"/>
        <w:gridCol w:w="109"/>
        <w:gridCol w:w="109"/>
        <w:gridCol w:w="109"/>
        <w:gridCol w:w="500"/>
        <w:gridCol w:w="961"/>
        <w:gridCol w:w="260"/>
        <w:gridCol w:w="109"/>
        <w:gridCol w:w="109"/>
        <w:gridCol w:w="109"/>
        <w:gridCol w:w="508"/>
        <w:gridCol w:w="979"/>
        <w:gridCol w:w="380"/>
      </w:tblGrid>
      <w:tr>
        <w:trPr/>
        <w:tc>
          <w:tcPr>
            <w:tcW w:w="6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27"/>
        <w:gridCol w:w="537"/>
        <w:gridCol w:w="548"/>
        <w:gridCol w:w="211"/>
        <w:gridCol w:w="406"/>
        <w:gridCol w:w="109"/>
        <w:gridCol w:w="109"/>
        <w:gridCol w:w="109"/>
        <w:gridCol w:w="109"/>
        <w:gridCol w:w="211"/>
        <w:gridCol w:w="361"/>
        <w:gridCol w:w="109"/>
        <w:gridCol w:w="109"/>
        <w:gridCol w:w="109"/>
        <w:gridCol w:w="109"/>
        <w:gridCol w:w="211"/>
        <w:gridCol w:w="406"/>
        <w:gridCol w:w="109"/>
        <w:gridCol w:w="109"/>
        <w:gridCol w:w="109"/>
        <w:gridCol w:w="109"/>
        <w:gridCol w:w="352"/>
        <w:gridCol w:w="603"/>
        <w:gridCol w:w="182"/>
        <w:gridCol w:w="109"/>
        <w:gridCol w:w="109"/>
        <w:gridCol w:w="109"/>
        <w:gridCol w:w="500"/>
        <w:gridCol w:w="961"/>
        <w:gridCol w:w="260"/>
        <w:gridCol w:w="109"/>
        <w:gridCol w:w="109"/>
        <w:gridCol w:w="109"/>
        <w:gridCol w:w="539"/>
        <w:gridCol w:w="925"/>
        <w:gridCol w:w="403"/>
      </w:tblGrid>
      <w:tr>
        <w:trPr/>
        <w:tc>
          <w:tcPr>
            <w:tcW w:w="6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r>
      <w:tr>
        <w:trPr/>
        <w:tc>
          <w:tcPr>
            <w:tcW w:w="171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r>
      <w:tr>
        <w:trPr/>
        <w:tc>
          <w:tcPr>
            <w:tcW w:w="171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Not Recorded at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fair value of financial instruments that are not recorded at fair value in the condensed consolidated balance sheets:</w:t>
      </w:r>
    </w:p>
    <w:p>
      <w:pPr>
        <w:pStyle w:val="TextBody"/>
        <w:bidi w:val="0"/>
        <w:spacing w:before="0" w:after="0"/>
        <w:ind w:left="0" w:right="0" w:firstLine="720"/>
        <w:jc w:val="both"/>
        <w:rPr/>
      </w:pPr>
      <w:r>
        <w:rPr/>
      </w:r>
    </w:p>
    <w:tbl>
      <w:tblPr>
        <w:tblW w:w="6019" w:type="dxa"/>
        <w:jc w:val="left"/>
        <w:tblInd w:w="0" w:type="dxa"/>
        <w:tblLayout w:type="fixed"/>
        <w:tblCellMar>
          <w:top w:w="28" w:type="dxa"/>
          <w:left w:w="28" w:type="dxa"/>
          <w:bottom w:w="28" w:type="dxa"/>
          <w:right w:w="28" w:type="dxa"/>
        </w:tblCellMar>
      </w:tblPr>
      <w:tblGrid>
        <w:gridCol w:w="185"/>
        <w:gridCol w:w="162"/>
        <w:gridCol w:w="164"/>
        <w:gridCol w:w="294"/>
        <w:gridCol w:w="859"/>
        <w:gridCol w:w="152"/>
        <w:gridCol w:w="109"/>
        <w:gridCol w:w="109"/>
        <w:gridCol w:w="109"/>
        <w:gridCol w:w="211"/>
        <w:gridCol w:w="616"/>
        <w:gridCol w:w="109"/>
        <w:gridCol w:w="109"/>
        <w:gridCol w:w="109"/>
        <w:gridCol w:w="109"/>
        <w:gridCol w:w="294"/>
        <w:gridCol w:w="859"/>
        <w:gridCol w:w="152"/>
        <w:gridCol w:w="109"/>
        <w:gridCol w:w="109"/>
        <w:gridCol w:w="109"/>
        <w:gridCol w:w="211"/>
        <w:gridCol w:w="61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the Operating Company’s current or previous revolving credit facility, as applicable, and the Term Loan approximate their carrying values based on borrowing rates available to the Company for bank loans with similar terms and maturities and are classified as Level 2 in the fair value hierarchy. The fair values of the Notes and Guaranteed Senior Notes were determined using the quoted market price at each period end, a Level 1 classification in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Measured at Fair Value on a Nonrecurring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are measured at fair value on a nonrecurring basis in certain circumstances. These assets and liabilities can include mineral and royalty interests acquired in asset acquisitions and subsequent write-downs of the Company’s proved oil and natural gas interests to fair value when they are impaired or held for sale.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other financial instruments consisting of cash and cash equivalents, royalty income receivables, income tax receivables, prepaid expenses and other current assets, accounts payable, accrued liabilities and income taxes payable. The carrying values of these instruments approximate their fair values because of the short-term nature of the instruments.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party to various routine legal proceedings, disputes and claims from time to time arising in the ordinary course of its business.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Pending Divestiture of Non-Permian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30, 2025, the Company entered into an equity interest purchase agreement to divest all its non-Permian assets, including those acquired from Sitio, to an affiliate of GRP Energy Capital LLC and Warwick Capital Partners LLP for a purchase price of approximately $670 million, subject to customary purchase price adjustments (the “Pending Non-Permian Divestiture”). The properties to be divested consist of approximately 9,400 net royalty acres in the Denver-Julesburg, Eagle Ford and Williston basins with current production of approximately 4,750 BO/d. The Pending Non-Permian Divestiture is subject to customary closing conditions and is expected to close in the first quarter of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Dividend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30, 2025, the board of directors of the Company approved a cash dividend for the third quarter of 2025 of $0.58 per share of Class A Common Stock and $0.66 per OpCo Unit, in each case, payable on November 20, 2025, to holders of record at the close of business on November 13, 2025. The dividend on Class A Common Stock consists of a base quarterly dividend of $0.33 per share and a variable quarterly dividend of $0.25 per share.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is managed on a consolidated basis as a single operating and reportable segment which is focused on owning and acquiring mineral and royalty interests primarily in the Permian Basin in West Texas. The Company’s operating segment derives its revenue from customers through the receipt of royalty income on the sale of oil and natural gas products as well as other immaterial service contracts. See Note 3—</w:t>
      </w:r>
      <w:hyperlink w:anchor="ic01bfbabb6754916b0efdfc1e843db94_46">
        <w:r>
          <w:rPr>
            <w:rStyle w:val="InternetLink"/>
            <w:rFonts w:ascii="Times New Roman;serif" w:hAnsi="Times New Roman;serif"/>
            <w:b w:val="false"/>
            <w:color w:val="0000FF"/>
            <w:sz w:val="20"/>
            <w:u w:val="single"/>
          </w:rPr>
          <w:t>Revenue from Contracts with Customers</w:t>
        </w:r>
      </w:hyperlink>
      <w:r>
        <w:rPr>
          <w:color w:val="000000"/>
        </w:rPr>
        <w:t xml:space="preserve"> </w:t>
      </w:r>
      <w:r>
        <w:rPr>
          <w:rFonts w:ascii="Times New Roman;serif" w:hAnsi="Times New Roman;serif"/>
          <w:b w:val="false"/>
          <w:color w:val="000000"/>
          <w:sz w:val="20"/>
        </w:rPr>
        <w:t>for further discussion of the Company’s sources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uses the Company’s condensed consolidated financial results to assess performance, allocate resources and make key operating decisions, obtaining the board’s approval as required. The measures of segment profit or loss and total assets utilized by the CODM are net income and total assets, as reported on the condensed consolidated statements of operations and the condensed consolidated balance sheets, respectively. The significant expense categories, their amounts and other segment items that are regularly provided to the CODM are those that are reported in the Company’s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uses consolidated net income as a measure of profitability to evaluate segment performance and to make capital allocation decisions such as reinvestment in the business or return of capital through the payment of base and variable dividends or repurchases under the share repurchase program.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3">
        <w:r>
          <w:rPr>
            <w:rStyle w:val="InternetLink"/>
            <w:rFonts w:ascii="Times New Roman;serif" w:hAnsi="Times New Roman;serif"/>
            <w:b w:val="false"/>
            <w:i/>
            <w:color w:val="0000FF"/>
            <w:sz w:val="20"/>
            <w:u w:val="single"/>
          </w:rPr>
          <w:t>Annual Report on Form 10-K</w:t>
        </w:r>
      </w:hyperlink>
      <w:r>
        <w:rPr>
          <w:color w:val="000000"/>
        </w:rPr>
        <w:t xml:space="preserve"> </w:t>
      </w:r>
      <w:r>
        <w:rPr>
          <w:rFonts w:ascii="Times New Roman;serif" w:hAnsi="Times New Roman;serif"/>
          <w:b w:val="false"/>
          <w:i/>
          <w:color w:val="000000"/>
          <w:sz w:val="20"/>
        </w:rPr>
        <w:t xml:space="preserve">for the year ended December 31, 2024.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ic01bfbabb6754916b0efdfc1e843db94_136">
        <w:r>
          <w:rPr>
            <w:rStyle w:val="InternetLink"/>
            <w:rFonts w:ascii="Times New Roman;serif" w:hAnsi="Times New Roman;serif"/>
            <w:b w:val="false"/>
            <w:i/>
            <w:color w:val="0000FF"/>
            <w:sz w:val="20"/>
            <w:u w:val="single"/>
          </w:rPr>
          <w:t>Part II. Item 1A. Risk Factors</w:t>
        </w:r>
      </w:hyperlink>
      <w:r>
        <w:rPr>
          <w:color w:val="000000"/>
        </w:rPr>
        <w:t xml:space="preserve"> </w:t>
      </w:r>
      <w:r>
        <w:rPr>
          <w:rFonts w:ascii="Times New Roman;serif" w:hAnsi="Times New Roman;serif"/>
          <w:b w:val="false"/>
          <w:i/>
          <w:color w:val="000000"/>
          <w:sz w:val="20"/>
        </w:rPr>
        <w:t xml:space="preserve">and </w:t>
      </w:r>
      <w:hyperlink w:anchor="ic01bfbabb6754916b0efdfc1e843db94_16">
        <w:r>
          <w:rPr>
            <w:rStyle w:val="InternetLink"/>
          </w:rPr>
          <w:t>Cautionary Statement Regarding Forward-Looking Statemen</w:t>
        </w:r>
      </w:hyperlink>
      <w:hyperlink w:anchor="ic01bfbabb6754916b0efdfc1e843db94_16">
        <w:r>
          <w:rPr>
            <w:rStyle w:val="InternetLink"/>
          </w:rPr>
          <w:t>ts</w:t>
        </w:r>
      </w:hyperlink>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publicly traded Delaware corporation focused on owning and acquiring mineral and royalty interests in oil and natural gas properties primarily in the Permian Basin. We operate in one reportable segment.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Pending Divestiture of Non-Permian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30, 2025, we entered into an equity interest purchase agreement to divest all its non-Permian assets, including those acquired from Sitio, for a purchase price of approximately $670 million, subject to customary purchase price adjustments. The properties to be divested consist of approximately 9,400 net royalty acres in the Denver-Julesburg, Eagle Ford and Williston basins with current production of approximately 4,750 BO/d. The Pending Non-Permian Divestiture is subject to customary closing conditions and is expected to close in the first quarter of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Acquisitions Update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19, 2025, we completed the Sitio Acquisition in an all-equity transaction valued at approximately $4.0 billion, subject to further adjustments for transaction costs and certain customary post-closing adjustments, including the retirement of Sitio’s net debt of approximately $1.2 billion. 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acquired, in individually insignificant transactions from unrelated third-party sellers, mineral and royalty interests representing 270 net royalty acres in the Permian Basin for an aggregate purchase price of approximately $72 million, subject to customary post-closing adjustments.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30, 2025, our footprint of mineral and royalty interests totaled approximately 95,846 net royalty acres, approximately 39% of which are operated by Diamondback.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4—</w:t>
      </w:r>
      <w:hyperlink w:anchor="ic01bfbabb6754916b0efdfc1e843db94_49">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of the notes to the condensed consolidated financial statements for additional information on these acquisitions.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Debt Transactions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i/>
          <w:color w:val="000000"/>
          <w:sz w:val="20"/>
        </w:rPr>
        <w:t>N</w:t>
      </w:r>
      <w:r>
        <w:rPr>
          <w:rFonts w:ascii="Times New Roman;serif" w:hAnsi="Times New Roman;serif"/>
          <w:b w:val="false"/>
          <w:i/>
          <w:color w:val="000000"/>
          <w:sz w:val="20"/>
        </w:rPr>
        <w:t>otes Offering and Redemption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the Operating Company issued the Guaranteed Senior Notes for an aggregate principal amount of $1.6 billion. We used a portion of the net proceeds from the issuance of the Guaranteed Senior Notes to redeem or satisfy and discharge, as applicable, approximately $780 million in aggregate principal amount of our previously outstanding Notes, including accrued interest paid and redemption premiums. The 2027 Notes were subsequently redeemed in full on November 1, 2025. We used the remaining net proceeds (i) to retire Sitio’s 7.875% senior notes due 2028, (ii) to repay borrowings under Sitio’s revolving credit facility, (iii) to pay fees, costs and expenses related to the redemption or repayment of such debt, and (iv) for general corporate purposes.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Sitio Acquisition, we entered into the $500 million Term Loan, which was fully drawn in a single borrowing to partially fund the retirement of Sitio’s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6—</w:t>
      </w:r>
      <w:hyperlink w:anchor="ic01bfbabb6754916b0efdfc1e843db94_5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discussions of our debt.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2025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February 3, 2025, we completed an underwritten public offering of 28,336,000 shares of our Class A Common Stock, which included 3,696,000 shares issued pursuant to an option to purchase additional shares of Class A Common Stock granted to the underwriters, at a price to the public of $44.50 per share, for total net proceeds of approximately $1.2 billion, after the underwriters’ discount and transaction costs. We</w:t>
      </w:r>
      <w:r>
        <w:rPr>
          <w:color w:val="000000"/>
          <w:shd w:fill="FFFFFF" w:val="clear"/>
        </w:rPr>
        <w:t xml:space="preserve"> </w:t>
      </w:r>
      <w:r>
        <w:rPr>
          <w:rFonts w:ascii="Times New Roman;serif" w:hAnsi="Times New Roman;serif"/>
          <w:b w:val="false"/>
          <w:color w:val="000000"/>
          <w:sz w:val="20"/>
          <w:shd w:fill="FFFFFF" w:val="clear"/>
        </w:rPr>
        <w:t xml:space="preserve">used the net proceeds from the </w:t>
      </w:r>
      <w:r>
        <w:rPr>
          <w:rFonts w:ascii="Times New Roman;serif" w:hAnsi="Times New Roman;serif"/>
          <w:b w:val="false"/>
          <w:color w:val="000000"/>
          <w:sz w:val="20"/>
        </w:rPr>
        <w:t>2025 Equity Offering</w:t>
      </w:r>
      <w:r>
        <w:rPr>
          <w:color w:val="000000"/>
          <w:shd w:fill="FFFFFF" w:val="clear"/>
        </w:rPr>
        <w:t xml:space="preserve"> </w:t>
      </w:r>
      <w:r>
        <w:rPr>
          <w:rFonts w:ascii="Times New Roman;serif" w:hAnsi="Times New Roman;serif"/>
          <w:b w:val="false"/>
          <w:color w:val="000000"/>
          <w:sz w:val="20"/>
          <w:shd w:fill="FFFFFF" w:val="clear"/>
        </w:rPr>
        <w:t xml:space="preserve">to fund (i) the cash consideration for the </w:t>
      </w:r>
      <w:r>
        <w:rPr>
          <w:rFonts w:ascii="Times New Roman;serif" w:hAnsi="Times New Roman;serif"/>
          <w:b w:val="false"/>
          <w:color w:val="000000"/>
          <w:sz w:val="20"/>
        </w:rPr>
        <w:t>Morita Ranches Acquisition, (ii) a portion of the cash consideration for the 2025 Drop Down, and (iii) for general corporate purposes</w:t>
      </w:r>
      <w:r>
        <w:rPr>
          <w:rFonts w:ascii="Times New Roman;serif" w:hAnsi="Times New Roman;serif"/>
          <w:b w:val="false"/>
          <w:color w:val="000000"/>
          <w:sz w:val="20"/>
          <w:shd w:fill="FFFFFF" w:val="clear"/>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Commodity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Prices for oil, natural gas and natural gas liquids are determined primarily by prevailing market conditions. Regional and worldwide economic activity, changes in trade or other government policies or regulations, including with respect to tariffs or other trade barriers and any resulting trade tensions, extreme weather conditions and other substantially variable factors influence market conditions for these products. These factors are beyond our control and are difficult to predict. OPEC and its non-OPEC allies, known collectively as OPEC+, continue to meet regularly to evaluate the state of global oil supply, demand and inventory levels and can heavily influence volatility in oil prices. During the nine months ended September 30, 2025, and 2024, WTI prices averaged $66.65 and $77.61 per Bbl, respectively, and Henry Hub prices averaged $3.48 and $2.22 per MMBtu,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For additional information around risks related to commodity prices, see </w:t>
      </w:r>
      <w:hyperlink w:anchor="ic01bfbabb6754916b0efdfc1e843db94_124">
        <w:r>
          <w:rPr>
            <w:rStyle w:val="InternetLink"/>
            <w:rFonts w:ascii="Times New Roman;serif" w:hAnsi="Times New Roman;serif"/>
            <w:b w:val="false"/>
            <w:color w:val="0000FF"/>
            <w:sz w:val="20"/>
            <w:u w:val="single"/>
          </w:rPr>
          <w:t>Part II. Item 3. Quantitative and Qualitative Disclosures About Market Risk—Commodity Price Risk</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Guidance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current estimates of certain financial and operating results for the full year 2025, as well as production and cash tax guidance for the fourth quarter of 2025.</w:t>
      </w:r>
    </w:p>
    <w:p>
      <w:pPr>
        <w:pStyle w:val="TextBody"/>
        <w:bidi w:val="0"/>
        <w:spacing w:before="0" w:after="0"/>
        <w:ind w:left="0" w:right="0" w:firstLine="720"/>
        <w:jc w:val="both"/>
        <w:rPr/>
      </w:pPr>
      <w:r>
        <w:rPr/>
      </w:r>
    </w:p>
    <w:tbl>
      <w:tblPr>
        <w:tblW w:w="5445" w:type="dxa"/>
        <w:jc w:val="left"/>
        <w:tblInd w:w="0" w:type="dxa"/>
        <w:tblLayout w:type="fixed"/>
        <w:tblCellMar>
          <w:top w:w="28" w:type="dxa"/>
          <w:left w:w="28" w:type="dxa"/>
          <w:bottom w:w="28" w:type="dxa"/>
          <w:right w:w="28" w:type="dxa"/>
        </w:tblCellMar>
      </w:tblPr>
      <w:tblGrid>
        <w:gridCol w:w="1452"/>
        <w:gridCol w:w="1275"/>
        <w:gridCol w:w="1278"/>
        <w:gridCol w:w="421"/>
        <w:gridCol w:w="421"/>
        <w:gridCol w:w="598"/>
      </w:tblGrid>
      <w:tr>
        <w:trPr/>
        <w:tc>
          <w:tcPr>
            <w:tcW w:w="14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2025 Guidance</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Q4 2025 net production - MBO/d</w:t>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65.00 - 67.00</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Q4 2025 net production - MBOE/d</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124.00 - 128.00</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Full year 2025 net production - MBO/d</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48.75 - 49.00</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Full year 2025 net production - MBOE/d</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92.75 - 93.50</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Costs ($/BOE)</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$16.75 - $17.25</w:t>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general and administrative expenses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$0.80 - $1.00</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Non-cash share-based compensation</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$0.10 - $0.20</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$2.50 - $3.00</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 (% of revenue)</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Q4 2025 cash taxes (in millions)</w:t>
            </w:r>
            <w:r>
              <w:rPr>
                <w:rFonts w:ascii="Times New Roman;serif" w:hAnsi="Times New Roman;serif"/>
                <w:b w:val="false"/>
                <w:color w:val="000000"/>
                <w:sz w:val="13"/>
              </w:rPr>
              <w:t>(1)</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$13 - $18</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Attributable to Viper.</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Production and Operational Update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are 104 gross rigs operating on our mineral and royalty acreage, nine of which are operated by Diamondback. During the third quarter of 2025, we continued to execute on our growth strategy, bolstered by the closing of the Sitio Acquisition and continued organic growth. Looking ahead to 2026, we anticipate mid-single digit organic oil production growth from the fourth quarter of 2025 estimated production on our Permian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gross well information for the third quarter ended September 30, 2025:</w:t>
      </w:r>
    </w:p>
    <w:p>
      <w:pPr>
        <w:pStyle w:val="TextBody"/>
        <w:bidi w:val="0"/>
        <w:spacing w:before="0" w:after="0"/>
        <w:ind w:left="0" w:right="0" w:firstLine="720"/>
        <w:jc w:val="both"/>
        <w:rPr/>
      </w:pPr>
      <w:r>
        <w:rPr/>
      </w:r>
    </w:p>
    <w:tbl>
      <w:tblPr>
        <w:tblW w:w="9173" w:type="dxa"/>
        <w:jc w:val="left"/>
        <w:tblInd w:w="0" w:type="dxa"/>
        <w:tblLayout w:type="fixed"/>
        <w:tblCellMar>
          <w:top w:w="28" w:type="dxa"/>
          <w:left w:w="28" w:type="dxa"/>
          <w:bottom w:w="28" w:type="dxa"/>
          <w:right w:w="28" w:type="dxa"/>
        </w:tblCellMar>
      </w:tblPr>
      <w:tblGrid>
        <w:gridCol w:w="1457"/>
        <w:gridCol w:w="1279"/>
        <w:gridCol w:w="1283"/>
        <w:gridCol w:w="437"/>
        <w:gridCol w:w="437"/>
        <w:gridCol w:w="1091"/>
        <w:gridCol w:w="109"/>
        <w:gridCol w:w="109"/>
        <w:gridCol w:w="109"/>
        <w:gridCol w:w="399"/>
        <w:gridCol w:w="399"/>
        <w:gridCol w:w="1001"/>
        <w:gridCol w:w="109"/>
        <w:gridCol w:w="109"/>
        <w:gridCol w:w="109"/>
        <w:gridCol w:w="203"/>
        <w:gridCol w:w="203"/>
        <w:gridCol w:w="330"/>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Diamondback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Third-Party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Q3 2025 horizontal wells turned to production</w:t>
            </w:r>
            <w:r>
              <w:rPr>
                <w:rFonts w:ascii="Times New Roman;serif" w:hAnsi="Times New Roman;serif"/>
                <w:b/>
                <w:color w:val="000000"/>
                <w:sz w:val="12"/>
              </w:rPr>
              <w:t>(1)(2)</w:t>
            </w:r>
            <w:r>
              <w:rPr>
                <w:rFonts w:ascii="Times New Roman;serif" w:hAnsi="Times New Roman;serif"/>
                <w:b/>
                <w:color w:val="000000"/>
                <w:sz w:val="18"/>
              </w:rPr>
              <w:t>:</w:t>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Horizontal producing well count:</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34,682</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Horizontal active development well count</w:t>
            </w:r>
            <w:r>
              <w:rPr>
                <w:rFonts w:ascii="Times New Roman;serif" w:hAnsi="Times New Roman;serif"/>
                <w:b/>
                <w:color w:val="000000"/>
                <w:sz w:val="12"/>
              </w:rPr>
              <w:t>(3)</w:t>
            </w:r>
            <w:r>
              <w:rPr>
                <w:rFonts w:ascii="Times New Roman;serif" w:hAnsi="Times New Roman;serif"/>
                <w:b/>
                <w:color w:val="000000"/>
                <w:sz w:val="18"/>
              </w:rPr>
              <w:t>:</w:t>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Line of sight wells</w:t>
            </w:r>
            <w:r>
              <w:rPr>
                <w:rFonts w:ascii="Times New Roman;serif" w:hAnsi="Times New Roman;serif"/>
                <w:b/>
                <w:color w:val="000000"/>
                <w:sz w:val="12"/>
              </w:rPr>
              <w:t>(4)</w:t>
            </w:r>
            <w:r>
              <w:rPr>
                <w:rFonts w:ascii="Times New Roman;serif" w:hAnsi="Times New Roman;serif"/>
                <w:b/>
                <w:color w:val="000000"/>
                <w:sz w:val="18"/>
              </w:rPr>
              <w:t>:</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Includes the horizontal wells turned to production by Sitio from July 1, 2025 through August 18, 2025.</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Average lateral length of 10,947.</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The total 1,947 gross wells currently in the process of active development are those wells that have been spud and are expected to be turned to production within approximately the next six to eight months.</w:t>
      </w:r>
    </w:p>
    <w:p>
      <w:pPr>
        <w:pStyle w:val="TextBody"/>
        <w:bidi w:val="0"/>
        <w:spacing w:lineRule="auto" w:line="288" w:before="0" w:after="0"/>
        <w:ind w:left="0" w:right="0" w:hanging="360"/>
        <w:jc w:val="both"/>
        <w:rPr/>
      </w:pPr>
      <w:r>
        <w:rPr>
          <w:rFonts w:ascii="Times New Roman;serif" w:hAnsi="Times New Roman;serif"/>
          <w:b w:val="false"/>
          <w:color w:val="000000"/>
          <w:sz w:val="20"/>
        </w:rPr>
        <w:t>(4)    The total 1,664 gross line-of-sight wells are those that are not currently in the process of active development, but for which we have reason to believe will be turned to production within approximately the next 15 to 18 months. The expected timing of th</w:t>
      </w:r>
      <w:r>
        <w:rPr>
          <w:rFonts w:ascii="Times New Roman;serif" w:hAnsi="Times New Roman;serif"/>
          <w:b w:val="false"/>
          <w:color w:val="000000"/>
          <w:sz w:val="20"/>
          <w:shd w:fill="FFFFFF" w:val="clear"/>
        </w:rPr>
        <w:t>ese line-of-sight wells is based primarily on permitting by third-party operators or Diamondback’s current expected completion schedule. Existing permits or active development of our royalty acreage does not ensure that those wells will be turned to production given th</w:t>
      </w:r>
      <w:r>
        <w:rPr>
          <w:rFonts w:ascii="Times New Roman;serif" w:hAnsi="Times New Roman;serif"/>
          <w:b w:val="false"/>
          <w:color w:val="000000"/>
          <w:sz w:val="20"/>
        </w:rPr>
        <w:t>e volatility in oil prices.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Comparison of the Three Months Ended September 30, 2025, and June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income and expenses for the periods indicated:</w:t>
      </w:r>
    </w:p>
    <w:p>
      <w:pPr>
        <w:pStyle w:val="TextBody"/>
        <w:bidi w:val="0"/>
        <w:spacing w:before="0" w:after="0"/>
        <w:ind w:left="0" w:right="0" w:firstLine="720"/>
        <w:jc w:val="both"/>
        <w:rPr/>
      </w:pPr>
      <w:r>
        <w:rPr/>
      </w:r>
    </w:p>
    <w:tbl>
      <w:tblPr>
        <w:tblW w:w="7840" w:type="dxa"/>
        <w:jc w:val="left"/>
        <w:tblInd w:w="0" w:type="dxa"/>
        <w:tblLayout w:type="fixed"/>
        <w:tblCellMar>
          <w:top w:w="28" w:type="dxa"/>
          <w:left w:w="28" w:type="dxa"/>
          <w:bottom w:w="28" w:type="dxa"/>
          <w:right w:w="28" w:type="dxa"/>
        </w:tblCellMar>
      </w:tblPr>
      <w:tblGrid>
        <w:gridCol w:w="1704"/>
        <w:gridCol w:w="1500"/>
        <w:gridCol w:w="1506"/>
        <w:gridCol w:w="429"/>
        <w:gridCol w:w="950"/>
        <w:gridCol w:w="225"/>
        <w:gridCol w:w="109"/>
        <w:gridCol w:w="109"/>
        <w:gridCol w:w="109"/>
        <w:gridCol w:w="304"/>
        <w:gridCol w:w="673"/>
        <w:gridCol w:w="222"/>
      </w:tblGrid>
      <w:tr>
        <w:trPr/>
        <w:tc>
          <w:tcPr>
            <w:tcW w:w="17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1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w:t>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income—related party</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expenses—related party</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early extinguishment of debt</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Viper Energy, Inc.</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production data, average sales prices and average costs for the periods indicated:</w:t>
      </w:r>
    </w:p>
    <w:p>
      <w:pPr>
        <w:pStyle w:val="TextBody"/>
        <w:bidi w:val="0"/>
        <w:spacing w:before="0" w:after="0"/>
        <w:ind w:left="0" w:right="0" w:firstLine="720"/>
        <w:jc w:val="both"/>
        <w:rPr/>
      </w:pPr>
      <w:r>
        <w:rPr/>
      </w:r>
    </w:p>
    <w:tbl>
      <w:tblPr>
        <w:tblW w:w="8696" w:type="dxa"/>
        <w:jc w:val="left"/>
        <w:tblInd w:w="0" w:type="dxa"/>
        <w:tblLayout w:type="fixed"/>
        <w:tblCellMar>
          <w:top w:w="28" w:type="dxa"/>
          <w:left w:w="28" w:type="dxa"/>
          <w:bottom w:w="28" w:type="dxa"/>
          <w:right w:w="28" w:type="dxa"/>
        </w:tblCellMar>
      </w:tblPr>
      <w:tblGrid>
        <w:gridCol w:w="2013"/>
        <w:gridCol w:w="1774"/>
        <w:gridCol w:w="1777"/>
        <w:gridCol w:w="362"/>
        <w:gridCol w:w="1056"/>
        <w:gridCol w:w="187"/>
        <w:gridCol w:w="109"/>
        <w:gridCol w:w="109"/>
        <w:gridCol w:w="109"/>
        <w:gridCol w:w="258"/>
        <w:gridCol w:w="754"/>
        <w:gridCol w:w="188"/>
      </w:tblGrid>
      <w:tr>
        <w:trPr/>
        <w:tc>
          <w:tcPr>
            <w:tcW w:w="201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oil volumes (BO/d)</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56,087 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41,615 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combined volumes (BOE/d)</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108,859 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79,286 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sales price:</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($/Bbl)</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($/Mcf)</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($/Bbl)</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($/BOE)</w:t>
            </w:r>
            <w:r>
              <w:rPr>
                <w:rFonts w:ascii="Times New Roman;serif" w:hAnsi="Times New Roman;serif"/>
                <w:b w:val="false"/>
                <w:color w:val="000000"/>
                <w:sz w:val="13"/>
              </w:rPr>
              <w:t>(2)</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($/Bbl)</w:t>
            </w:r>
            <w:r>
              <w:rPr>
                <w:rFonts w:ascii="Times New Roman;serif" w:hAnsi="Times New Roman;serif"/>
                <w:b w:val="false"/>
                <w:color w:val="000000"/>
                <w:sz w:val="13"/>
              </w:rPr>
              <w:t>(3)</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($/Mcf)</w:t>
            </w:r>
            <w:r>
              <w:rPr>
                <w:rFonts w:ascii="Times New Roman;serif" w:hAnsi="Times New Roman;serif"/>
                <w:b w:val="false"/>
                <w:color w:val="000000"/>
                <w:sz w:val="13"/>
              </w:rPr>
              <w:t>(3)</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($/Bbl)</w:t>
            </w:r>
            <w:r>
              <w:rPr>
                <w:rFonts w:ascii="Times New Roman;serif" w:hAnsi="Times New Roman;serif"/>
                <w:b w:val="false"/>
                <w:color w:val="000000"/>
                <w:sz w:val="13"/>
              </w:rPr>
              <w:t>(3)</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price, hedged ($/BOE)</w:t>
            </w:r>
            <w:r>
              <w:rPr>
                <w:rFonts w:ascii="Times New Roman;serif" w:hAnsi="Times New Roman;serif"/>
                <w:b w:val="false"/>
                <w:color w:val="000000"/>
                <w:sz w:val="13"/>
              </w:rPr>
              <w:t>(3)</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costs ($/BOE):</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cash component</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 - cash</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non-cash stock compensation expense</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Bbl equivalents are calculated using a conversion rate of six Mcf per one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Realized price net of all deducts for gathering, transportation and processing.</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Hedged prices reflect the impact of cash settlements of our matured commodity derivative transactions on our average sales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changes in our revenues and expenses between the third quarter of 2025 and the second quarter of 2025 are discussed further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Royalty Income. </w:t>
      </w:r>
      <w:r>
        <w:rPr>
          <w:rFonts w:ascii="Times New Roman;serif" w:hAnsi="Times New Roman;serif"/>
          <w:b w:val="false"/>
          <w:color w:val="000000"/>
          <w:sz w:val="20"/>
        </w:rPr>
        <w:t>Our royalty income is a function of oil, natural gas and natural gas liquids production volumes sold and average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income increased by $106 million during the third quarter of 2025 compared to the second quarter of 2025 due to a 39% increase in production. The average realized price for our combined production did not change significantly between quarters due largely to the increase in our average realized oil price being offset by the decrease in our average realized natural gas liquids price for the third quarter of 2025 compared to the second quarter of 2025.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Of the overall 39% increase in production, approximately 58% is attributable to the Sitio Acquisition, 33% is attributable to recording a full quarter of production from the 2025 Drop Down, and 9% is attributable to adjustments recorded in the third quarter of 2025 to estimated volumes accrued in the second quarter of 2025. See Note 4—</w:t>
      </w:r>
      <w:hyperlink w:anchor="ic01bfbabb6754916b0efdfc1e843db94_49">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 of our acquisitions.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Production and Ad Valorem Taxes. </w:t>
      </w:r>
      <w:r>
        <w:rPr>
          <w:rFonts w:ascii="Times New Roman;serif" w:hAnsi="Times New Roman;serif"/>
          <w:b w:val="false"/>
          <w:color w:val="000000"/>
          <w:sz w:val="20"/>
        </w:rPr>
        <w:t>The following table presents production and ad valorem taxes</w:t>
      </w:r>
      <w:r>
        <w:rPr>
          <w:color w:val="000000"/>
          <w:shd w:fill="FFFFFF" w:val="clear"/>
        </w:rPr>
        <w:t xml:space="preserve"> </w:t>
      </w:r>
      <w:r>
        <w:rPr>
          <w:rFonts w:ascii="Times New Roman;serif" w:hAnsi="Times New Roman;serif"/>
          <w:b w:val="false"/>
          <w:color w:val="000000"/>
          <w:sz w:val="20"/>
          <w:shd w:fill="FFFFFF" w:val="clear"/>
        </w:rPr>
        <w:t>for the</w:t>
      </w:r>
      <w:r>
        <w:rPr>
          <w:color w:val="000000"/>
        </w:rPr>
        <w:t xml:space="preserve"> </w:t>
      </w:r>
      <w:r>
        <w:rPr>
          <w:rFonts w:ascii="Times New Roman;serif" w:hAnsi="Times New Roman;serif"/>
          <w:b w:val="false"/>
          <w:color w:val="000000"/>
          <w:sz w:val="20"/>
        </w:rPr>
        <w:t>periods indicated</w:t>
      </w:r>
      <w:r>
        <w:rPr>
          <w:rFonts w:ascii="Times New Roman;serif" w:hAnsi="Times New Roman;serif"/>
          <w:b w:val="false"/>
          <w:color w:val="000000"/>
          <w:sz w:val="20"/>
          <w:shd w:fill="FFFFFF" w:val="clear"/>
        </w:rPr>
        <w: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18"/>
        <w:gridCol w:w="632"/>
        <w:gridCol w:w="633"/>
        <w:gridCol w:w="271"/>
        <w:gridCol w:w="466"/>
        <w:gridCol w:w="141"/>
        <w:gridCol w:w="109"/>
        <w:gridCol w:w="109"/>
        <w:gridCol w:w="109"/>
        <w:gridCol w:w="211"/>
        <w:gridCol w:w="511"/>
        <w:gridCol w:w="109"/>
        <w:gridCol w:w="109"/>
        <w:gridCol w:w="109"/>
        <w:gridCol w:w="109"/>
        <w:gridCol w:w="346"/>
        <w:gridCol w:w="346"/>
        <w:gridCol w:w="864"/>
        <w:gridCol w:w="109"/>
        <w:gridCol w:w="109"/>
        <w:gridCol w:w="109"/>
        <w:gridCol w:w="271"/>
        <w:gridCol w:w="466"/>
        <w:gridCol w:w="141"/>
        <w:gridCol w:w="109"/>
        <w:gridCol w:w="109"/>
        <w:gridCol w:w="109"/>
        <w:gridCol w:w="211"/>
        <w:gridCol w:w="511"/>
        <w:gridCol w:w="109"/>
        <w:gridCol w:w="109"/>
        <w:gridCol w:w="109"/>
        <w:gridCol w:w="109"/>
        <w:gridCol w:w="331"/>
        <w:gridCol w:w="326"/>
        <w:gridCol w:w="956"/>
      </w:tblGrid>
      <w:tr>
        <w:trPr/>
        <w:tc>
          <w:tcPr>
            <w:tcW w:w="71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Amount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Royalty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Amount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Royalty Income</w:t>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taxes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and ad valorem taxes</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production taxes are directly related to production revenues and are based upon current year commodity prices, and ad valorem taxes are based, among other factors, on property values driven by prior year commodity prices. Production taxes and ad valorem taxes as a percentage of royalty income for the third quarter of 2025 were relatively consistent with the second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Depletion. </w:t>
      </w:r>
      <w:r>
        <w:rPr>
          <w:rFonts w:ascii="Times New Roman;serif" w:hAnsi="Times New Roman;serif"/>
          <w:b w:val="false"/>
          <w:color w:val="000000"/>
          <w:sz w:val="20"/>
        </w:rPr>
        <w:t>The increase in depletion expense of $58 million for the third quarter of 2025 compared to the second quarter of 2025 consisted primarily of (i) $48 million from growth in production volumes, and (ii) $10 million due to an increase in the depletion rate to $18.17 per BOE for the third quarter of 2025, resulting primarily from the addition of leasehold costs and reserves from the Sitio Acquisition compared to $17.19 per BOE</w:t>
      </w:r>
      <w:r>
        <w:rPr>
          <w:color w:val="BF2115"/>
        </w:rPr>
        <w:t xml:space="preserve"> </w:t>
      </w:r>
      <w:r>
        <w:rPr>
          <w:rFonts w:ascii="Times New Roman;serif" w:hAnsi="Times New Roman;serif"/>
          <w:b w:val="false"/>
          <w:color w:val="000000"/>
          <w:sz w:val="20"/>
        </w:rPr>
        <w:t>for the second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Impairment.</w:t>
      </w:r>
      <w:r>
        <w:rPr>
          <w:color w:val="000000"/>
        </w:rPr>
        <w:t xml:space="preserve"> </w:t>
      </w:r>
      <w:r>
        <w:rPr>
          <w:rFonts w:ascii="Times New Roman;serif" w:hAnsi="Times New Roman;serif"/>
          <w:b w:val="false"/>
          <w:color w:val="000000"/>
          <w:sz w:val="20"/>
        </w:rPr>
        <w:t>In the third quarter of 2025, we recorded a non-cash ceiling test impairment charge of $360 million due to the carrying value of our proved reserves exceeding their estimated future net cash flows utilizing the SEC’s methodology and pricing at September 30, 2025. The excess value resulted primarily from recording properties acquired in the 2025 Drop Down at Diamondback’s historical carrying value, which exceeded the value calculated in the ceiling test using the SEC Prices at September 30, 2025. No impairment expense was recorded for the second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Impairment charges affect our results of operations but do not reduce our cash flow. In addition to commodity prices, our production rates, levels of proved reserves, future development costs, transfers of unevaluated properties, income tax rate assumptions and other factors will determine our actual ceiling test calculation and impairment analysis in future periods. Given the overall decline in SEC Prices through the first three quarters of 2025 and into the fourth quarter of 2025, as compared to 2024, we believe an additional material non-cash impairment of our assets is reasonably likely to occur in the fourth quarter of 2025; however, based on the number of factors that may impact our future estimate of proved reserves, we are currently unable to determine an estimate of the amount or range of amounts of any potential impairment charge in the fourth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Transaction Expenses. </w:t>
      </w:r>
      <w:r>
        <w:rPr>
          <w:rFonts w:ascii="Times New Roman;serif" w:hAnsi="Times New Roman;serif"/>
          <w:b w:val="false"/>
          <w:color w:val="000000"/>
          <w:sz w:val="20"/>
        </w:rPr>
        <w:t>The $15 million in transaction expenses recorded in the third quarter of 2025 primarily consisted of employee severance costs related to the Sitio Acquisition. The $10 million in transaction expenses recorded in the second quarter of 2025 are costs related to the 2025 Drop Down, which was accounted for as a common control transaction, including $5 million of deal advisory fees and other individually insignificant costs for accounting, legal and filing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Interest Expense, Net. </w:t>
      </w:r>
      <w:r>
        <w:rPr>
          <w:rFonts w:ascii="Times New Roman;serif" w:hAnsi="Times New Roman;serif"/>
          <w:b w:val="false"/>
          <w:color w:val="000000"/>
          <w:sz w:val="20"/>
        </w:rPr>
        <w:t>The increase in net interest expense of $17 million for the third quarter of 2025 compared to the second quarter of 2025 consisted primarily of (i) $16 million in additional expense incurred for our Guaranteed Senior Notes, which were issued July 23, 2025, (ii) $3 million in additional expense incurred on the Term Loan, (iii) $2 million in additional amortization of debt issuance costs related to costs incurred on the Guaranteed Senior Notes and the Term Loan, and (iv) other individually insignificant changes. These increases in net interest expense were partially offset by interest cost savings of $6 million due to the early termination of the Notes.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Derivative Instruments. </w:t>
      </w:r>
      <w:r>
        <w:rPr>
          <w:rFonts w:ascii="Times New Roman;serif" w:hAnsi="Times New Roman;serif"/>
          <w:b w:val="false"/>
          <w:color w:val="000000"/>
          <w:sz w:val="20"/>
        </w:rPr>
        <w:t>The following table shows the net gain (loss) on derivative instruments and the net cash receipts (payments) on derivatives for the periods presented:</w:t>
      </w:r>
    </w:p>
    <w:p>
      <w:pPr>
        <w:pStyle w:val="TextBody"/>
        <w:bidi w:val="0"/>
        <w:spacing w:before="0" w:after="0"/>
        <w:ind w:left="0" w:right="0" w:firstLine="720"/>
        <w:jc w:val="both"/>
        <w:rPr/>
      </w:pPr>
      <w:r>
        <w:rPr/>
      </w:r>
    </w:p>
    <w:tbl>
      <w:tblPr>
        <w:tblW w:w="6766" w:type="dxa"/>
        <w:jc w:val="left"/>
        <w:tblInd w:w="0" w:type="dxa"/>
        <w:tblLayout w:type="fixed"/>
        <w:tblCellMar>
          <w:top w:w="28" w:type="dxa"/>
          <w:left w:w="28" w:type="dxa"/>
          <w:bottom w:w="28" w:type="dxa"/>
          <w:right w:w="28" w:type="dxa"/>
        </w:tblCellMar>
      </w:tblPr>
      <w:tblGrid>
        <w:gridCol w:w="1313"/>
        <w:gridCol w:w="1156"/>
        <w:gridCol w:w="1160"/>
        <w:gridCol w:w="496"/>
        <w:gridCol w:w="850"/>
        <w:gridCol w:w="258"/>
        <w:gridCol w:w="111"/>
        <w:gridCol w:w="111"/>
        <w:gridCol w:w="111"/>
        <w:gridCol w:w="316"/>
        <w:gridCol w:w="653"/>
        <w:gridCol w:w="231"/>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receipts (payments) on derivatives</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$47 million change to a gain on derivative instruments, net in the third quarter of 2025 compared to a loss in the second quarter of 2025 consists of (i) a $38 million increase in the value of our open natural gas contracts due primarily to a $43 million increase in the value of our basis swaps from changes in the differential between prices for Waha Hub and Henry Hub, (ii) a $7 million decrease in the estimated fair value of our 2026 WTI Contingent Liability based on fluctuations in the projected WTI 2025 Average price, (iii) a $5 million increase in cash receipts on settled natural gas basis swaps, and (iv) a $3 million cash receipt on our treasury locks, which were terminated upon issuance of the Guaranteed Senior Notes. These increases were offset by a $5 million decrease in the value of our open oil contracts and other insignificant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10—</w:t>
      </w:r>
      <w:hyperlink w:anchor="ic01bfbabb6754916b0efdfc1e843db94_67">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 of our open contracts at September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Gain (loss) on Early Extinguishment of Debt.</w:t>
      </w:r>
      <w:r>
        <w:rPr>
          <w:color w:val="000000"/>
        </w:rPr>
        <w:t xml:space="preserve"> </w:t>
      </w:r>
      <w:r>
        <w:rPr>
          <w:rFonts w:ascii="Times New Roman;serif" w:hAnsi="Times New Roman;serif"/>
          <w:b w:val="false"/>
          <w:color w:val="000000"/>
          <w:sz w:val="20"/>
        </w:rPr>
        <w:t>The $32 million loss on early extinguishment of debt in the third quarter of 2025 is due to the retirement of the 2031 Notes. See Note 6—</w:t>
      </w:r>
      <w:hyperlink w:anchor="ic01bfbabb6754916b0efdfc1e843db94_5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 of our debt at September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Provision for (Benefit from) Income Taxes. </w:t>
      </w:r>
      <w:r>
        <w:rPr>
          <w:rFonts w:ascii="Times New Roman;serif" w:hAnsi="Times New Roman;serif"/>
          <w:b w:val="false"/>
          <w:color w:val="000000"/>
          <w:sz w:val="20"/>
        </w:rPr>
        <w:t>The $33 million change from income tax expense to benefit from income taxes for the third quarter of 2025 compared to the second quarter of 2025 primarily resulted from a net loss attributable to Viper driven by the $360 million non-cash impairment recorded in the third quarter of 2025. See Note 9—</w:t>
      </w:r>
      <w:hyperlink w:anchor="ic01bfbabb6754916b0efdfc1e843db94_64">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income tax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Net Income (Loss) Attributable to Non-controlling Interest. </w:t>
      </w:r>
      <w:r>
        <w:rPr>
          <w:rFonts w:ascii="Times New Roman;serif" w:hAnsi="Times New Roman;serif"/>
          <w:b w:val="false"/>
          <w:color w:val="000000"/>
          <w:sz w:val="20"/>
        </w:rPr>
        <w:t>The $167 million decrease in net income attributable to non-controlling interest for the third quarter of 2025 compared to the second quarter of 2025 is primarily due to a net loss resulting from the $360 million non-cash impairment expense recorded in the third quarter of 2025 and changes in the non-controlling interest in the Operating Company resulting from the issuance of OpCo Units to fund the Sitio Acquisition in the third quarter of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Comparison of the Nine Months Ended September 30, 2025, and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income and expenses for the periods indicated:</w:t>
      </w:r>
    </w:p>
    <w:p>
      <w:pPr>
        <w:pStyle w:val="TextBody"/>
        <w:bidi w:val="0"/>
        <w:spacing w:before="0" w:after="0"/>
        <w:ind w:left="0" w:right="0" w:firstLine="720"/>
        <w:jc w:val="both"/>
        <w:rPr/>
      </w:pPr>
      <w:r>
        <w:rPr/>
      </w:r>
    </w:p>
    <w:tbl>
      <w:tblPr>
        <w:tblW w:w="7555" w:type="dxa"/>
        <w:jc w:val="left"/>
        <w:tblInd w:w="0" w:type="dxa"/>
        <w:tblLayout w:type="fixed"/>
        <w:tblCellMar>
          <w:top w:w="28" w:type="dxa"/>
          <w:left w:w="28" w:type="dxa"/>
          <w:bottom w:w="28" w:type="dxa"/>
          <w:right w:w="28" w:type="dxa"/>
        </w:tblCellMar>
      </w:tblPr>
      <w:tblGrid>
        <w:gridCol w:w="1704"/>
        <w:gridCol w:w="1500"/>
        <w:gridCol w:w="1506"/>
        <w:gridCol w:w="309"/>
        <w:gridCol w:w="683"/>
        <w:gridCol w:w="159"/>
        <w:gridCol w:w="159"/>
        <w:gridCol w:w="159"/>
        <w:gridCol w:w="159"/>
        <w:gridCol w:w="309"/>
        <w:gridCol w:w="683"/>
        <w:gridCol w:w="225"/>
      </w:tblGrid>
      <w:tr>
        <w:trPr/>
        <w:tc>
          <w:tcPr>
            <w:tcW w:w="17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income—related party</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expenses—related party</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early extinguishment of debt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Viper Energy, Inc.</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production data, average sales prices and average costs for the periods indicated:</w:t>
      </w:r>
    </w:p>
    <w:p>
      <w:pPr>
        <w:pStyle w:val="TextBody"/>
        <w:bidi w:val="0"/>
        <w:spacing w:before="0" w:after="0"/>
        <w:ind w:left="0" w:right="0" w:firstLine="720"/>
        <w:jc w:val="both"/>
        <w:rPr/>
      </w:pPr>
      <w:r>
        <w:rPr/>
      </w:r>
    </w:p>
    <w:tbl>
      <w:tblPr>
        <w:tblW w:w="8411" w:type="dxa"/>
        <w:jc w:val="left"/>
        <w:tblInd w:w="0" w:type="dxa"/>
        <w:tblLayout w:type="fixed"/>
        <w:tblCellMar>
          <w:top w:w="28" w:type="dxa"/>
          <w:left w:w="28" w:type="dxa"/>
          <w:bottom w:w="28" w:type="dxa"/>
          <w:right w:w="28" w:type="dxa"/>
        </w:tblCellMar>
      </w:tblPr>
      <w:tblGrid>
        <w:gridCol w:w="2013"/>
        <w:gridCol w:w="1774"/>
        <w:gridCol w:w="1777"/>
        <w:gridCol w:w="268"/>
        <w:gridCol w:w="782"/>
        <w:gridCol w:w="138"/>
        <w:gridCol w:w="138"/>
        <w:gridCol w:w="138"/>
        <w:gridCol w:w="138"/>
        <w:gridCol w:w="268"/>
        <w:gridCol w:w="782"/>
        <w:gridCol w:w="195"/>
      </w:tblGrid>
      <w:tr>
        <w:trPr/>
        <w:tc>
          <w:tcPr>
            <w:tcW w:w="201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22,393 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oil volumes (BO/d)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26,248 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combined volumes (BOE/d)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47,661 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sales prices: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($/Bbl)</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($/Mcf)</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($/Bbl)</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($/BOE)</w:t>
            </w:r>
            <w:r>
              <w:rPr>
                <w:rFonts w:ascii="Times New Roman;serif" w:hAnsi="Times New Roman;serif"/>
                <w:b w:val="false"/>
                <w:color w:val="000000"/>
                <w:sz w:val="13"/>
              </w:rPr>
              <w:t>(2)</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($/Bbl)</w:t>
            </w:r>
            <w:r>
              <w:rPr>
                <w:rFonts w:ascii="Times New Roman;serif" w:hAnsi="Times New Roman;serif"/>
                <w:b w:val="false"/>
                <w:color w:val="000000"/>
                <w:sz w:val="13"/>
              </w:rPr>
              <w:t>(3)</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($/Mcf)</w:t>
            </w:r>
            <w:r>
              <w:rPr>
                <w:rFonts w:ascii="Times New Roman;serif" w:hAnsi="Times New Roman;serif"/>
                <w:b w:val="false"/>
                <w:color w:val="000000"/>
                <w:sz w:val="13"/>
              </w:rPr>
              <w:t>(3)</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($/Bbl)</w:t>
            </w:r>
            <w:r>
              <w:rPr>
                <w:rFonts w:ascii="Times New Roman;serif" w:hAnsi="Times New Roman;serif"/>
                <w:b w:val="false"/>
                <w:color w:val="000000"/>
                <w:sz w:val="13"/>
              </w:rPr>
              <w:t>(3)</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price, hedged ($/BOE)</w:t>
            </w:r>
            <w:r>
              <w:rPr>
                <w:rFonts w:ascii="Times New Roman;serif" w:hAnsi="Times New Roman;serif"/>
                <w:b w:val="false"/>
                <w:color w:val="000000"/>
                <w:sz w:val="13"/>
              </w:rPr>
              <w:t>(3)</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costs ($/BOE):</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cash component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 - cash</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non-cash stock compensation expense</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Bbl equivalents are calculated using a conversion rate of six Mcf per one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Realized price net of all deducts for gathering, transportation and processing.</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Hedged prices reflect the impact of cash settlements of our matured commodity derivative transactions on our average sales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changes in our revenues and expenses for the nine months ended September 30, 2025, as compared to the nine months ended September 30, 2024, are discussed further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Royalty Income. </w:t>
      </w:r>
      <w:r>
        <w:rPr>
          <w:rFonts w:ascii="Times New Roman;serif" w:hAnsi="Times New Roman;serif"/>
          <w:b w:val="false"/>
          <w:color w:val="000000"/>
          <w:sz w:val="20"/>
        </w:rPr>
        <w:t>Our royalty income is a function of oil, natural gas and natural gas liquids production volumes sold and average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income increased $295 million during the nine months ended September 30, 2025, compared to the same period in 2024. This net increase consisted of an additional $410 million in royalty income from the 71% growth in production, partially offset by a decrease of $115 million due primarily to lower average prices received for our oil production during 2025 compared to the same period in 2024.</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Of the 71% growth in production, approximately 52% is attributable to the 2025 Drop Down, 17% is attributable to the Sitio Acquisition, 9% is attributable to the Tumbleweed Acquisitions, and 2% is attributable to the Morita Ranches Acquisition. The remainder of the growth is primarily from new wells added between periods. See Note 4—</w:t>
      </w:r>
      <w:hyperlink w:anchor="ic01bfbabb6754916b0efdfc1e843db94_49">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 of our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Production and Ad Valorem Taxes. </w:t>
      </w:r>
      <w:r>
        <w:rPr>
          <w:rFonts w:ascii="Times New Roman;serif" w:hAnsi="Times New Roman;serif"/>
          <w:b w:val="false"/>
          <w:color w:val="000000"/>
          <w:sz w:val="20"/>
        </w:rPr>
        <w:t>The following table presents production and ad valorem taxes</w:t>
      </w:r>
      <w:r>
        <w:rPr>
          <w:color w:val="000000"/>
          <w:shd w:fill="FFFFFF" w:val="clear"/>
        </w:rPr>
        <w:t xml:space="preserve"> </w:t>
      </w:r>
      <w:r>
        <w:rPr>
          <w:rFonts w:ascii="Times New Roman;serif" w:hAnsi="Times New Roman;serif"/>
          <w:b w:val="false"/>
          <w:color w:val="000000"/>
          <w:sz w:val="20"/>
          <w:shd w:fill="FFFFFF" w:val="clear"/>
        </w:rPr>
        <w:t>for the</w:t>
      </w:r>
      <w:r>
        <w:rPr>
          <w:color w:val="000000"/>
        </w:rPr>
        <w:t xml:space="preserve"> </w:t>
      </w:r>
      <w:r>
        <w:rPr>
          <w:rFonts w:ascii="Times New Roman;serif" w:hAnsi="Times New Roman;serif"/>
          <w:b w:val="false"/>
          <w:color w:val="000000"/>
          <w:sz w:val="20"/>
        </w:rPr>
        <w:t>periods indicated</w:t>
      </w:r>
      <w:r>
        <w:rPr>
          <w:rFonts w:ascii="Times New Roman;serif" w:hAnsi="Times New Roman;serif"/>
          <w:b w:val="false"/>
          <w:color w:val="000000"/>
          <w:sz w:val="20"/>
          <w:shd w:fill="FFFFFF" w:val="clear"/>
        </w:rPr>
        <w: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18"/>
        <w:gridCol w:w="632"/>
        <w:gridCol w:w="633"/>
        <w:gridCol w:w="271"/>
        <w:gridCol w:w="466"/>
        <w:gridCol w:w="141"/>
        <w:gridCol w:w="109"/>
        <w:gridCol w:w="109"/>
        <w:gridCol w:w="109"/>
        <w:gridCol w:w="211"/>
        <w:gridCol w:w="511"/>
        <w:gridCol w:w="109"/>
        <w:gridCol w:w="109"/>
        <w:gridCol w:w="109"/>
        <w:gridCol w:w="109"/>
        <w:gridCol w:w="346"/>
        <w:gridCol w:w="346"/>
        <w:gridCol w:w="864"/>
        <w:gridCol w:w="109"/>
        <w:gridCol w:w="109"/>
        <w:gridCol w:w="109"/>
        <w:gridCol w:w="271"/>
        <w:gridCol w:w="466"/>
        <w:gridCol w:w="141"/>
        <w:gridCol w:w="109"/>
        <w:gridCol w:w="109"/>
        <w:gridCol w:w="109"/>
        <w:gridCol w:w="211"/>
        <w:gridCol w:w="511"/>
        <w:gridCol w:w="109"/>
        <w:gridCol w:w="109"/>
        <w:gridCol w:w="109"/>
        <w:gridCol w:w="109"/>
        <w:gridCol w:w="331"/>
        <w:gridCol w:w="326"/>
        <w:gridCol w:w="956"/>
      </w:tblGrid>
      <w:tr>
        <w:trPr/>
        <w:tc>
          <w:tcPr>
            <w:tcW w:w="71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Amount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Royalty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Amount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Royalty Income</w:t>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taxes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8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and ad valorem taxes</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production taxes are directly related to production revenues and are based upon current year commodity prices. Ad valorem taxes are based, among other factors, on property values driven by prior year commodity prices. Production taxes and ad valorem taxes as a percentage of royalty income for the nine months ended September 30, 2025, were relatively consistent with the same period in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Depletion. </w:t>
      </w:r>
      <w:r>
        <w:rPr>
          <w:rFonts w:ascii="Times New Roman;serif" w:hAnsi="Times New Roman;serif"/>
          <w:b w:val="false"/>
          <w:color w:val="000000"/>
          <w:sz w:val="20"/>
        </w:rPr>
        <w:t>The increase in depletion expense of $223 million for the nine months ended September 30, 2025, compared to the same period in 2024 consisted primarily of (i) $116 million due to an increase in the depletion rate to $16.66 per BOE for the nine months ended September 30, 2025, resulting primarily from the addition of leasehold costs and reserves from the TWR Acquisition, the Morita Ranches Acquisition, the 2025 Drop Down and the Sitio Acquisition compared to $11.47 per BOE</w:t>
      </w:r>
      <w:r>
        <w:rPr>
          <w:color w:val="BF2115"/>
        </w:rPr>
        <w:t xml:space="preserve"> </w:t>
      </w:r>
      <w:r>
        <w:rPr>
          <w:rFonts w:ascii="Times New Roman;serif" w:hAnsi="Times New Roman;serif"/>
          <w:b w:val="false"/>
          <w:color w:val="000000"/>
          <w:sz w:val="20"/>
        </w:rPr>
        <w:t>for the same period in 2024, and (ii) $107 million from growth in production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Impairment.</w:t>
      </w:r>
      <w:r>
        <w:rPr>
          <w:color w:val="000000"/>
        </w:rPr>
        <w:t xml:space="preserve"> </w:t>
      </w:r>
      <w:r>
        <w:rPr>
          <w:rFonts w:ascii="Times New Roman;serif" w:hAnsi="Times New Roman;serif"/>
          <w:b w:val="false"/>
          <w:color w:val="000000"/>
          <w:sz w:val="20"/>
        </w:rPr>
        <w:t>See discussion in “</w:t>
      </w:r>
      <w:r>
        <w:rPr>
          <w:color w:val="000000"/>
        </w:rPr>
        <w:t>—</w:t>
      </w:r>
      <w:hyperlink w:anchor="ic01bfbabb6754916b0efdfc1e843db94_103">
        <w:r>
          <w:rPr>
            <w:rStyle w:val="InternetLink"/>
            <w:rFonts w:ascii="Times New Roman;serif" w:hAnsi="Times New Roman;serif"/>
            <w:b w:val="false"/>
            <w:i/>
            <w:color w:val="0000FF"/>
            <w:sz w:val="20"/>
            <w:u w:val="single"/>
          </w:rPr>
          <w:t>Results of Operations—Comparison of the Three Months Ended September 30, 2025, and June 30, 2025</w:t>
        </w:r>
      </w:hyperlink>
      <w:r>
        <w:rPr>
          <w:color w:val="000000"/>
        </w:rPr>
        <w:t xml:space="preserve">” </w:t>
      </w:r>
      <w:r>
        <w:rPr>
          <w:rFonts w:ascii="Times New Roman;serif" w:hAnsi="Times New Roman;serif"/>
          <w:b w:val="false"/>
          <w:color w:val="000000"/>
          <w:sz w:val="20"/>
        </w:rPr>
        <w:t>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Transaction expenses. </w:t>
      </w:r>
      <w:r>
        <w:rPr>
          <w:rFonts w:ascii="Times New Roman;serif" w:hAnsi="Times New Roman;serif"/>
          <w:b w:val="false"/>
          <w:color w:val="000000"/>
          <w:sz w:val="20"/>
        </w:rPr>
        <w:t>The $25 million in transaction expenses recorded in the nine months ended September 30, 2025, are (i) $15 million in employee severance costs related to the Sitio Acquisition, and (ii) costs related to the 2025 Drop Down, which was accounted for as a common control transaction, including $5 million of deal advisory fees and other individually insignificant costs for accounting, legal and filing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Interest Expense, Net. </w:t>
      </w:r>
      <w:r>
        <w:rPr>
          <w:rFonts w:ascii="Times New Roman;serif" w:hAnsi="Times New Roman;serif"/>
          <w:b w:val="false"/>
          <w:color w:val="000000"/>
          <w:sz w:val="20"/>
        </w:rPr>
        <w:t>The increase in net interest expense of $6 million for the nine months ended September 30, 2025, compared to the same period in 2024 consisted primarily of (i) approximately $16 million in additional expense incurred for our Guaranteed Senior Notes, which were issued July 23, 2025, (ii) approximately $3 million in additional interest expense incurred on the Term Loan, and (iii) other individually insignificant changes. These increases in net interest expense were partially offset by (i) the receipt of approximately $7 million in additional interest income, and (ii) interest cost savings of approximately $7 million due to the early termination of the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Derivative Instruments. </w:t>
      </w:r>
      <w:r>
        <w:rPr>
          <w:rFonts w:ascii="Times New Roman;serif" w:hAnsi="Times New Roman;serif"/>
          <w:b w:val="false"/>
          <w:color w:val="000000"/>
          <w:sz w:val="20"/>
        </w:rPr>
        <w:t>The following table shows the net gain (loss) on derivative instruments and the net cash receipts (payments) on derivatives for the periods presented:</w:t>
      </w:r>
    </w:p>
    <w:p>
      <w:pPr>
        <w:pStyle w:val="TextBody"/>
        <w:bidi w:val="0"/>
        <w:spacing w:before="0" w:after="0"/>
        <w:ind w:left="0" w:right="0" w:firstLine="720"/>
        <w:jc w:val="both"/>
        <w:rPr/>
      </w:pPr>
      <w:r>
        <w:rPr/>
      </w:r>
    </w:p>
    <w:tbl>
      <w:tblPr>
        <w:tblW w:w="6476" w:type="dxa"/>
        <w:jc w:val="left"/>
        <w:tblInd w:w="0" w:type="dxa"/>
        <w:tblLayout w:type="fixed"/>
        <w:tblCellMar>
          <w:top w:w="28" w:type="dxa"/>
          <w:left w:w="28" w:type="dxa"/>
          <w:bottom w:w="28" w:type="dxa"/>
          <w:right w:w="28" w:type="dxa"/>
        </w:tblCellMar>
      </w:tblPr>
      <w:tblGrid>
        <w:gridCol w:w="1313"/>
        <w:gridCol w:w="1156"/>
        <w:gridCol w:w="1160"/>
        <w:gridCol w:w="353"/>
        <w:gridCol w:w="603"/>
        <w:gridCol w:w="182"/>
        <w:gridCol w:w="182"/>
        <w:gridCol w:w="182"/>
        <w:gridCol w:w="182"/>
        <w:gridCol w:w="353"/>
        <w:gridCol w:w="553"/>
        <w:gridCol w:w="257"/>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receipts (payments) on derivatives</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$16 million increase in the gain on derivative instruments, net for the nine months ended September 30, 2025, compared to the same period in 2024 consists primarily of (i) a $25 million increase in cash receipts on our settled natural gas basis swaps, (ii) a $3 million decrease in the estimated fair value of our 2026 WTI Contingent Liability based on fluctuations in the projected WTI 2025 Average price, (iii) a $3 million increase in the value of our open oil contracts, (iv) a $3 million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receipt on our treasury locks, which were terminated upon issuance of the Guaranteed Senior Notes, and (v) other insignificant changes. These increases were primarily offset by a $15 million decrease in the value of our open natural gas contracts primarily due to changes in the differential between prices for Waha Hub and Henry Hub on our basis swaps and other insignificant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10—</w:t>
      </w:r>
      <w:hyperlink w:anchor="ic01bfbabb6754916b0efdfc1e843db94_67">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 of our open contracts at September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Gain (loss) on Early Extinguishment of Debt.</w:t>
      </w:r>
      <w:r>
        <w:rPr>
          <w:color w:val="000000"/>
        </w:rPr>
        <w:t xml:space="preserve"> </w:t>
      </w:r>
      <w:r>
        <w:rPr>
          <w:rFonts w:ascii="Times New Roman;serif" w:hAnsi="Times New Roman;serif"/>
          <w:b w:val="false"/>
          <w:color w:val="000000"/>
          <w:sz w:val="20"/>
        </w:rPr>
        <w:t>See discussion in “</w:t>
      </w:r>
      <w:r>
        <w:rPr>
          <w:color w:val="000000"/>
        </w:rPr>
        <w:t>—</w:t>
      </w:r>
      <w:hyperlink w:anchor="ic01bfbabb6754916b0efdfc1e843db94_103">
        <w:r>
          <w:rPr>
            <w:rStyle w:val="InternetLink"/>
            <w:rFonts w:ascii="Times New Roman;serif" w:hAnsi="Times New Roman;serif"/>
            <w:b w:val="false"/>
            <w:i/>
            <w:color w:val="0000FF"/>
            <w:sz w:val="20"/>
            <w:u w:val="single"/>
          </w:rPr>
          <w:t>Results of Operations—Comparison of the Three Months Ended September 30, 2025, and June 30, 2025</w:t>
        </w:r>
      </w:hyperlink>
      <w:r>
        <w:rPr>
          <w:color w:val="000000"/>
        </w:rPr>
        <w:t xml:space="preserve">” </w:t>
      </w:r>
      <w:r>
        <w:rPr>
          <w:rFonts w:ascii="Times New Roman;serif" w:hAnsi="Times New Roman;serif"/>
          <w:b w:val="false"/>
          <w:color w:val="000000"/>
          <w:sz w:val="20"/>
        </w:rPr>
        <w:t>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Provision for (Benefit from) Income Taxes. </w:t>
      </w:r>
      <w:r>
        <w:rPr>
          <w:rFonts w:ascii="Times New Roman;serif" w:hAnsi="Times New Roman;serif"/>
          <w:b w:val="false"/>
          <w:color w:val="000000"/>
          <w:sz w:val="20"/>
        </w:rPr>
        <w:t>The $41 million decrease in income tax expense for the nine months ended September 30, 2025, compared to the same period in 2024 primarily resulted from a decrease in pre-tax income attributable to Viper driven by the $360 million non-cash impairment recorded in the third quarter of 2025. See Note 9—</w:t>
      </w:r>
      <w:hyperlink w:anchor="ic01bfbabb6754916b0efdfc1e843db94_64">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income tax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Net Income (Loss) Attributable to Non-controlling Interest. </w:t>
      </w:r>
      <w:r>
        <w:rPr>
          <w:rFonts w:ascii="Times New Roman;serif" w:hAnsi="Times New Roman;serif"/>
          <w:b w:val="false"/>
          <w:color w:val="000000"/>
          <w:sz w:val="20"/>
        </w:rPr>
        <w:t>The $177 million decrease in net income attributable to non-controlling interest for the nine months ended September 30, 2025, compared to the same period in 2024 is primarily due to a decrease in net income and changes in the non-controlling interest in the Operating Company resulting from (i) the Drop Down Equity Issuance, (ii) the issuance of OpCo Units to fund the Sitio Acquisition in the third quarter of 2025, (iii) the issuance of OpCo Units to the Morita Ranches Equity Recipients, and (iv) the issuance of OpCo Units to TWR IV in the fourth quarter of 2024, which were partially offset by a dilution of the non-controlling interest following the 2024 Equity Offering and the 2025 Equity Offering.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Overview of Sources and Uses of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we pursue our business and financial strategy, we regularly consider which capital resources, including cash flow,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equity and debt offerings, borrowings under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2025 Revolving Credit Facility and proceeds from sales of non-core assets. Our primary uses of cash have been dividends to our stockholders, Operating Company distributions to the holders of OpCo Units, repayments of debt, capital expenditures for the acquisition of our mineral and royalty interests in oil and natural gas properties, including the recently completed Sitio Acquisition, the 2025 Drop Down and the Morita Ranches Acquisition and repurchases of our Class A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At September 30, 2025, we had approximately $1.4 billion of liquidity consisting of $53 million in cash and cash equivalents and $1.3 billion in available borrowings under the 2025 Revolving Credit Facility. At September 30, 2025, our $380 million 2027 Notes were recorded as a current liability in the condensed consolidated balance sheet and were subsequently redeemed on November 1, 2025, with funds held in restricted cash as discussed in Note 6—</w:t>
      </w:r>
      <w:hyperlink w:anchor="ic01bfbabb6754916b0efdfc1e843db94_5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 See “—</w:t>
      </w:r>
      <w:hyperlink w:anchor="ic01bfbabb6754916b0efdfc1e843db94_115">
        <w:r>
          <w:rPr>
            <w:rStyle w:val="InternetLink"/>
            <w:rFonts w:ascii="Times New Roman;serif" w:hAnsi="Times New Roman;serif"/>
            <w:b w:val="false"/>
            <w:i/>
            <w:color w:val="0000FF"/>
            <w:sz w:val="20"/>
            <w:u w:val="single"/>
          </w:rPr>
          <w:t>Capital Resource</w:t>
        </w:r>
      </w:hyperlink>
      <w:hyperlink w:anchor="ic01bfbabb6754916b0efdfc1e843db94_115">
        <w:r>
          <w:rPr>
            <w:rStyle w:val="InternetLink"/>
            <w:rFonts w:ascii="Times New Roman;serif" w:hAnsi="Times New Roman;serif"/>
            <w:b w:val="false"/>
            <w:color w:val="0000FF"/>
            <w:sz w:val="20"/>
            <w:u w:val="single"/>
          </w:rPr>
          <w:t>s</w:t>
        </w:r>
      </w:hyperlink>
      <w:r>
        <w:rPr>
          <w:color w:val="000000"/>
        </w:rPr>
        <w:t xml:space="preserve">” </w:t>
      </w:r>
      <w:r>
        <w:rPr>
          <w:rFonts w:ascii="Times New Roman;serif" w:hAnsi="Times New Roman;serif"/>
          <w:b w:val="false"/>
          <w:color w:val="000000"/>
          <w:sz w:val="20"/>
        </w:rPr>
        <w:t>below for additional discussions of changes in our sources of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working capital requirements are supported by our cash and cash equivalents and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2025 Revolving Credit Facility. We may draw on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2025 Revolving Credit Facility to meet short-term cash requirements, or issue debt or equity securities as part of our longer-term liquidity and capital management program. Because of the alternatives available to us as discussed above, we believe our short-term and long-term liquidity are adequate to fund not only our current operations, but also our near-term and long-term funding requirements including future acquisitions of mineral and royalty interests, dividends, debt service obligations, repayment of debt maturities, any repurchases of our Class A Common Stock, Notes or Guaranteed Senior Notes and any amounts that may ultimately be paid in connection with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order to mitigate volatility in oil and natural gas prices, we have entered into commodity derivative contracts as discussed further in </w:t>
      </w:r>
      <w:hyperlink w:anchor="ic01bfbabb6754916b0efdfc1e843db94_124">
        <w:r>
          <w:rPr>
            <w:rStyle w:val="InternetLink"/>
            <w:rFonts w:ascii="Times New Roman;serif" w:hAnsi="Times New Roman;serif"/>
            <w:b w:val="false"/>
            <w:color w:val="0000FF"/>
            <w:sz w:val="20"/>
            <w:u w:val="single"/>
          </w:rPr>
          <w:t>Part II. Item 3. Quantitative and Qualitative Disclosures About Market Risk—Commodity Price Risk</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Continued prolonged volatility in the capital, financial and/or credit markets due to changing or adverse macroeconomic conditions, including tariffs, higher interest rates, global supply chain disruptions and actions taken by OPEC members and other exporting nations, conflicts in the Middle East and globally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cash flows for the periods indicated:</w:t>
      </w:r>
    </w:p>
    <w:p>
      <w:pPr>
        <w:pStyle w:val="TextBody"/>
        <w:bidi w:val="0"/>
        <w:spacing w:before="0" w:after="0"/>
        <w:ind w:left="0" w:right="0" w:firstLine="720"/>
        <w:jc w:val="both"/>
        <w:rPr/>
      </w:pPr>
      <w:r>
        <w:rPr/>
      </w:r>
    </w:p>
    <w:tbl>
      <w:tblPr>
        <w:tblW w:w="8410" w:type="dxa"/>
        <w:jc w:val="left"/>
        <w:tblInd w:w="0" w:type="dxa"/>
        <w:tblLayout w:type="fixed"/>
        <w:tblCellMar>
          <w:top w:w="28" w:type="dxa"/>
          <w:left w:w="28" w:type="dxa"/>
          <w:bottom w:w="28" w:type="dxa"/>
          <w:right w:w="28" w:type="dxa"/>
        </w:tblCellMar>
      </w:tblPr>
      <w:tblGrid>
        <w:gridCol w:w="2012"/>
        <w:gridCol w:w="1764"/>
        <w:gridCol w:w="1789"/>
        <w:gridCol w:w="309"/>
        <w:gridCol w:w="683"/>
        <w:gridCol w:w="159"/>
        <w:gridCol w:w="159"/>
        <w:gridCol w:w="159"/>
        <w:gridCol w:w="159"/>
        <w:gridCol w:w="309"/>
        <w:gridCol w:w="683"/>
        <w:gridCol w:w="225"/>
      </w:tblGrid>
      <w:tr>
        <w:trPr/>
        <w:tc>
          <w:tcPr>
            <w:tcW w:w="2012"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flow data:</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operating cash flow is sensitive to many variables, the most significant of which are the volatility of prices for oil and natural gas and the volumes of oil and natural gas sold by our producers. The increase in net cash provided by operating activities during the nine months ended September 30, 2025, compared to the same period in 2024 was primarily driven by an increase in royalty and lease bonus income and receiving cash payments on our derivatives in 2025 compared to making cash payments to counterparties in 2024. These increases in cash flow were partially offset by an increase in certain cash costs for transaction expenses and production taxes and other changes in our working capital accounts including the timing of when accounts receivable are collected. See “</w:t>
      </w:r>
      <w:r>
        <w:rPr>
          <w:color w:val="000000"/>
        </w:rPr>
        <w:t>—</w:t>
      </w:r>
      <w:hyperlink w:anchor="ic01bfbabb6754916b0efdfc1e843db94_106">
        <w:r>
          <w:rPr>
            <w:rStyle w:val="InternetLink"/>
            <w:rFonts w:ascii="Times New Roman;serif" w:hAnsi="Times New Roman;serif"/>
            <w:b w:val="false"/>
            <w:i/>
            <w:color w:val="0000FF"/>
            <w:sz w:val="20"/>
            <w:u w:val="single"/>
          </w:rPr>
          <w:t>Results of Operations</w:t>
        </w:r>
      </w:hyperlink>
      <w:r>
        <w:rPr>
          <w:color w:val="000000"/>
        </w:rPr>
        <w:t xml:space="preserve">” </w:t>
      </w:r>
      <w:r>
        <w:rPr>
          <w:rFonts w:ascii="Times New Roman;serif" w:hAnsi="Times New Roman;serif"/>
          <w:b w:val="false"/>
          <w:color w:val="000000"/>
          <w:sz w:val="20"/>
        </w:rPr>
        <w:t>for discussion of significant changes in our revenues and expenses.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Net cash used in investing activities during the nine months ended September 30, 2025, was primarily related to acquisitions of oil and natural gas interests, including the approximately $1.2 billion repayment made for Sitio’s outstanding debt as part of the consideration for the Sitio Acquisition, the 2025 Drop Down, the Morita Ranches Acquisition and from other third parties. See Note 4—</w:t>
      </w:r>
      <w:hyperlink w:anchor="ic01bfbabb6754916b0efdfc1e843db94_49">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of the notes to the condensed consolidated financial statements for additional information on these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nine months ended September 30, 2024, was primarily related to the Q Acquisition, the M Acquisition and acquisitions of oil and natural gas interests from third parties, partially offset by proceeds from the divestiture of our non-Permian assets.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nine months ended September 30, 2025, was primarily attributable to (i) net proceeds from the issuance of the Guaranteed Senior Notes of $1.6 billion, (ii) proceeds of $1.2 billion from the 2025 Equity Offering, and (iii) net proceeds from the Term Loan of $500 million. These cash inflows were partially offset by (i) net repayments of $101 million on the 2025 Revolving Credit Facility, (ii) a payment of $427 million for the retirement of the outstanding 2031 Notes principal and redemption premium and $50 million paid for the redemption of a portion of principal outstanding on the 2027 prior to their satisfaction and discharge, (iii) $512 million of dividends paid to holders of the OpCo Units and our Class A Common Stock, and (iv) $100 million of repurchases as part of the share repurchase programs.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Net cash used in financing activities during the nine months ended September 30, 2024, was primarily attributable to $349 million of dividends paid to holders of the OpCo Units and our Class A Common Stock and net repayments of $263 million on the Operating Company’s previous revolving credit facility, offset by proceeds of $476 million from the </w:t>
      </w:r>
      <w:r>
        <w:rPr>
          <w:rFonts w:ascii="Times New Roman;serif" w:hAnsi="Times New Roman;serif"/>
          <w:b w:val="false"/>
          <w:color w:val="000000"/>
          <w:sz w:val="20"/>
          <w:shd w:fill="FFFFFF" w:val="clear"/>
        </w:rPr>
        <w:t>2024 Equity Offering</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2025 Revolving Credit Facility and Other Debt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30, 2025, the Operating Company’s credit facility, which matures on June 12, 2030, had a commitment amount of $1.5 billion, with $160 million in outstanding borrowings and $1.3 billion of availability. Additionally, at September 30, 2025, we had $500 million in outstanding borrowings under the 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6—</w:t>
      </w:r>
      <w:hyperlink w:anchor="ic01bfbabb6754916b0efdfc1e843db94_5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discussions of our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Debt Ratings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receive debt ratings from the major ratings agencies in the U.S., which impact the interest rates we receive on our variable rate debt and interest rate swaps. In determining our debt ratings, the agencies consider a number of qualitative and quantitative items including, but not limited to, commodity pricing levels, our liquidity, asset quality, reserve mix, debt levels, cost structure, planned asset sales and production growth opportunities. In May 2025, Fitch Investor Services upgraded our credit rating to investment grade, the second such investment grade credit rating for us. This upgrade granted us access to a broader investor base, lower interest rates and reduced collateral requirements; therefore, enhancing our liquidity. Currently, our credit ratings from the three main credit rating agencies are as follows: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Standard and Poor’s Global Ratings Services (BBB-);</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Fitch Investor Services (BBB-);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Moody’s Investor Services (Ba1).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rating downgrades may result in additional letters of credit or cash collateral being posted under certain contractual arrangements.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Requirements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Repurchases of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Under our current common stock repurchase program, the board of directors has authorized us to acquire up to $750 million of our Class A Common Stock, excluding excise tax. Since the inception of our common stock repurchase program, we have repurchased an aggregate of 16,918,291 shares of our Class A Common Stock for a total cost of $448 million, excluding excise tax, as of October 31, 2025, leaving approximately $302 million for future</w:t>
      </w:r>
      <w:r>
        <w:rPr>
          <w:color w:val="000000"/>
          <w:shd w:fill="FFFFFF" w:val="clear"/>
        </w:rPr>
        <w:t xml:space="preserve"> </w:t>
      </w:r>
      <w:r>
        <w:rPr>
          <w:rFonts w:ascii="Times New Roman;serif" w:hAnsi="Times New Roman;serif"/>
          <w:b w:val="false"/>
          <w:color w:val="000000"/>
          <w:sz w:val="20"/>
          <w:shd w:fill="FFFFFF" w:val="clear"/>
        </w:rPr>
        <w:t xml:space="preserve">repurchases under such stock repurchase program, excluding excise tax. </w:t>
      </w:r>
      <w:r>
        <w:rPr>
          <w:rFonts w:ascii="Times New Roman;serif" w:hAnsi="Times New Roman;serif"/>
          <w:b w:val="false"/>
          <w:color w:val="000000"/>
          <w:sz w:val="20"/>
        </w:rPr>
        <w:t>See Note 7—</w:t>
      </w:r>
      <w:hyperlink w:anchor="ic01bfbabb6754916b0efdfc1e843db94_58">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our stock repurchase program.</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Retirement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we redeemed all of our 2031 Notes and subsequently redeemed our 2027 Notes on November 1, 2025, for an aggregate cash purchase price of approximately $780 million. On August 19, 2025, we used the remaining proceeds from the issuance of the Guaranteed Senior Notes and borrowings under the Term Loan to retire approximately $1.2 billion of Sitio’s outstanding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we opportunistically repurchased principal amounts of $50 million of our 2027 Notes in open market transactions for total cash consideration of $50 million, at an average of 99.7% of par value. We may continue from time to time to opportunistically repurchase some of the outstanding Notes in open market purchases or in privately negotiated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on the Guaranteed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we do not expect to incur any cash interest costs on the Guaranteed Senior Notes. We expect to incur future cash interest costs on the Guaranteed Senior Notes of approximately $174 million cumulatively in the years from 2026 through 2027, $174 million cumulatively in the years from 2028 through 2029 and $402 million between 2030 and 2035.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6—</w:t>
      </w:r>
      <w:hyperlink w:anchor="ic01bfbabb6754916b0efdfc1e843db94_5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discussions of our 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Third Quarter 2025 Cash Dividends and Return of Capital Update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Operating Company will pay a cash distribution for the third quarter of 2025 in accordance with its distribution policy of $0.66 per OpCo Unit on November 20, 2025, to eligible holders of record at the close of business on November 13,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our high operating and free cash flow margin, strong balance sheet, and the announced Pending Non-Permian Divestiture, we felt it appropriate to lean into our return of capital commitment and return 85% of cash available for distribution in the third quarter of 2025 to stockholders. We will pay a cash dividend for the third quarter of 2025 of $0.58 per share of Class A Common Stock on November 20, 2025, to eligible holders of record at the close of business on November 13, 2025. The dividend to stockholders consists of a base quarterly dividend of $0.33 per share of Class A Common Stock and a variable quarterly dividend of $0.25 per share of Class A Common Stock. Future base and variable dividends are at the discretion of the board of directors.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we move to close the Pending Non-Permian Divestiture, and as a result move closer to our net debt target of $1.5 billion, we will have line of sight to return nearly 100% of cash available for distribution to stockholders. We expect to continue to allocate the majority of our cash available for distribution to our base plus variable dividend but feel compelled to repurchase of shares of our Class A Common Stock in today’s market given the current market dislocation. See Note 7—</w:t>
      </w:r>
      <w:hyperlink w:anchor="ic01bfbabb6754916b0efdfc1e843db94_58">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the repurchase program and dividends.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Supplemental Guarantor Disclosure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9, 2025, we and the Operating Company filed a registration statement on Form S-3 with the SEC registering debt securities of the Operating Company. On July 23, 2025, the Operating Company issued the Guaranteed Senior Notes for an aggregate principal amount of $1.6 billion, which are fully and unconditionally guaranteed by 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Rule 3-10 of Regulation S-X, subsidiary issuers of obligations guaranteed by the parent are not required to provide separate financial statements, provided that the subsidiary obligor is consolidated into the parent company’s consolidated financial statements, the parent guarantee is “full and unconditional” and, subject to certain exceptions as set forth below, the disclosures specified in Rule 13-01 are provided, which include narrative disclosure and summarized financial information. Accordingly, separate consolidated financial statements of the Operating Company have not been presented. Furthermore, as permitted under Rule 13-01(a)(4)(vi) of Regulation S-X, we have excluded the summarized financial information for the Operating Company because the assets, liabilities and results of operations of the Operating Company are not materially different than the corresponding amounts in our consolidated financial statements and management believes such summarized financial information would be repetitive and would not provide incremental value to investors.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There have been no changes to our critical accounting estimates from those disclosed in our </w:t>
      </w:r>
      <w:hyperlink r:id="rId4">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2—</w:t>
      </w:r>
      <w:hyperlink w:anchor="ic01bfbabb6754916b0efdfc1e843db94_43">
        <w:r>
          <w:rPr>
            <w:rStyle w:val="InternetLink"/>
            <w:rFonts w:ascii="Times New Roman;serif" w:hAnsi="Times New Roman;serif"/>
            <w:b w:val="false"/>
            <w:color w:val="0000FF"/>
            <w:sz w:val="20"/>
            <w:u w:val="single"/>
          </w:rPr>
          <w:t>Summary of Significant Accounting Policies</w:t>
        </w:r>
      </w:hyperlink>
      <w:r>
        <w:rPr>
          <w:color w:val="000000"/>
        </w:rPr>
        <w:t xml:space="preserve"> </w:t>
      </w:r>
      <w:r>
        <w:rPr>
          <w:rFonts w:ascii="Times New Roman;serif" w:hAnsi="Times New Roman;serif"/>
          <w:b w:val="false"/>
          <w:color w:val="000000"/>
          <w:sz w:val="20"/>
        </w:rPr>
        <w:t>of the notes to the condensed consolidated financial statements for recent accounting pronouncements not yet adopted, if any.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as discussed in </w:t>
      </w:r>
      <w:hyperlink w:anchor="ic01bfbabb6754916b0efdfc1e843db94_109">
        <w:r>
          <w:rPr>
            <w:rStyle w:val="InternetLink"/>
            <w:rFonts w:ascii="Times New Roman;serif" w:hAnsi="Times New Roman;serif"/>
            <w:b w:val="false"/>
            <w:color w:val="0000FF"/>
            <w:sz w:val="20"/>
            <w:u w:val="single"/>
          </w:rPr>
          <w:t>Item 2. Management’s Discussion and Analysis of Financial Condition and Results of Operations—Liquidity and Capital Resources—Overview of Sources and Uses of Cash</w:t>
        </w:r>
      </w:hyperlink>
      <w:r>
        <w:rPr>
          <w:rFonts w:ascii="Times New Roman;serif" w:hAnsi="Times New Roman;serif"/>
          <w:b w:val="false"/>
          <w:color w:val="000000"/>
          <w:sz w:val="20"/>
        </w:rPr>
        <w:t>. We cannot predict events that may lead to future price volatility and the near term energy outlook remains subject to heightened levels of uncertainty.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historically have used fixed price swap contracts, fixed price basis swap contracts and costless collars with corresponding put and call options to reduce price volatility associated with certain of our royalty income as discussed in Note 10—</w:t>
      </w:r>
      <w:hyperlink w:anchor="ic01bfbabb6754916b0efdfc1e843db94_67">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At September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we had a net asset derivative position of $11 million related to our commodity price derivatives. Utilizing actual derivative contractual volumes under our contracts as of September 30, 2025, both a 10% increase and a 10% decrease in forward curves associated with the underlying commodity would have increased the net asset position by $3 million to approximately $14 million, respectively. However, any cash derivative gain or loss may be substantially offset by a decrease or increase, respectively, in the actual sales value of production covered by the derivative instrument.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Volatility in the commodity pricing environment and macroeconomic conditions may enhance our purchaser credit risk.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market risk exposure related to changes in interest rates on our indebtedness under the 2025 Revolving Credit Facility. The terms of the credit facility provide for interest on borrowings at a floating rate equal to term SOFR, or an alternate base rate (which is equal to the greatest of the prime rate, the federal funds effective rate plus 0.50% and 1-month term SOFR plus 1.0%, subject to a 1.0% floor), in each case plus the applicable margin. The applicable margin ranges from 0.125% to 1.000% per annum in the case of the alternate base rate loans and from 1.125% to 2.000% per annum in the case of term SOFR loans, in each case based on the pricing level. Further, the commitment fee ranges from 0.125% to 0.325% per annum on the average daily unused portion of the commitment, based on the pricing level. The pricing level depends on the rating of our long-term senior unsecured debt by certain ratings agencies.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Term Loan bear interest at a per annum rate elected by the Operating Company that is equal to SOFR or an alternate base rate (which is equal to the greatest of the prime rate, the federal funds effective rate plus 0.50% and 1-month term SOFR plus 1.0%, subject to a 1.0% floor), in each case plus the applicable margin. The applicable margin ranges from 0.250% to 1.125% per annum in the case of the alternate base rate loans and from 1.250% to 2.125% per annum in the case of term SOFR loans, in each case based on the pricing level. The pricing level depends on the rating of the Company’s long-term senior unsecured debt by certain ratings agencies. In addition, the fee on undrawn commitments is equal to 0.20% per annum on the aggregate principal amount of such commitments.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Evaluation of Disclosure Controls and Procedures</w:t>
      </w:r>
      <w:r>
        <w:rPr>
          <w:rFonts w:ascii="Times New Roman;serif" w:hAnsi="Times New Roman;serif"/>
          <w:b w:val="false"/>
          <w:color w:val="000000"/>
          <w:sz w:val="20"/>
        </w:rPr>
        <w:t>. 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an evaluation was performed under the supervision and with the participation of management, including the Chief Executive Officer and Chief Financial Officer, of the effectiveness of the design and operation of our disclosure controls and procedures pursuant to Rule 13a-15(b) under our Exchange Act. Based upon our evaluation, our Chief Executive Officer and Chief Financial Officer have concluded that as of September 30, 2025, our disclosure controls and procedures are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Changes in Internal Control over Financial Reporting.</w:t>
      </w:r>
      <w:r>
        <w:rPr>
          <w:color w:val="000000"/>
        </w:rPr>
        <w:t xml:space="preserve"> </w:t>
      </w:r>
      <w:r>
        <w:rPr>
          <w:rFonts w:ascii="Times New Roman;serif" w:hAnsi="Times New Roman;serif"/>
          <w:b w:val="false"/>
          <w:color w:val="000000"/>
          <w:sz w:val="20"/>
        </w:rPr>
        <w:t>Management’s assessment of, and conclusion on, the effectiveness of internal control over financial reporting did not include the internal controls of the entities acquired in the Sitio Acquisition on August 19, 2025. Under guidelines established by the SEC, companies are permitted to exclude acquisitions from their assessment of internal control over financial reporting during the first year of an acquisition while integrating the acquired company. The Company is in the process of integrating Sitio’s and our internal controls over financial reporting. As a result of these integration activities, certain controls will be evaluated and may be changed. Except as noted above, there were no changes in our internal control over financial reporting that occurred during the third quarter of 2025 that have materially affected, or are reasonably likely to materially affect, internal controls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hyperlink w:anchor="ic01bfbabb6754916b0efdfc1e843db94_73">
        <w:r>
          <w:rPr>
            <w:rStyle w:val="InternetLink"/>
            <w:rFonts w:ascii="Times New Roman;serif" w:hAnsi="Times New Roman;serif"/>
            <w:b w:val="false"/>
            <w:color w:val="0000FF"/>
            <w:sz w:val="20"/>
            <w:u w:val="single"/>
          </w:rPr>
          <w:t>Commitments and Contingencies</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of the date of this filing, we continue to be subject to the risk factors previously disclosed in </w:t>
      </w:r>
      <w:r>
        <w:fldChar w:fldCharType="begin"/>
      </w:r>
      <w:r>
        <w:rPr>
          <w:rStyle w:val="InternetLink"/>
          <w:sz w:val="20"/>
          <w:u w:val="single"/>
          <w:b w:val="false"/>
          <w:rFonts w:ascii="Times New Roman;serif" w:hAnsi="Times New Roman;serif"/>
          <w:color w:val="0000FF"/>
        </w:rPr>
        <w:instrText xml:space="preserve"> HYPERLINK "https://www.sec.gov/ix?doc=/Archives/edgar/data/1602065/000160206525000010/vnom-20241231.htm" \l "ib14eb29379da49d391d7c1866e807b85_25"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Part I, Item 1A. Risk Factors in our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 xml:space="preserve">for the year ended December 31, 2024, filed with the SEC on February 26, 2025. There have been no material changes in our risk factors from those described in our </w:t>
      </w:r>
      <w:hyperlink r:id="rId5">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Repurchases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share repurchase activity for the three months ended September 30, 2025, was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819"/>
        <w:gridCol w:w="409"/>
        <w:gridCol w:w="411"/>
        <w:gridCol w:w="109"/>
        <w:gridCol w:w="109"/>
        <w:gridCol w:w="109"/>
        <w:gridCol w:w="469"/>
        <w:gridCol w:w="457"/>
        <w:gridCol w:w="459"/>
        <w:gridCol w:w="109"/>
        <w:gridCol w:w="109"/>
        <w:gridCol w:w="109"/>
        <w:gridCol w:w="295"/>
        <w:gridCol w:w="862"/>
        <w:gridCol w:w="152"/>
        <w:gridCol w:w="109"/>
        <w:gridCol w:w="109"/>
        <w:gridCol w:w="109"/>
        <w:gridCol w:w="702"/>
        <w:gridCol w:w="702"/>
        <w:gridCol w:w="705"/>
        <w:gridCol w:w="109"/>
        <w:gridCol w:w="109"/>
        <w:gridCol w:w="109"/>
        <w:gridCol w:w="621"/>
        <w:gridCol w:w="1372"/>
        <w:gridCol w:w="462"/>
      </w:tblGrid>
      <w:tr>
        <w:trPr/>
        <w:tc>
          <w:tcPr>
            <w:tcW w:w="81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Approximate Dollar Value of Shares that May Yet Be Purchased Under the Plan</w:t>
            </w:r>
            <w:r>
              <w:rPr>
                <w:rFonts w:ascii="Times New Roman;serif" w:hAnsi="Times New Roman;serif"/>
                <w:b/>
                <w:color w:val="000000"/>
                <w:sz w:val="12"/>
              </w:rPr>
              <w:t>(2)</w:t>
            </w:r>
          </w:p>
        </w:tc>
      </w:tr>
      <w:tr>
        <w:trPr/>
        <w:tc>
          <w:tcPr>
            <w:tcW w:w="1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and shares in ones)</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2025 -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2,357,778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2,357,778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average price paid per share includes any commissions paid to repurchase stock.</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On July 26, 2022, the board of directors increased the authorization under our then-in-effect repurchase program from $250 million to $750 million. This repurchase program has no expiration date and remains subject to market conditions, applicable legal requirements, contractual obligations and other factors and may be suspended from time to time, modified, extended or discontinued by the board of directors at any time.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or terminated a Rule 10b5-1 trading arrangement or a non-Rule 10b5-1 trading arrangement during our fiscal quarter ended September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31, 2025, the Company’s board of directors approved certain amendments to our Amended and Restated Bylaws, effective immediately (as amended and restated, the “Second Amended and Restated Bylaws”). Among other things, the Second Amended and Restated Bylaws:</w:t>
      </w:r>
    </w:p>
    <w:p>
      <w:pPr>
        <w:pStyle w:val="TextBody"/>
        <w:bidi w:val="0"/>
        <w:spacing w:before="0" w:after="0"/>
        <w:ind w:left="0" w:right="0" w:firstLine="720"/>
        <w:jc w:val="both"/>
        <w:rPr/>
      </w:pPr>
      <w:r>
        <w:rPr/>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clarify and enhance procedural mechanics and disclosure requirements relating to stockholders calling special meetings and stockholder director nominations and submissions of proposals;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adopt a federal forum provision, selecting federal courts as the exclusive forum for claims under the Securities Act, unless we consent in writing to the selection of an alternative forum; and</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make other technical, conforming, modernizing and clarifying amendments.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summary does not purport to be complete and is qualified in its entirety by reference to the full text of the Second Amended and Restated Bylaws, a copy of which is filed as Exhibit 3.3 hereto.</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23"/>
        <w:gridCol w:w="284"/>
        <w:gridCol w:w="285"/>
        <w:gridCol w:w="109"/>
        <w:gridCol w:w="109"/>
        <w:gridCol w:w="109"/>
        <w:gridCol w:w="2731"/>
        <w:gridCol w:w="2576"/>
        <w:gridCol w:w="3679"/>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20"/>
                  <w:u w:val="single"/>
                </w:rPr>
                <w:t>Amended and Restated Certificate of Incorporation of New Viper (incorporated by reference to Exhibit 3.1 to New Viper’s Current Report on Form 8-K12B (File 001-42807), filed on August 19, 2025).</w:t>
              </w:r>
            </w:hyperlink>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erif" w:hAnsi="Times New Roman;serif"/>
                  <w:b w:val="false"/>
                  <w:color w:val="0000FF"/>
                  <w:sz w:val="20"/>
                  <w:u w:val="single"/>
                </w:rPr>
                <w:t>Certificate of Amendment to the Certificate of Incorporation of New Viper (incorporated by reference to Exhibit 3.2 to New Viper’s Current Report on Form 8-K12B (File 001-42807), filed on August 19, 2025).</w:t>
              </w:r>
            </w:hyperlink>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32025viper10-qxex33.htm">
              <w:r>
                <w:rPr>
                  <w:rStyle w:val="InternetLink"/>
                  <w:rFonts w:ascii="Times New Roman;serif" w:hAnsi="Times New Roman;serif"/>
                  <w:b w:val="false"/>
                  <w:color w:val="0000FF"/>
                  <w:sz w:val="20"/>
                  <w:u w:val="single"/>
                </w:rPr>
                <w:t>Second Amended and Restated Bylaws of New Viper.</w:t>
              </w:r>
            </w:hyperlink>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FF"/>
                  <w:sz w:val="20"/>
                  <w:u w:val="single"/>
                </w:rPr>
                <w:t>Fourth Amended and Restated Limited Liability Company Agreement of Viper Energy Partners LLC, dated as of August 19, 2025, (incorporated by reference to Exhibit 3.4 of New Viper’s Current Report on Form 8-K12B (File 001-42807), filed on August 19, 2025).</w:t>
              </w:r>
            </w:hyperlink>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80"/>
                  <w:sz w:val="20"/>
                  <w:u w:val="single"/>
                </w:rPr>
                <w:t>Registration Rights Agreement, dated August 19, 2025, between New Viper and certain holders of Sitio Opco Units</w:t>
              </w:r>
            </w:hyperlink>
            <w:hyperlink r:id="rId10">
              <w:r>
                <w:rPr>
                  <w:rStyle w:val="InternetLink"/>
                  <w:rFonts w:ascii="Times New Roman;serif" w:hAnsi="Times New Roman;serif"/>
                  <w:b w:val="false"/>
                  <w:color w:val="000080"/>
                  <w:sz w:val="20"/>
                  <w:u w:val="single"/>
                </w:rPr>
                <w:t xml:space="preserve"> (incorporated by reference to Exhibit 4.1 of New Viper</w:t>
              </w:r>
            </w:hyperlink>
            <w:hyperlink r:id="rId11">
              <w:r>
                <w:rPr>
                  <w:rStyle w:val="InternetLink"/>
                  <w:rFonts w:ascii="Times New Roman;serif" w:hAnsi="Times New Roman;serif"/>
                  <w:b w:val="false"/>
                  <w:color w:val="000080"/>
                  <w:sz w:val="20"/>
                  <w:u w:val="single"/>
                </w:rPr>
                <w:t>’</w:t>
              </w:r>
            </w:hyperlink>
            <w:hyperlink r:id="rId12">
              <w:r>
                <w:rPr>
                  <w:rStyle w:val="InternetLink"/>
                  <w:rFonts w:ascii="Times New Roman;serif" w:hAnsi="Times New Roman;serif"/>
                  <w:b w:val="false"/>
                  <w:color w:val="000080"/>
                  <w:sz w:val="20"/>
                  <w:u w:val="single"/>
                </w:rPr>
                <w:t xml:space="preserve">s Current Report on </w:t>
              </w:r>
            </w:hyperlink>
            <w:hyperlink r:id="rId13">
              <w:r>
                <w:rPr>
                  <w:rStyle w:val="InternetLink"/>
                  <w:rFonts w:ascii="Times New Roman;serif" w:hAnsi="Times New Roman;serif"/>
                  <w:b w:val="false"/>
                  <w:color w:val="000080"/>
                  <w:sz w:val="20"/>
                  <w:u w:val="single"/>
                </w:rPr>
                <w:t>Form 8-K12B (File 001-42807), filed on August 19, 202</w:t>
              </w:r>
            </w:hyperlink>
            <w:hyperlink r:id="rId14">
              <w:r>
                <w:rPr>
                  <w:rStyle w:val="InternetLink"/>
                  <w:rFonts w:ascii="Times New Roman;serif" w:hAnsi="Times New Roman;serif"/>
                  <w:b w:val="false"/>
                  <w:color w:val="000080"/>
                  <w:sz w:val="20"/>
                  <w:u w:val="single"/>
                </w:rPr>
                <w:t>5)</w:t>
              </w:r>
            </w:hyperlink>
            <w:hyperlink r:id="rId15">
              <w:r>
                <w:rPr>
                  <w:rStyle w:val="InternetLink"/>
                  <w:rFonts w:ascii="Times New Roman;serif" w:hAnsi="Times New Roman;serif"/>
                  <w:b w:val="false"/>
                  <w:color w:val="000080"/>
                  <w:sz w:val="20"/>
                  <w:u w:val="single"/>
                </w:rPr>
                <w:t>.</w:t>
              </w:r>
            </w:hyperlink>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erif" w:hAnsi="Times New Roman;serif"/>
                  <w:b w:val="false"/>
                  <w:color w:val="0000FF"/>
                  <w:sz w:val="20"/>
                  <w:u w:val="single"/>
                </w:rPr>
                <w:t>Indenture, dated as of July 23, 2025, between Viper Energy Partners LLC and Computershare Trust Company, National Association, as Trustee (incorporated by reference to Exhibit 4.1 of Former Viper’s Current Report on Form 8-K (file No. 001-36505) filed on July 23, 2025).</w:t>
              </w:r>
            </w:hyperlink>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erif" w:hAnsi="Times New Roman;serif"/>
                  <w:b w:val="false"/>
                  <w:color w:val="0000FF"/>
                  <w:sz w:val="20"/>
                  <w:u w:val="single"/>
                </w:rPr>
                <w:t>First Supplemental Indenture, dated as of July 23, 2025, by and among Viper Energy Partners LLC, Former Viper and Computershare Trust Company, National Association, as Trustee (including the form of the Notes) (incorporated by reference to Exhibit 4.2 of Former Viper’s Current Report on Form 8-K (File No. 001-36505) filed on July 23, 2025).</w:t>
              </w:r>
            </w:hyperlink>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erif" w:hAnsi="Times New Roman;serif"/>
                  <w:b w:val="false"/>
                  <w:color w:val="0000FF"/>
                  <w:sz w:val="20"/>
                  <w:u w:val="single"/>
                </w:rPr>
                <w:t>Second Supplemental Indenture, dated as of August 19, 2025, by and among Viper OpCo, New Viper and Computershare Trust Company, National Association (incorporated by reference to Exhibit 4.8 of New Viper’s Current Report on Form 8-K12B (File No. 001-42807), filed on August 19, 2025.</w:t>
              </w:r>
            </w:hyperlink>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erif" w:hAnsi="Times New Roman;serif"/>
                  <w:b w:val="false"/>
                  <w:color w:val="0000FF"/>
                  <w:sz w:val="20"/>
                  <w:u w:val="single"/>
                </w:rPr>
                <w:t>Term Loan Credit Agreement, dated as of July 23, 2025, by and among Viper Energy Partners LLC, Former Viper, the lenders party thereto and Goldman Sachs Bank USA, as administrative agent (incorporated by reference to Exhibit 4.3 of Former Viper’s Current Report on Form 8-K (File No. 001-36505) filed on July 23, 2025).</w:t>
              </w:r>
            </w:hyperlink>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erif" w:hAnsi="Times New Roman;serif"/>
                  <w:b w:val="false"/>
                  <w:color w:val="0000FF"/>
                  <w:sz w:val="20"/>
                  <w:u w:val="single"/>
                </w:rPr>
                <w:t>Form of Assignment and Assumption Agreement (incorporated by reference to Exhibit 10.3 of New Viper’s Current Report on Form 8-K12B (File No. 001-42807) filed on August 19, 2025.</w:t>
              </w:r>
            </w:hyperlink>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Times New Roman;serif" w:hAnsi="Times New Roman;serif"/>
                  <w:b w:val="false"/>
                  <w:color w:val="0000FF"/>
                  <w:sz w:val="20"/>
                  <w:u w:val="single"/>
                </w:rPr>
                <w:t>Form of Indemnification Agreement (incorporated by reference to Exhibit 10.4 of New Viper’s Current Report on Form 8-K12B (File No. 001-42807) filed on August 19, 2025.</w:t>
              </w:r>
            </w:hyperlink>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32025viper10-qxex221.htm">
              <w:r>
                <w:rPr>
                  <w:rStyle w:val="InternetLink"/>
                  <w:rFonts w:ascii="Times New Roman;serif" w:hAnsi="Times New Roman;serif"/>
                  <w:b w:val="false"/>
                  <w:color w:val="0000FF"/>
                  <w:sz w:val="20"/>
                  <w:u w:val="single"/>
                </w:rPr>
                <w:t>List of Issuers and Subsidiary Guarantors.</w:t>
              </w:r>
            </w:hyperlink>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both"/>
              <w:rPr/>
            </w:pPr>
            <w:hyperlink w:anchor="q32025viper10-qxex311.htm">
              <w:r>
                <w:rPr>
                  <w:rStyle w:val="InternetLink"/>
                  <w:rFonts w:ascii="Times New Roman;serif" w:hAnsi="Times New Roman;serif"/>
                  <w:b w:val="false"/>
                  <w:color w:val="0000FF"/>
                  <w:sz w:val="20"/>
                  <w:u w:val="single"/>
                </w:rPr>
                <w:t>Certification of Chief Executive Officer pursuant to Rule 13a-14(a) promulgated under the Securities Exchange Act of 1934, as amended.</w:t>
              </w:r>
            </w:hyperlink>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both"/>
              <w:rPr/>
            </w:pPr>
            <w:hyperlink w:anchor="q32025viper10-qxex312.htm">
              <w:r>
                <w:rPr>
                  <w:rStyle w:val="InternetLink"/>
                  <w:rFonts w:ascii="Times New Roman;serif" w:hAnsi="Times New Roman;serif"/>
                  <w:b w:val="false"/>
                  <w:color w:val="0000FF"/>
                  <w:sz w:val="20"/>
                  <w:u w:val="single"/>
                </w:rPr>
                <w:t>Certification of Chief Financial Officer pursuant to Rule 13a-14(a) promulgated under the Securities Exchange Act of 1934, as amended.</w:t>
              </w:r>
            </w:hyperlink>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both"/>
              <w:rPr/>
            </w:pPr>
            <w:hyperlink w:anchor="q32025viper10-qxex321.htm">
              <w:r>
                <w:rPr>
                  <w:rStyle w:val="InternetLink"/>
                  <w:rFonts w:ascii="Times New Roman;serif" w:hAnsi="Times New Roman;serif"/>
                  <w:b w:val="false"/>
                  <w:color w:val="0000FF"/>
                  <w:sz w:val="20"/>
                  <w:u w:val="single"/>
                </w:rPr>
                <w:t>Certification of Chief Executive Officer and Chief Financial Officer pursuant to Rule 13a-14(b) promulgated under the Securities Exchange Act of 1934, as amended, and Section 1350 of Chapter 63 of Title 18 of the United States Code.</w:t>
              </w:r>
            </w:hyperlink>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Registrant’s Quarterly Report on Form 10-Q for the quarter ended September 30, 2025, formatted in Inline XBRL: (i) Condensed Consolidated Balance Sheets, (ii) Condensed Consolidated Statements of Operations, (iii) Condensed Consolidated Statement of Changes in Stockholders’ Equity, (iv) Condensed Consolidated Statements of Cash Flows, and (v) Notes to the Condensed Consolidated Financial Statements.</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19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01bfbabb6754916b0efdfc1e843db9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and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p>
      <w:pPr>
        <w:pStyle w:val="TextBody"/>
        <w:bidi w:val="0"/>
        <w:spacing w:before="0" w:after="0"/>
        <w:ind w:left="0" w:right="0" w:firstLine="720"/>
        <w:jc w:val="left"/>
        <w:rPr/>
      </w:pPr>
      <w:r>
        <w:rPr/>
      </w:r>
    </w:p>
    <w:tbl>
      <w:tblPr>
        <w:tblW w:w="521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327"/>
        <w:gridCol w:w="327"/>
        <w:gridCol w:w="327"/>
        <w:gridCol w:w="605"/>
        <w:gridCol w:w="605"/>
        <w:gridCol w:w="8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SECOND AMENDED AND RESTATED BYLAWS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VIPER ENERGY,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 DELAWARE CORPORATION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“CORPORATION”)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ADOPTED AS OF OCTOBER 31,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SECOND AMENDED AND RESTATED BYLAWS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VIPER ENERGY, INC.</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ARTICLE I</w:t>
      </w:r>
      <w:r>
        <w:rPr>
          <w:rFonts w:ascii="Times New Roman;serif" w:hAnsi="Times New Roman;serif"/>
          <w:b w:val="false"/>
          <w:color w:val="000000"/>
          <w:sz w:val="24"/>
        </w:rPr>
        <w:br/>
      </w:r>
      <w:r>
        <w:rPr>
          <w:rFonts w:ascii="Times New Roman;serif" w:hAnsi="Times New Roman;serif"/>
          <w:b/>
          <w:color w:val="000000"/>
          <w:sz w:val="24"/>
        </w:rPr>
        <w:t>OFFICES</w:t>
      </w:r>
    </w:p>
    <w:p>
      <w:pPr>
        <w:pStyle w:val="TextBody"/>
        <w:bidi w:val="0"/>
        <w:spacing w:before="0" w:after="0"/>
        <w:jc w:val="center"/>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1.1 Registered Office</w:t>
      </w:r>
      <w:r>
        <w:rPr>
          <w:rFonts w:ascii="Times New Roman;serif" w:hAnsi="Times New Roman;serif"/>
          <w:b w:val="false"/>
          <w:color w:val="000000"/>
          <w:sz w:val="24"/>
        </w:rPr>
        <w:t>. The registered office of the Corporation within the State of Delaware shall be located at either (a) the principal place of business of the Corporation in the State of Delaware or (b) the office of the Corporation or individual acting as the Corporation’s registered agent in Delaware.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1.2 Additional Offices</w:t>
      </w:r>
      <w:r>
        <w:rPr>
          <w:rFonts w:ascii="Times New Roman;serif" w:hAnsi="Times New Roman;serif"/>
          <w:b w:val="false"/>
          <w:color w:val="000000"/>
          <w:sz w:val="24"/>
        </w:rPr>
        <w:t>. The Corporation may, in addition to its registered office in the State of Delaware, have such other offices and places of business, both within and outside the State of Delaware, as the board of directors of the Corporation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may from time to time determine or as the business and affairs of the Corporation may require.</w:t>
      </w:r>
    </w:p>
    <w:p>
      <w:pPr>
        <w:pStyle w:val="TextBody"/>
        <w:bidi w:val="0"/>
        <w:spacing w:before="0" w:after="0"/>
        <w:ind w:left="0" w:right="0" w:firstLine="1440"/>
        <w:jc w:val="both"/>
        <w:rPr/>
      </w:pPr>
      <w:r>
        <w:rPr/>
      </w:r>
    </w:p>
    <w:p>
      <w:pPr>
        <w:pStyle w:val="TextBody"/>
        <w:bidi w:val="0"/>
        <w:spacing w:lineRule="auto" w:line="288" w:before="0" w:after="0"/>
        <w:jc w:val="center"/>
        <w:rPr/>
      </w:pPr>
      <w:r>
        <w:rPr>
          <w:rFonts w:ascii="Times New Roman;serif" w:hAnsi="Times New Roman;serif"/>
          <w:b/>
          <w:color w:val="000000"/>
          <w:sz w:val="24"/>
        </w:rPr>
        <w:t>ARTICLE II</w:t>
      </w:r>
      <w:r>
        <w:rPr>
          <w:rFonts w:ascii="Times New Roman;serif" w:hAnsi="Times New Roman;serif"/>
          <w:b w:val="false"/>
          <w:color w:val="000000"/>
          <w:sz w:val="24"/>
        </w:rPr>
        <w:br/>
      </w:r>
      <w:r>
        <w:rPr>
          <w:rFonts w:ascii="Times New Roman;serif" w:hAnsi="Times New Roman;serif"/>
          <w:b/>
          <w:color w:val="000000"/>
          <w:sz w:val="24"/>
        </w:rPr>
        <w:t>STOCKHOLDERS MEETINGS</w:t>
      </w:r>
    </w:p>
    <w:p>
      <w:pPr>
        <w:pStyle w:val="TextBody"/>
        <w:bidi w:val="0"/>
        <w:spacing w:before="0" w:after="0"/>
        <w:jc w:val="center"/>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2.1 Annual Meetings</w:t>
      </w:r>
      <w:r>
        <w:rPr>
          <w:rFonts w:ascii="Times New Roman;serif" w:hAnsi="Times New Roman;serif"/>
          <w:b w:val="false"/>
          <w:color w:val="000000"/>
          <w:sz w:val="24"/>
        </w:rPr>
        <w:t xml:space="preserve">. The annual meeting of stockholders shall be held at such place and 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Times New Roman;serif" w:hAnsi="Times New Roman;serif"/>
          <w:b w:val="false"/>
          <w:color w:val="000000"/>
          <w:sz w:val="24"/>
          <w:u w:val="single"/>
        </w:rPr>
        <w:t>Section 9.5(a)</w:t>
      </w:r>
      <w:r>
        <w:rPr>
          <w:rFonts w:ascii="Times New Roman;serif" w:hAnsi="Times New Roman;serif"/>
          <w:b w:val="false"/>
          <w:color w:val="000000"/>
          <w:sz w:val="24"/>
        </w:rPr>
        <w:t xml:space="preserve">. At each annual meeting, the stockholders shall elect directors of the Corporation and may transact any other business as may properly be brought before the meeting.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2.2 Special Meetings</w:t>
      </w:r>
      <w:r>
        <w:rPr>
          <w:rFonts w:ascii="Times New Roman;serif" w:hAnsi="Times New Roman;serif"/>
          <w:b w:val="false"/>
          <w:color w:val="000000"/>
          <w:sz w:val="24"/>
        </w:rPr>
        <w:t xml:space="preserve">. </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Right to Call Special Meetings</w:t>
      </w:r>
      <w:r>
        <w:rPr>
          <w:rFonts w:ascii="Times New Roman;serif" w:hAnsi="Times New Roman;serif"/>
          <w:b w:val="false"/>
          <w:color w:val="000000"/>
          <w:sz w:val="24"/>
        </w:rPr>
        <w:t>. Except as otherwise required by law or provided in the Corporation’s Certificate of Incorporation (as such may be amended, restated or otherwise modified from time to time, the “</w:t>
      </w:r>
      <w:r>
        <w:rPr>
          <w:rFonts w:ascii="Times New Roman;serif" w:hAnsi="Times New Roman;serif"/>
          <w:b/>
          <w:i/>
          <w:color w:val="000000"/>
          <w:sz w:val="24"/>
        </w:rPr>
        <w:t>Certificate of Incorporation</w:t>
      </w:r>
      <w:r>
        <w:rPr>
          <w:color w:val="000000"/>
        </w:rPr>
        <w:t>”</w:t>
      </w:r>
      <w:r>
        <w:rPr>
          <w:rFonts w:ascii="Times New Roman;serif" w:hAnsi="Times New Roman;serif"/>
          <w:b w:val="false"/>
          <w:color w:val="000000"/>
          <w:sz w:val="24"/>
        </w:rPr>
        <w:t>) or the terms of any one or more series of preferred stock of the Corporation (“</w:t>
      </w:r>
      <w:r>
        <w:rPr>
          <w:rFonts w:ascii="Times New Roman;serif" w:hAnsi="Times New Roman;serif"/>
          <w:b/>
          <w:i/>
          <w:color w:val="000000"/>
          <w:sz w:val="24"/>
        </w:rPr>
        <w:t>Preferred Stock</w:t>
      </w:r>
      <w:r>
        <w:rPr>
          <w:color w:val="000000"/>
        </w:rPr>
        <w:t>”</w:t>
      </w:r>
      <w:r>
        <w:rPr>
          <w:rFonts w:ascii="Times New Roman;serif" w:hAnsi="Times New Roman;serif"/>
          <w:b w:val="false"/>
          <w:color w:val="000000"/>
          <w:sz w:val="24"/>
        </w:rPr>
        <w:t xml:space="preserve">), special meetings of stockholders of the Corporation may be called by any of the following: (i) at any time by the Chairman of the Board, the Chief Executive Officer, or the Board pursuant to a resolution adopted by a majority of the Whole Board (as defined below); and (ii) by the Chairman of the Board or the Board following receipt by the Secretary of the Corporation of the written request (which request shall comply with the requirements and procedures set forth in this </w:t>
      </w:r>
      <w:r>
        <w:rPr>
          <w:rFonts w:ascii="Times New Roman;serif" w:hAnsi="Times New Roman;serif"/>
          <w:b w:val="false"/>
          <w:color w:val="000000"/>
          <w:sz w:val="24"/>
          <w:u w:val="single"/>
        </w:rPr>
        <w:t>Section 2.2</w:t>
      </w:r>
      <w:r>
        <w:rPr>
          <w:rFonts w:ascii="Times New Roman;serif" w:hAnsi="Times New Roman;serif"/>
          <w:b w:val="false"/>
          <w:color w:val="000000"/>
          <w:sz w:val="24"/>
        </w:rPr>
        <w:t xml:space="preserve">) of one or more stockholders of the Corporation (acting on their own behalf and not by assigning or delegating their rights to any other person or entity) that together have continuously held, for their own accounts, beneficial ownership of at least 20% aggregate “net long position” of the issued and outstanding voting stock of the Corporation entitled to vote generally in the election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of directors (the “</w:t>
      </w:r>
      <w:r>
        <w:rPr>
          <w:rFonts w:ascii="Times New Roman;serif" w:hAnsi="Times New Roman;serif"/>
          <w:b/>
          <w:i/>
          <w:color w:val="000000"/>
          <w:sz w:val="24"/>
        </w:rPr>
        <w:t>Requisite Percent</w:t>
      </w:r>
      <w:r>
        <w:rPr>
          <w:color w:val="000000"/>
        </w:rPr>
        <w:t>”</w:t>
      </w:r>
      <w:r>
        <w:rPr>
          <w:rFonts w:ascii="Times New Roman;serif" w:hAnsi="Times New Roman;serif"/>
          <w:b w:val="false"/>
          <w:color w:val="000000"/>
          <w:sz w:val="24"/>
        </w:rPr>
        <w:t>) for at least one year prior to the date such request is delivered to the Corporation and at the special meeting date. For purposes of determining the Requisite Percent, “net long position” shall be determined with respect to each requesting stockholder by subtracting such stockholder’s short position from such stockholder’s long position, based on Rule 14e-4 under the Securities Exchange Act of 1934, as amended (the “</w:t>
      </w:r>
      <w:r>
        <w:rPr>
          <w:rFonts w:ascii="Times New Roman;serif" w:hAnsi="Times New Roman;serif"/>
          <w:b/>
          <w:i/>
          <w:color w:val="000000"/>
          <w:sz w:val="24"/>
        </w:rPr>
        <w:t>Exchange Act</w:t>
      </w:r>
      <w:r>
        <w:rPr>
          <w:color w:val="000000"/>
        </w:rPr>
        <w:t>”</w:t>
      </w:r>
      <w:r>
        <w:rPr>
          <w:rFonts w:ascii="Times New Roman;serif" w:hAnsi="Times New Roman;serif"/>
          <w:b w:val="false"/>
          <w:color w:val="000000"/>
          <w:sz w:val="24"/>
        </w:rPr>
        <w:t xml:space="preserve">) (as such Rule is amended from time to time or, if applicable, any successor Rule), provided that: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for the purposes of such definition, reference in such Rule to: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“date that a tender offer is first publicly announced or otherwise made known by the bidder to holders of the security to be acquired” shall be the date of the relevant special meeting request;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“highest tender offer price or stated amount of the consideration offered for the subject security” shall refer to the closing sales price of the Corporation’s common stock on the primary securities exchange on which such stock is listed on such date (or, if such date is not a trading day, the next succeeding trading day);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the “person whose securities are the subject of the offer” shall refer to the Corporation; and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a “subject security” shall refer to the issued and outstanding voting stock of the Corporation; and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the net long position of such stockholder shall be reduced by the number of shares as to which such stockholder does not, or will not, have the right to vote on its own behalf at the special meeting or as to which such stockholder has entered into any derivative or other agreement, arrangement, or understanding that hedges or transfers, in whole or in part, directly or indirectly, any of the economic consequences of ownership of such shares.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Special meetings of stockholders of the Corporation may not be called by any person or persons other than those specified in this </w:t>
      </w:r>
      <w:r>
        <w:rPr>
          <w:rFonts w:ascii="Times New Roman;serif" w:hAnsi="Times New Roman;serif"/>
          <w:b w:val="false"/>
          <w:color w:val="000000"/>
          <w:sz w:val="24"/>
          <w:u w:val="single"/>
        </w:rPr>
        <w:t>Section 2.2(a)</w:t>
      </w:r>
      <w:r>
        <w:rPr>
          <w:color w:val="000000"/>
        </w:rPr>
        <w:t xml:space="preserve"> </w:t>
      </w:r>
      <w:r>
        <w:rPr>
          <w:rFonts w:ascii="Times New Roman;serif" w:hAnsi="Times New Roman;serif"/>
          <w:b w:val="false"/>
          <w:color w:val="000000"/>
          <w:sz w:val="24"/>
        </w:rPr>
        <w:t>and the Certificate of Incorporation. For purposes of these Bylaws, the “</w:t>
      </w:r>
      <w:r>
        <w:rPr>
          <w:rFonts w:ascii="Times New Roman;serif" w:hAnsi="Times New Roman;serif"/>
          <w:b/>
          <w:i/>
          <w:color w:val="000000"/>
          <w:sz w:val="24"/>
        </w:rPr>
        <w:t>Whole Board</w:t>
      </w:r>
      <w:r>
        <w:rPr>
          <w:color w:val="000000"/>
        </w:rPr>
        <w:t xml:space="preserve">” </w:t>
      </w:r>
      <w:r>
        <w:rPr>
          <w:rFonts w:ascii="Times New Roman;serif" w:hAnsi="Times New Roman;serif"/>
          <w:b w:val="false"/>
          <w:color w:val="000000"/>
          <w:sz w:val="24"/>
        </w:rPr>
        <w:t xml:space="preserve">shall mean the total number of directors the Corporation would have if there were no vacancies. </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Stockholder Requests for Special Meetings</w:t>
      </w:r>
      <w:r>
        <w:rPr>
          <w:rFonts w:ascii="Times New Roman;serif" w:hAnsi="Times New Roman;serif"/>
          <w:b w:val="false"/>
          <w:color w:val="000000"/>
          <w:sz w:val="24"/>
        </w:rPr>
        <w:t>. In order for a special meeting upon stockholder request (a “</w:t>
      </w:r>
      <w:r>
        <w:rPr>
          <w:rFonts w:ascii="Times New Roman;serif" w:hAnsi="Times New Roman;serif"/>
          <w:b/>
          <w:i/>
          <w:color w:val="000000"/>
          <w:sz w:val="24"/>
        </w:rPr>
        <w:t>stockholder requested special meeting</w:t>
      </w:r>
      <w:r>
        <w:rPr>
          <w:color w:val="000000"/>
        </w:rPr>
        <w:t>”</w:t>
      </w:r>
      <w:r>
        <w:rPr>
          <w:rFonts w:ascii="Times New Roman;serif" w:hAnsi="Times New Roman;serif"/>
          <w:b w:val="false"/>
          <w:color w:val="000000"/>
          <w:sz w:val="24"/>
        </w:rPr>
        <w:t>) to be called, one or more requests for a special meeting (each, a “</w:t>
      </w:r>
      <w:r>
        <w:rPr>
          <w:rFonts w:ascii="Times New Roman;serif" w:hAnsi="Times New Roman;serif"/>
          <w:b/>
          <w:i/>
          <w:color w:val="000000"/>
          <w:sz w:val="24"/>
        </w:rPr>
        <w:t>special meeting request</w:t>
      </w:r>
      <w:r>
        <w:rPr>
          <w:rFonts w:ascii="Times New Roman;serif" w:hAnsi="Times New Roman;serif"/>
          <w:b w:val="false"/>
          <w:color w:val="000000"/>
          <w:sz w:val="24"/>
        </w:rPr>
        <w:t>,” and collectively, the “</w:t>
      </w:r>
      <w:r>
        <w:rPr>
          <w:rFonts w:ascii="Times New Roman;serif" w:hAnsi="Times New Roman;serif"/>
          <w:b/>
          <w:i/>
          <w:color w:val="000000"/>
          <w:sz w:val="24"/>
        </w:rPr>
        <w:t>special meeting requests</w:t>
      </w:r>
      <w:r>
        <w:rPr>
          <w:color w:val="000000"/>
        </w:rPr>
        <w:t>”</w:t>
      </w:r>
      <w:r>
        <w:rPr>
          <w:rFonts w:ascii="Times New Roman;serif" w:hAnsi="Times New Roman;serif"/>
          <w:b w:val="false"/>
          <w:color w:val="000000"/>
          <w:sz w:val="24"/>
        </w:rPr>
        <w:t xml:space="preserve">) must be signed by the stockholders of the Corporation holding the Requisite Percent of the voting stock of the Corporation and must be delivered to the Secretary at the principal executive offices of the Corporation by registered or certified mail, return receipt requested; provided, however, that no stockholder requested special meeting shall be called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 xml:space="preserve">pursuant to any special meeting request unless one or more special meeting requests relating to such meeting from stockholder(s) constituting the Requisite Percent have been delivered to the Secretary in compliance with all of the requirements of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of these Bylaws within 60 days of the earliest dated special meeting request in respect of such stockholder requested special meeting. The special meeting request(s) shall: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set forth the name and address, as they appear on the Corporation’s books and records maintained by the Corporation’s transfer agent and registrar, of each stockholder of the Corporation signing such request, together with the identity of the beneficial owner, if any, directing such stockholder of record to submit such request;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state the specific purpose or purposes of the special meeting, the matter or matters proposed to be acted on at the special meeting, the reasons for conducting such business at the special meeting, and the text of any proposal or business to be considered at the special meeting (including the text of any resolutions proposed to be considered and, in the event that such business includes a proposal to amend these Bylaws, the language of the proposed amendment), which language shall be contained in the notice of special meeting required by Section 2.3 of these Bylaws;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bear the date of signature of each such stockholder signing the special meeting request;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provide documentary evidence that the stockholder(s) requesting the special meeting together have continuously owned, for their own account, the Requisite Percent for at least one year prior to the date such special meeting request is delivered to the Corporation and attach a notarized affidavit swearing to the net long position of such stockholder(s);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 provide a representation by each stockholder signing the special meeting request that such stockholder intends to appear in person at the stockholder requested special meeting and is entitled to vote thereat, and an agreement to promptly inform the Corporation in the event such representation becomes inaccurate (in which event any shares of voting stock of the Corporation owned by such stockholder shall cease to be counted as contributing to the Requisite Percent);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 provide a representation by each stockholder signing the special meeting request that such stockholder intends to continue net long ownership of such shares through the date of the special meeting and an agreement to promptly inform the Corporation in the event such representation becomes inaccurate (in which event any shares of voting stock of the Corporation owned by such stockholder shall cease to be counted as contributing to the Requisite Percent); </w:t>
      </w:r>
    </w:p>
    <w:p>
      <w:pPr>
        <w:pStyle w:val="TextBody"/>
        <w:bidi w:val="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(vii) provide the acknowledgement of each stockholder signing the special meeting request that the special meeting request shall be deemed to be revoked (and any special meeting scheduled in response thereto may be cancelled) if the net long position in shares of voting stock owned by such signing stockholders is less than the Requisite Percent at any time between the date of the special meeting request and the date of the applicable special meeting;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(viii) with respect to special meeting requests related to the election of directors, include all additional information required by Section 3.2 to be included in a stockholder’s notice of nomination of persons for election to the Board; and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(ix) with respect to all other special meeting requests, include all additional information required by Section 2.7 to be included in a stockholder’s notice of business (other than the nomination of persons for election to the Board) to be brought before an annual meeting.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beneficial owner who wishes to deliver a special meeting request must cause the nominee or other person who serves as the stockholder of record of such beneficial owner’s stock to sign the special meeting request. If a stockholder of record is the nominee for more than one beneficial owner of stock, the stockholder of record may deliver a special meeting request solely with respect to the capital stock of the Corporation beneficially owned by the beneficial owner(s) who are directing such stockholder of record to sign such special meeting request.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Revocation of Special Meeting Requests</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Any requesting stockholder may revoke a request for a special meeting at any time by written revocation delivered to the Secretary of the Corporation at the principal executive offices of the Corporation;</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All special meeting requests shall be deemed to be revoked upon the first date that, after giving effect to any revocation(s), the net long position in the shares of voting stock of the Corporation owned by the stockholders listed on the unrevoked special meeting requests decreases to a number of shares representing less than the Requisite Percent. </w: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(iii) If the revocation of all special meeting requests (giving effect to deemed revocations pursuant to </w:t>
      </w:r>
      <w:r>
        <w:rPr>
          <w:rFonts w:ascii="Times New Roman;serif" w:hAnsi="Times New Roman;serif"/>
          <w:b w:val="false"/>
          <w:color w:val="000000"/>
          <w:sz w:val="24"/>
          <w:u w:val="single"/>
        </w:rPr>
        <w:t>Section 2.2(c)(ii)</w:t>
      </w:r>
      <w:r>
        <w:rPr>
          <w:rFonts w:ascii="Times New Roman;serif" w:hAnsi="Times New Roman;serif"/>
          <w:b w:val="false"/>
          <w:color w:val="000000"/>
          <w:sz w:val="24"/>
        </w:rPr>
        <w:t>) has occurred, then the Board, in its discretion, may cancel the special meeting of the stockholders (or, if the special meeting has not yet been called, may direct the Chairman of the Board or Chief Executive Officer, as applicable, not to call such a meeting).</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Business Considered at Special Meetings</w:t>
      </w:r>
      <w:r>
        <w:rPr>
          <w:rFonts w:ascii="Times New Roman;serif" w:hAnsi="Times New Roman;serif"/>
          <w:b w:val="false"/>
          <w:color w:val="000000"/>
          <w:sz w:val="24"/>
        </w:rPr>
        <w:t xml:space="preserve">. Business transacted at any stockholder requested special meeting shall be limited to the purpose(s) stated in the valid special meeting request(s) signed by stockholders holding the Requisite Percent of the Corporation’s voting stock; provided, however, that nothing herein shall prohibit the Board from submitting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matters, whether or not described in the stockholder special meeting request(s), to the stockholders at any stockholder requested special meeting. If none of the stockholders who submitted a special meeting request appears at or sends a qualified representative to the stockholder requested special meeting to present the matters to be presented for consideration that were specified in the special meeting request, the Corporation need not present such matters for a vote at such meeting, notwithstanding the fact that proxies or votes may have been received by the Corporation with respect thereto.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Improper or Overlapping Business</w:t>
      </w:r>
      <w:r>
        <w:rPr>
          <w:rFonts w:ascii="Times New Roman;serif" w:hAnsi="Times New Roman;serif"/>
          <w:b w:val="false"/>
          <w:color w:val="000000"/>
          <w:sz w:val="24"/>
        </w:rPr>
        <w:t xml:space="preserve">. Notwithstanding anything to the contrary contained in this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or these Bylaws, the Secretary shall not accept and shall consider ineffective a special meeting request, and neither the Chairman of the Board nor the Board (following receipt by the Secretary of the Corporation of the written request pursuant to </w:t>
      </w:r>
      <w:r>
        <w:rPr>
          <w:rFonts w:ascii="Times New Roman;serif" w:hAnsi="Times New Roman;serif"/>
          <w:b w:val="false"/>
          <w:color w:val="000000"/>
          <w:sz w:val="24"/>
          <w:u w:val="single"/>
        </w:rPr>
        <w:t>Section 2.2(a)(ii)</w:t>
      </w:r>
      <w:r>
        <w:rPr>
          <w:rFonts w:ascii="Times New Roman;serif" w:hAnsi="Times New Roman;serif"/>
          <w:b w:val="false"/>
          <w:color w:val="000000"/>
          <w:sz w:val="24"/>
        </w:rPr>
        <w:t xml:space="preserve">, which request has been delivered to the Corporation in compliance with the requirements of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of these Bylaws) shall be required to call a stockholder requested special meeting in connection therewith, if: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the special meeting request relates to an item of business that (A) is not a proper subject for stockholder action under these Bylaws or applicable law, (B) is the same or a similar to an item of business that was presented at any meeting of stockholders held within 120 calendar days prior to the receipt by the Corporation of the special meeting request; or (C) is the same or similar to an item included in the Corporation’s notice as an item of business to be brought before a stockholder meeting that has been called but not yet held;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the special meeting request is received by the Corporation (A) during the period commencing 90 calendar days prior to the first anniversary of the preceding year’s annual meeting of stockholders and ending on the date of the next annual meeting of stockholders or (B) in the 30 days following the date of any annual meeting of stockholders; or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(iii) the special meeting request otherwise does not comply with or has not been delivered in accordance with the provisions of this </w:t>
      </w:r>
      <w:r>
        <w:rPr>
          <w:rFonts w:ascii="Times New Roman;serif" w:hAnsi="Times New Roman;serif"/>
          <w:b w:val="false"/>
          <w:color w:val="000000"/>
          <w:sz w:val="24"/>
          <w:u w:val="single"/>
        </w:rPr>
        <w:t>Section 2.2</w:t>
      </w:r>
      <w:r>
        <w:rPr>
          <w:rFonts w:ascii="Times New Roman;serif" w:hAnsi="Times New Roman;serif"/>
          <w:b w:val="false"/>
          <w:color w:val="000000"/>
          <w:sz w:val="24"/>
        </w:rPr>
        <w:t xml:space="preserve">. Nominations pursuant to </w:t>
      </w:r>
      <w:r>
        <w:rPr>
          <w:rFonts w:ascii="Times New Roman;serif" w:hAnsi="Times New Roman;serif"/>
          <w:b w:val="false"/>
          <w:color w:val="000000"/>
          <w:sz w:val="24"/>
          <w:u w:val="single"/>
        </w:rPr>
        <w:t xml:space="preserve">Section 3.4 </w:t>
      </w:r>
      <w:r>
        <w:rPr>
          <w:rFonts w:ascii="Times New Roman;serif" w:hAnsi="Times New Roman;serif"/>
          <w:b w:val="false"/>
          <w:color w:val="000000"/>
          <w:sz w:val="24"/>
        </w:rPr>
        <w:t>of these Bylaws may not be made in connection with a special meeting of stockholders.</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For purposes of </w:t>
      </w:r>
      <w:r>
        <w:rPr>
          <w:rFonts w:ascii="Times New Roman;serif" w:hAnsi="Times New Roman;serif"/>
          <w:b w:val="false"/>
          <w:color w:val="000000"/>
          <w:sz w:val="24"/>
          <w:u w:val="single"/>
        </w:rPr>
        <w:t>Section 2.2(e)(i)(B)</w:t>
      </w:r>
      <w:r>
        <w:rPr>
          <w:rFonts w:ascii="Times New Roman;serif" w:hAnsi="Times New Roman;serif"/>
          <w:b w:val="false"/>
          <w:color w:val="000000"/>
          <w:sz w:val="24"/>
        </w:rPr>
        <w:t xml:space="preserve">, the removal of directors and the filling of resulting vacancies shall be considered the same or similar to the election of directors at the preceding annual meeting of stockholders. </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(f) </w:t>
      </w:r>
      <w:r>
        <w:rPr>
          <w:rFonts w:ascii="Times New Roman;serif" w:hAnsi="Times New Roman;serif"/>
          <w:b w:val="false"/>
          <w:color w:val="000000"/>
          <w:sz w:val="24"/>
          <w:u w:val="single"/>
        </w:rPr>
        <w:t>Determination by the Board</w:t>
      </w:r>
      <w:r>
        <w:rPr>
          <w:rFonts w:ascii="Times New Roman;serif" w:hAnsi="Times New Roman;serif"/>
          <w:b w:val="false"/>
          <w:color w:val="000000"/>
          <w:sz w:val="24"/>
        </w:rPr>
        <w:t xml:space="preserve">. Except as otherwise provided by law, in the case of a stockholder requested special meeting, the Board shall have the power and duty: (i) to determine whether a nomination or any business proposed to be brought before the meeting was made or proposed, as the case may be, in accordance with the requirements and procedures set forth in this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and other applicable provisions of these Bylaws; and (ii) if any proposed nomination or business was not made or proposed in accordance with the requirements and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 xml:space="preserve">procedures set forth in this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and other applicable provisions of these Bylaws or applicable law, to declare that such nomination shall be disregarded notwithstanding that proxies or votes in respect of the election of such proposed nominee may have been received by the Corporation (which proxies and votes shall be disregarded) or that such proposed business shall not be transacted. The Board, in its discretion, also may cancel a special meeting (or, if the special meeting has not yet been called, may direct the Chairman of the Board or the Chief Executive Officer, as applicable, not to call such a meeting) if, at any time after receipt by the Secretary of the Corporation of a proper special meeting request, there are no longer valid special meeting requests from stockholders holding in the aggregate at least the Requisite Percent, whether because of revoked requests or otherwise.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(g) </w:t>
      </w:r>
      <w:r>
        <w:rPr>
          <w:rFonts w:ascii="Times New Roman;serif" w:hAnsi="Times New Roman;serif"/>
          <w:b w:val="false"/>
          <w:color w:val="000000"/>
          <w:sz w:val="24"/>
          <w:u w:val="single"/>
        </w:rPr>
        <w:t>Right to Engage Independent Inspectors</w:t>
      </w:r>
      <w:r>
        <w:rPr>
          <w:rFonts w:ascii="Times New Roman;serif" w:hAnsi="Times New Roman;serif"/>
          <w:b w:val="false"/>
          <w:color w:val="000000"/>
          <w:sz w:val="24"/>
        </w:rPr>
        <w:t xml:space="preserve">. In the event of the delivery, in the manner provided in this </w:t>
      </w:r>
      <w:r>
        <w:rPr>
          <w:rFonts w:ascii="Times New Roman;serif" w:hAnsi="Times New Roman;serif"/>
          <w:b w:val="false"/>
          <w:color w:val="000000"/>
          <w:sz w:val="24"/>
          <w:u w:val="single"/>
        </w:rPr>
        <w:t>Section 2.2</w:t>
      </w:r>
      <w:r>
        <w:rPr>
          <w:rFonts w:ascii="Times New Roman;serif" w:hAnsi="Times New Roman;serif"/>
          <w:b w:val="false"/>
          <w:color w:val="000000"/>
          <w:sz w:val="24"/>
        </w:rPr>
        <w:t xml:space="preserve">, to the Corporation of the requisite special meeting request or requests and/or any related revocation or revocations, the Board may engage, in its discretion, one or more nationally recognized independent inspectors for the purpose of promptly performing a ministerial review of the validity of the requests and/or revocations. For the purpose of permitting the inspectors to perform such review, no special meeting request shall be granted until such date as the independent inspectors certify to the Board and the Corporation that the special meeting request(s) delivered to the Corporation in accordance with this </w:t>
      </w:r>
      <w:r>
        <w:rPr>
          <w:rFonts w:ascii="Times New Roman;serif" w:hAnsi="Times New Roman;serif"/>
          <w:b w:val="false"/>
          <w:color w:val="000000"/>
          <w:sz w:val="24"/>
          <w:u w:val="single"/>
        </w:rPr>
        <w:t>Section 2.2</w:t>
      </w:r>
      <w:r>
        <w:rPr>
          <w:rFonts w:ascii="Times New Roman;serif" w:hAnsi="Times New Roman;serif"/>
          <w:b w:val="false"/>
          <w:color w:val="000000"/>
          <w:sz w:val="24"/>
        </w:rPr>
        <w:t xml:space="preserve">, and not revoked, by such stockholder(s) (acting on their own behalf and not by assigning of delegating their rights to any other person or entity) together represent at least the Requisite Percent of the Corporation’s voting stock that has been continuously held by such stockholders, for their own account, for at least one year prior to the date of delivery of such requests to the Corporation, all in accordance with this </w:t>
      </w:r>
      <w:r>
        <w:rPr>
          <w:rFonts w:ascii="Times New Roman;serif" w:hAnsi="Times New Roman;serif"/>
          <w:b w:val="false"/>
          <w:color w:val="000000"/>
          <w:sz w:val="24"/>
          <w:u w:val="single"/>
        </w:rPr>
        <w:t>Section 2.2</w:t>
      </w:r>
      <w:r>
        <w:rPr>
          <w:rFonts w:ascii="Times New Roman;serif" w:hAnsi="Times New Roman;serif"/>
          <w:b w:val="false"/>
          <w:color w:val="000000"/>
          <w:sz w:val="24"/>
        </w:rPr>
        <w:t xml:space="preserve">. Nothing contained in this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shall in any way be construed to suggest or imply that the Board or any stockholder shall not be entitled to contest the validity of any request or revocation thereof, whether before or after such certification by the independent inspectors, or take any other action (including, without limitation, the commencement, prosecution, or defense of any litigation with respect thereto, and the seeking of injunctive relief in such litigation).</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(h) </w:t>
      </w:r>
      <w:r>
        <w:rPr>
          <w:rFonts w:ascii="Times New Roman;serif" w:hAnsi="Times New Roman;serif"/>
          <w:b w:val="false"/>
          <w:color w:val="000000"/>
          <w:sz w:val="24"/>
          <w:u w:val="single"/>
        </w:rPr>
        <w:t>Place, Time and Date of Special Meetings</w:t>
      </w:r>
      <w:r>
        <w:rPr>
          <w:rFonts w:ascii="Times New Roman;serif" w:hAnsi="Times New Roman;serif"/>
          <w:b w:val="false"/>
          <w:color w:val="000000"/>
          <w:sz w:val="24"/>
        </w:rPr>
        <w:t xml:space="preserve">. Special meetings of stockholders shall be held at such place and time and on such date as shall be determined by the Board and stated in the Corporation’s notice of the special meeting given under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 xml:space="preserve">of these Bylaws, provided that the Board may in its sole discretion determine that the special meeting shall not be held at any place, but may instead be held solely by means of remote communication pursuant to </w:t>
      </w:r>
      <w:r>
        <w:rPr>
          <w:rFonts w:ascii="Times New Roman;serif" w:hAnsi="Times New Roman;serif"/>
          <w:b w:val="false"/>
          <w:color w:val="000000"/>
          <w:sz w:val="24"/>
          <w:u w:val="single"/>
        </w:rPr>
        <w:t>Section 9.5(a)</w:t>
      </w:r>
      <w:r>
        <w:rPr>
          <w:rFonts w:ascii="Times New Roman;serif" w:hAnsi="Times New Roman;serif"/>
          <w:b w:val="false"/>
          <w:color w:val="000000"/>
          <w:sz w:val="24"/>
        </w:rPr>
        <w:t xml:space="preserve">, provided further that, except as otherwise set forth in these Bylaws or unless a later date is required in order to allow the Corporation to file the information required under Item 8 (or any other applicable provision) of Schedule 14A under the Exchange Act, if applicable, the date of any stockholder requested special meeting shall be: (i) not more than 90 days after the determination of the validity of the special meeting request(s) by the independent inspectors; or (ii) if no such independent inspectors are engaged to review the validity of one or more special meeting requests, not more than 90 days after the special meeting request(s) complying with the requirements and procedures of this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have been delivered to the Secretary of the Corporation.</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2.3 Notices</w:t>
      </w:r>
      <w:r>
        <w:rPr>
          <w:rFonts w:ascii="Times New Roman;serif" w:hAnsi="Times New Roman;serif"/>
          <w:b w:val="false"/>
          <w:color w:val="000000"/>
          <w:sz w:val="24"/>
        </w:rPr>
        <w:t xml:space="preserve">. Notice of each stockholders meeting stating the place, if any, date, and time of the meeting, and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any manner permitted by </w:t>
      </w:r>
      <w:r>
        <w:rPr>
          <w:rFonts w:ascii="Times New Roman;serif" w:hAnsi="Times New Roman;serif"/>
          <w:b w:val="false"/>
          <w:color w:val="000000"/>
          <w:sz w:val="24"/>
          <w:u w:val="single"/>
        </w:rPr>
        <w:t>Section 9.3</w:t>
      </w:r>
      <w:r>
        <w:rPr>
          <w:color w:val="000000"/>
        </w:rPr>
        <w:t xml:space="preserve"> </w:t>
      </w:r>
      <w:r>
        <w:rPr>
          <w:rFonts w:ascii="Times New Roman;serif" w:hAnsi="Times New Roman;serif"/>
          <w:b w:val="false"/>
          <w:color w:val="000000"/>
          <w:sz w:val="24"/>
        </w:rPr>
        <w:t xml:space="preserve">to the stockholders entitled to vote thereat as of the record date for determining the stockholders entitled to notice of the meeting. Such notice shall be given by the Corporation not less than 10 nor more than 60 days before the date of the meeting.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special meeting of stockholders as to which notice has been given may be cancelled, by the Board upon public announcement (as defined in </w:t>
      </w:r>
      <w:r>
        <w:rPr>
          <w:rFonts w:ascii="Times New Roman;serif" w:hAnsi="Times New Roman;serif"/>
          <w:b w:val="false"/>
          <w:color w:val="000000"/>
          <w:sz w:val="24"/>
          <w:u w:val="single"/>
        </w:rPr>
        <w:t>Section 2.7(b)</w:t>
      </w:r>
      <w:r>
        <w:rPr>
          <w:rFonts w:ascii="Times New Roman;serif" w:hAnsi="Times New Roman;serif"/>
          <w:b w:val="false"/>
          <w:color w:val="000000"/>
          <w:sz w:val="24"/>
        </w:rPr>
        <w:t>) given before the date previously scheduled for such meeting.</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rFonts w:ascii="Times New Roman;serif" w:hAnsi="Times New Roman;serif"/>
          <w:b/>
          <w:color w:val="000000"/>
          <w:sz w:val="24"/>
        </w:rPr>
        <w:t>Section 2.4 Quorum</w:t>
      </w:r>
      <w:r>
        <w:rPr>
          <w:rFonts w:ascii="Times New Roman;serif" w:hAnsi="Times New Roman;serif"/>
          <w:b w:val="false"/>
          <w:color w:val="000000"/>
          <w:sz w:val="24"/>
        </w:rPr>
        <w:t xml:space="preserve">. Except as otherwise provided by applicable law, the Certificate of Incorporation or these Bylaws,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the chairman of the meeting may adjourn the meeting from time to time in the manner provided in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pStyle w:val="TextBody"/>
        <w:bidi w:val="0"/>
        <w:spacing w:lineRule="auto" w:line="288" w:before="0" w:after="0"/>
        <w:ind w:left="0" w:right="0" w:firstLine="1440"/>
        <w:jc w:val="both"/>
        <w:rPr/>
      </w:pPr>
      <w:r>
        <w:rPr>
          <w:rFonts w:ascii="Times New Roman;serif" w:hAnsi="Times New Roman;serif"/>
          <w:b/>
          <w:color w:val="000000"/>
          <w:sz w:val="24"/>
        </w:rPr>
        <w:t>Section 2.5 Voting of Shares</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Voting Lists</w:t>
      </w:r>
      <w:r>
        <w:rPr>
          <w:rFonts w:ascii="Times New Roman;serif" w:hAnsi="Times New Roman;serif"/>
          <w:b w:val="false"/>
          <w:color w:val="000000"/>
          <w:sz w:val="24"/>
        </w:rPr>
        <w:t xml:space="preserve">. The Secretary shall prepare, or shall cause the officer or agent who has charge of the stock ledger of the Corporation to prepare, at least 10 days before every meeting of stockholders, a complete list of the stockholders of record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for each class of stock and showing the address and the number of shares registered in the name of each stockholder. Nothing contained in this </w:t>
      </w:r>
      <w:r>
        <w:rPr>
          <w:rFonts w:ascii="Times New Roman;serif" w:hAnsi="Times New Roman;serif"/>
          <w:b w:val="false"/>
          <w:color w:val="000000"/>
          <w:sz w:val="24"/>
          <w:u w:val="single"/>
        </w:rPr>
        <w:t>Section 2.5(a)</w:t>
      </w:r>
      <w:r>
        <w:rPr>
          <w:color w:val="000000"/>
        </w:rPr>
        <w:t xml:space="preserve"> </w:t>
      </w:r>
      <w:r>
        <w:rPr>
          <w:rFonts w:ascii="Times New Roman;serif" w:hAnsi="Times New Roman;serif"/>
          <w:b w:val="false"/>
          <w:color w:val="000000"/>
          <w:sz w:val="24"/>
        </w:rPr>
        <w:t xml:space="preserve">shall require the Corporation to include electronic mail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 xml:space="preserve">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If the Corporation determines to make the list available on an electronic network, the Corporation may take reasonable steps to ensure that such information is available only to stockholders of the Corporation. Except as otherwise required by law, the stock ledger shall be the only evidence as to who are the stockholders entitled to examine the list required by this </w:t>
      </w:r>
      <w:r>
        <w:rPr>
          <w:rFonts w:ascii="Times New Roman;serif" w:hAnsi="Times New Roman;serif"/>
          <w:b w:val="false"/>
          <w:color w:val="000000"/>
          <w:sz w:val="24"/>
          <w:u w:val="single"/>
        </w:rPr>
        <w:t>Section 2.5(a)</w:t>
      </w:r>
      <w:r>
        <w:rPr>
          <w:color w:val="000000"/>
        </w:rPr>
        <w:t xml:space="preserve"> </w:t>
      </w:r>
      <w:r>
        <w:rPr>
          <w:rFonts w:ascii="Times New Roman;serif" w:hAnsi="Times New Roman;serif"/>
          <w:b w:val="false"/>
          <w:color w:val="000000"/>
          <w:sz w:val="24"/>
        </w:rPr>
        <w:t xml:space="preserve">or to vote in person or by proxy at any meeting of stockholders.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Manner of Voting</w:t>
      </w:r>
      <w:r>
        <w:rPr>
          <w:rFonts w:ascii="Times New Roman;serif" w:hAnsi="Times New Roman;serif"/>
          <w:b w:val="false"/>
          <w:color w:val="000000"/>
          <w:sz w:val="24"/>
        </w:rPr>
        <w:t xml:space="preserve">. At any stockholders meeting, every stockholder entitled to vote may vote in person or by proxy. If and to the extent authorized by the Board, the voting by stockholders or proxyholders at any meeting conducted by remote communication may be effected by a ballot submitted by electronic transmission (as defined in </w:t>
      </w:r>
      <w:r>
        <w:rPr>
          <w:rFonts w:ascii="Times New Roman;serif" w:hAnsi="Times New Roman;serif"/>
          <w:b w:val="false"/>
          <w:color w:val="000000"/>
          <w:sz w:val="24"/>
          <w:u w:val="single"/>
        </w:rPr>
        <w:t>Section 9.3</w:t>
      </w:r>
      <w:r>
        <w:rPr>
          <w:rFonts w:ascii="Times New Roman;serif" w:hAnsi="Times New Roman;serif"/>
          <w:b w:val="false"/>
          <w:color w:val="000000"/>
          <w:sz w:val="24"/>
        </w:rPr>
        <w:t>), provided that any such electronic transmission must either set forth or be submitted with information from which the Corporation can determine that the electronic transmission was authorized by the stockholder or proxyholder. The Board, in its discretion, or the chairman of the meeting of stockholders, in such person’s discretion, may require that any votes cast at such meeting shall be cast by written ballot.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Proxies</w:t>
      </w:r>
      <w:r>
        <w:rPr>
          <w:rFonts w:ascii="Times New Roman;serif" w:hAnsi="Times New Roman;serif"/>
          <w:b w:val="false"/>
          <w:color w:val="000000"/>
          <w:sz w:val="24"/>
        </w:rPr>
        <w:t xml:space="preserve">.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of the Corporation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w:t>
      </w:r>
    </w:p>
    <w:p>
      <w:pPr>
        <w:pStyle w:val="TextBody"/>
        <w:bidi w:val="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Required Vote</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 </w:t>
      </w:r>
      <w:r>
        <w:rPr>
          <w:rFonts w:ascii="Times New Roman;serif" w:hAnsi="Times New Roman;serif"/>
          <w:b w:val="false"/>
          <w:color w:val="000000"/>
          <w:sz w:val="24"/>
          <w:u w:val="single"/>
        </w:rPr>
        <w:t>Uncontested Election</w:t>
      </w:r>
      <w:r>
        <w:rPr>
          <w:rFonts w:ascii="Times New Roman;serif" w:hAnsi="Times New Roman;serif"/>
          <w:b w:val="false"/>
          <w:color w:val="000000"/>
          <w:sz w:val="24"/>
        </w:rPr>
        <w:t xml:space="preserve">. Subject to the rights of any holders of one or more series of Preferred Stock, voting separately by class or series, to elect directors pursuant to the terms of one or more series of Preferred Stock, in an election of directors other than a contested election, each director shall be elected by a vote of the majority of the votes cast at any meeting for the election of directors at which a quorum is present. For purposes of this </w:t>
      </w:r>
      <w:r>
        <w:rPr>
          <w:rFonts w:ascii="Times New Roman;serif" w:hAnsi="Times New Roman;serif"/>
          <w:b w:val="false"/>
          <w:color w:val="000000"/>
          <w:sz w:val="24"/>
          <w:u w:val="single"/>
        </w:rPr>
        <w:t>Section 2.5(d)(i)</w:t>
      </w:r>
      <w:r>
        <w:rPr>
          <w:rFonts w:ascii="Times New Roman;serif" w:hAnsi="Times New Roman;serif"/>
          <w:b w:val="false"/>
          <w:color w:val="000000"/>
          <w:sz w:val="24"/>
        </w:rPr>
        <w:t>, a majority of the votes cast means that the number of shares voted “for” a director must exceed the number of votes cast “against” that director. In an uncontested election, any incumbent director who is not elected because he or she does not receive a majority of the votes cast shall immediately tender his or her resignation for consideration by the Board. The Board will evaluate whether to accept or reject such resignation or whether other action should be taken; provided, however, that the Board will act on such resignation, and the Corporation shall publicly disclose the Board’s decision to accept or reject such resignation and, if applicable, the rationale behind such decision, within 90 days from the date of the certification of the director elections results. The Board may fill any vacancy resulting from the non-election or resignation of a director as provided in these Bylaws or the Certificate of Incorporation.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(ii) </w:t>
      </w:r>
      <w:r>
        <w:rPr>
          <w:rFonts w:ascii="Times New Roman;serif" w:hAnsi="Times New Roman;serif"/>
          <w:b w:val="false"/>
          <w:color w:val="000000"/>
          <w:sz w:val="24"/>
          <w:u w:val="single"/>
        </w:rPr>
        <w:t>Contested Election</w:t>
      </w:r>
      <w:r>
        <w:rPr>
          <w:rFonts w:ascii="Times New Roman;serif" w:hAnsi="Times New Roman;serif"/>
          <w:b w:val="false"/>
          <w:color w:val="000000"/>
          <w:sz w:val="24"/>
        </w:rPr>
        <w:t xml:space="preserve">. Subject to the rights of any holders of one or more series of Preferred Stock, voting separately by class or series, to elect directors pursuant to the terms of one or more series of Preferred Stock, in a contested election, each director shall be elected by a plurality of the votes cast, which shall mean that the directors receiving the largest number of “for” votes will be elected in such contested election, at any meeting for the election of directors at which a quorum is present. For purposes of this </w:t>
      </w:r>
      <w:r>
        <w:rPr>
          <w:rFonts w:ascii="Times New Roman;serif" w:hAnsi="Times New Roman;serif"/>
          <w:b w:val="false"/>
          <w:color w:val="000000"/>
          <w:sz w:val="24"/>
          <w:u w:val="single"/>
        </w:rPr>
        <w:t>Section 2.5(d)</w:t>
      </w:r>
      <w:r>
        <w:rPr>
          <w:rFonts w:ascii="Times New Roman;serif" w:hAnsi="Times New Roman;serif"/>
          <w:b w:val="false"/>
          <w:color w:val="000000"/>
          <w:sz w:val="24"/>
        </w:rPr>
        <w:t>, a contested election means an election in which (i) as of the last day for giving notice of a stockholder nominee, a stockholder has nominated a candidate for director in accordance with the requirements of these Bylaws, and (ii) as of the date that notice of the annual meeting is given, the Board considers that a stockholder-nominated director candidacy has created a bona fide election contest.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(iii) </w:t>
      </w:r>
      <w:r>
        <w:rPr>
          <w:rFonts w:ascii="Times New Roman;serif" w:hAnsi="Times New Roman;serif"/>
          <w:b w:val="false"/>
          <w:color w:val="000000"/>
          <w:sz w:val="24"/>
          <w:u w:val="single"/>
        </w:rPr>
        <w:t>All Other Matters</w:t>
      </w:r>
      <w:r>
        <w:rPr>
          <w:rFonts w:ascii="Times New Roman;serif" w:hAnsi="Times New Roman;serif"/>
          <w:b w:val="false"/>
          <w:color w:val="000000"/>
          <w:sz w:val="24"/>
        </w:rPr>
        <w:t xml:space="preserve">. Except as set forth in </w:t>
      </w:r>
      <w:r>
        <w:rPr>
          <w:rFonts w:ascii="Times New Roman;serif" w:hAnsi="Times New Roman;serif"/>
          <w:b w:val="false"/>
          <w:color w:val="000000"/>
          <w:sz w:val="24"/>
          <w:u w:val="single"/>
        </w:rPr>
        <w:t>Section 2.5(d)(i)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2.5(d)(ii)</w:t>
      </w:r>
      <w:r>
        <w:rPr>
          <w:rFonts w:ascii="Times New Roman;serif" w:hAnsi="Times New Roman;serif"/>
          <w:b w:val="false"/>
          <w:color w:val="000000"/>
          <w:sz w:val="24"/>
        </w:rPr>
        <w:t>, all other matters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Inspectors of Election</w:t>
      </w:r>
      <w:r>
        <w:rPr>
          <w:rFonts w:ascii="Times New Roman;serif" w:hAnsi="Times New Roman;serif"/>
          <w:b w:val="false"/>
          <w:color w:val="000000"/>
          <w:sz w:val="24"/>
        </w:rPr>
        <w:t xml:space="preserve">.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reports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2.6 Adjournments</w:t>
      </w:r>
      <w:r>
        <w:rPr>
          <w:rFonts w:ascii="Times New Roman;serif" w:hAnsi="Times New Roman;serif"/>
          <w:b w:val="false"/>
          <w:color w:val="000000"/>
          <w:sz w:val="24"/>
        </w:rPr>
        <w:t xml:space="preserve">. Any meeting of stockholders, annual or special, may be adjourned by the chairman of the meeting, from time to time, whether or not there is a quorum, to reconvene at the same or some other place. When a meeting is adjourned to another time or place, (including an adjournment taken to address a technical failure to convene or continue a meeting using remote communication), notice need not be given of any such adjourned meeting if the date, time and place, if any, thereof, and the means of remote communication, if any, by which stockholders and proxyholders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2.3 of these Bylaws.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Times New Roman;serif" w:hAnsi="Times New Roman;serif"/>
          <w:b w:val="false"/>
          <w:color w:val="000000"/>
          <w:sz w:val="24"/>
          <w:u w:val="single"/>
        </w:rPr>
        <w:t>Section 2.3</w:t>
      </w:r>
      <w:r>
        <w:rPr>
          <w:rFonts w:ascii="Times New Roman;serif" w:hAnsi="Times New Roman;serif"/>
          <w:b w:val="false"/>
          <w:color w:val="000000"/>
          <w:sz w:val="24"/>
        </w:rPr>
        <w:t>, and shall give notice of the adjourned meeting to each stockholder of record entitled to vote at such adjourned meeting as of the record date fixed for notice of such adjourned meeting.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2.7 Advance Notice for Business</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Annual Meetings of Stockholders</w:t>
      </w:r>
      <w:r>
        <w:rPr>
          <w:rFonts w:ascii="Times New Roman;serif" w:hAnsi="Times New Roman;serif"/>
          <w:b w:val="false"/>
          <w:color w:val="000000"/>
          <w:sz w:val="24"/>
        </w:rPr>
        <w:t xml:space="preserve">. No business may be transacted at an annual meeting of stockholders, other than business that is either (i) specified in the Corporation’s notice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 xml:space="preserve">of meeting (or any supplement thereto) given by or at the direction of the Board or an authorized committee thereof, (ii) otherwise properly brought before the annual meeting by or at the direction of the Board or (iii) otherwise properly brought before the annual meeting by any stockholder of the Corporation (x) who is a stockholder of record both on the date of the giving of the notice provided for in this </w:t>
      </w:r>
      <w:r>
        <w:rPr>
          <w:rFonts w:ascii="Times New Roman;serif" w:hAnsi="Times New Roman;serif"/>
          <w:b w:val="false"/>
          <w:color w:val="000000"/>
          <w:sz w:val="24"/>
          <w:u w:val="single"/>
        </w:rPr>
        <w:t>Section 2.7(a)</w:t>
      </w:r>
      <w:r>
        <w:rPr>
          <w:color w:val="000000"/>
        </w:rPr>
        <w:t xml:space="preserve"> </w:t>
      </w:r>
      <w:r>
        <w:rPr>
          <w:rFonts w:ascii="Times New Roman;serif" w:hAnsi="Times New Roman;serif"/>
          <w:b w:val="false"/>
          <w:color w:val="000000"/>
          <w:sz w:val="24"/>
        </w:rPr>
        <w:t xml:space="preserve">and on the date for such annual meeting and who is entitled to vote at such annual meeting and (y) who complies with the notice procedures set forth in this </w:t>
      </w:r>
      <w:r>
        <w:rPr>
          <w:rFonts w:ascii="Times New Roman;serif" w:hAnsi="Times New Roman;serif"/>
          <w:b w:val="false"/>
          <w:color w:val="000000"/>
          <w:sz w:val="24"/>
          <w:u w:val="single"/>
        </w:rPr>
        <w:t>Section 2.7(a)</w:t>
      </w:r>
      <w:r>
        <w:rPr>
          <w:rFonts w:ascii="Times New Roman;serif" w:hAnsi="Times New Roman;serif"/>
          <w:b w:val="false"/>
          <w:color w:val="000000"/>
          <w:sz w:val="24"/>
        </w:rPr>
        <w:t xml:space="preserve">. Except for proposals properly made in accordance with Rule 14a-8 under the Exchange Act and included in the notice of meeting given by or at the direction of the Board, the foregoing clause (iii) shall be the exclusive means for a stockholder to propose business to be brought before an annual meeting of stockholders. Stockholders seeking to nominate persons for election to the Board must comply with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 xml:space="preserve">of these Bylaws, and this </w:t>
      </w:r>
      <w:r>
        <w:rPr>
          <w:rFonts w:ascii="Times New Roman;serif" w:hAnsi="Times New Roman;serif"/>
          <w:b w:val="false"/>
          <w:color w:val="000000"/>
          <w:sz w:val="24"/>
          <w:u w:val="single"/>
        </w:rPr>
        <w:t>Section 2.7</w:t>
      </w:r>
      <w:r>
        <w:rPr>
          <w:color w:val="000000"/>
        </w:rPr>
        <w:t xml:space="preserve"> </w:t>
      </w:r>
      <w:r>
        <w:rPr>
          <w:rFonts w:ascii="Times New Roman;serif" w:hAnsi="Times New Roman;serif"/>
          <w:b w:val="false"/>
          <w:color w:val="000000"/>
          <w:sz w:val="24"/>
        </w:rPr>
        <w:t>shall not be applicable to nominations.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 In addition to any other applicable requirements, for business (other than nominations) to be properly brought before an annual meeting by a stockholder, such stockholder must have given timely notice thereof in proper written form to the Secretary of the Corporation and such business must otherwise be a proper matter for stockholder action. Subject to </w:t>
      </w:r>
      <w:r>
        <w:rPr>
          <w:rFonts w:ascii="Times New Roman;serif" w:hAnsi="Times New Roman;serif"/>
          <w:b w:val="false"/>
          <w:color w:val="000000"/>
          <w:sz w:val="24"/>
          <w:u w:val="single"/>
        </w:rPr>
        <w:t>Section 2.7(a)(iv)</w:t>
      </w:r>
      <w:r>
        <w:rPr>
          <w:rFonts w:ascii="Times New Roman;serif" w:hAnsi="Times New Roman;serif"/>
          <w:b w:val="false"/>
          <w:color w:val="000000"/>
          <w:sz w:val="24"/>
        </w:rPr>
        <w:t xml:space="preserve">, a stockholder’s notice to the Secretary with respect to such business, to be timely, must (x) comply with the provisions of this </w:t>
      </w:r>
      <w:r>
        <w:rPr>
          <w:rFonts w:ascii="Times New Roman;serif" w:hAnsi="Times New Roman;serif"/>
          <w:b w:val="false"/>
          <w:color w:val="000000"/>
          <w:sz w:val="24"/>
          <w:u w:val="single"/>
        </w:rPr>
        <w:t>Section 2.7(a)(i)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(y)</w:t>
      </w:r>
      <w:r>
        <w:rPr>
          <w:color w:val="000000"/>
        </w:rPr>
        <w:t xml:space="preserve"> </w:t>
      </w:r>
      <w:r>
        <w:rPr>
          <w:rFonts w:ascii="Times New Roman;serif" w:hAnsi="Times New Roman;serif"/>
          <w:b w:val="false"/>
          <w:color w:val="000000"/>
          <w:sz w:val="24"/>
        </w:rPr>
        <w:t xml:space="preserve">be timely updated and/or supplemented by the times and in the manner required by the provisions of </w:t>
      </w:r>
      <w:r>
        <w:rPr>
          <w:rFonts w:ascii="Times New Roman;serif" w:hAnsi="Times New Roman;serif"/>
          <w:b w:val="false"/>
          <w:color w:val="000000"/>
          <w:sz w:val="24"/>
          <w:u w:val="single"/>
        </w:rPr>
        <w:t>Section 2.7(a)(iii)</w:t>
      </w:r>
      <w:r>
        <w:rPr>
          <w:rFonts w:ascii="Times New Roman;serif" w:hAnsi="Times New Roman;serif"/>
          <w:b w:val="false"/>
          <w:color w:val="000000"/>
          <w:sz w:val="24"/>
        </w:rPr>
        <w:t xml:space="preserve">. A stockholder’s notice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if the annual meeting is called for a date that is more than 30 days earlier or more than 60 days later than such anniversary date, or if no annual meeting was held or deemed to have been held in the preceding year,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adjournment, rescheduling or postponement of an annual meeting (or the public announcement thereof) shall not commence a new time period (or extend any time period) for the giving of a stockholder’s notice as described in this </w:t>
      </w:r>
      <w:r>
        <w:rPr>
          <w:rFonts w:ascii="Times New Roman;serif" w:hAnsi="Times New Roman;serif"/>
          <w:b w:val="false"/>
          <w:color w:val="000000"/>
          <w:sz w:val="24"/>
          <w:u w:val="single"/>
        </w:rPr>
        <w:t>Section 2.7(a)</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To be in proper written form, a stockholder’s notice to the Secretary with respect to any business (other than nominations) must set forth: </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as to each such matter such stockholder proposes to bring before the annual meeting (1) a brief description of the business desired to be brought before the annual meeting and any material interest (including any substantial interest within the meaning of Item 5 of Schedule 14A under the Exchange Act) in such business of such stockholder and any Stockholder Associated Person (as defined below), individually or in the aggregate, (2) the text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of the proposal or business (including the text of any resolutions proposed for consideration and if such business includes a proposal to amend these Bylaws, the text of the proposed amendment) and (3) the reasons for conducting such business at the annual meeting,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name and address of the stockholder proposing such business, as they appear on the Corporation’s books, and the name and address of any Stockholder Associated Person,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(1) the class or series and number of shares of capital stock of the Corporation that are owned of record or are directly or indirectly owned beneficially by such stockholder and by any Stockholder Associated Person, (2) the date or dates such shares were acquired, (3) the investment intent of such acquisition and (4) any pledge by any Stockholder Associated Person with respect to any of such shares,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(D) any option, warrant, convertible security, stock appreciation right, swap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shares of the Corporation or otherwise (a “</w:t>
      </w:r>
      <w:r>
        <w:rPr>
          <w:rFonts w:ascii="Times New Roman;serif" w:hAnsi="Times New Roman;serif"/>
          <w:b/>
          <w:i/>
          <w:color w:val="000000"/>
          <w:sz w:val="24"/>
        </w:rPr>
        <w:t>Derivative Instrument</w:t>
      </w:r>
      <w:r>
        <w:rPr>
          <w:color w:val="000000"/>
        </w:rPr>
        <w:t>”</w:t>
      </w:r>
      <w:r>
        <w:rPr>
          <w:rFonts w:ascii="Times New Roman;serif" w:hAnsi="Times New Roman;serif"/>
          <w:b w:val="false"/>
          <w:color w:val="000000"/>
          <w:sz w:val="24"/>
        </w:rPr>
        <w:t xml:space="preserve">) directly or indirectly owned beneficially by such stockholder or by any Stockholder Associated Person and any other direct or indirect opportunity of such stockholder or any Stockholder Associated Person to profit or share in any profit derived from any increase or decrease in the value of shares of the Corporation,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any proxy (other than a revocable proxy or consent given in response to a solicitation made pursuant to Section 14(a) of the Exchange Act by way of a solicitation statement filed on Schedule 14A), contract, arrangement, understanding or relationship pursuant to which such stockholder or any Stockholder Associated Person has a right to vote any shares of the Corporation,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(F) any short interest in any security of the Corporation held by such stockholder or any Stockholder Associated Person (for purposes of this </w:t>
      </w:r>
      <w:r>
        <w:rPr>
          <w:rFonts w:ascii="Times New Roman;serif" w:hAnsi="Times New Roman;serif"/>
          <w:b w:val="false"/>
          <w:color w:val="000000"/>
          <w:sz w:val="24"/>
          <w:u w:val="single"/>
        </w:rPr>
        <w:t>Section 2.7</w:t>
      </w:r>
      <w:r>
        <w:rPr>
          <w:color w:val="000000"/>
        </w:rPr>
        <w:t xml:space="preserve"> </w:t>
      </w:r>
      <w:r>
        <w:rPr>
          <w:rFonts w:ascii="Times New Roman;serif" w:hAnsi="Times New Roman;serif"/>
          <w:b w:val="false"/>
          <w:color w:val="000000"/>
          <w:sz w:val="24"/>
        </w:rPr>
        <w:t xml:space="preserve">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(G) any rights owned beneficially by such stockholder or Stockholder Associated Person to dividends on the shares of the Corporation that are separated or separable from the underlying shares of the Corporation, </w:t>
      </w:r>
    </w:p>
    <w:p>
      <w:pPr>
        <w:pStyle w:val="TextBody"/>
        <w:bidi w:val="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 any proportionate interest in shares of the Corporation or Derivative Instruments held, directly or indirectly, by a general or limited partnership in which such stockholder or any Stockholder Associated Person is a general partner or, directly or indirectly, beneficially owns an interest in a general partner,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a description of all agreements, arrangements or understandings (written or oral) between or among such stockholder, any Stockholder Associated Person or any other person or persons (including their names) in connection with the proposal of such business by such stockholder,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(J) any other information relating to such stockholder and any Stockholder Associated Person that would be required to be disclosed in a proxy statement or other filings required to be made in connection with solicitation of proxies for election of directors (even if an election contest is not involved), or would be otherwise required, in each case pursuant to Section 14 of the Exchange Act and the rules and regulations promulgated thereunder,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(K) a representation that such stockholder (or a qualified representative thereof) intends to appear in person or by proxy at the annual meeting to bring such business before the meeting, and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 a statement of whether such stockholder or any Stockholder Associated Person intends, or is part of a group that intends, to solicit proxies in connection with the proposal.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(iii) A stockholder providing notice of business proposed to be brought before an annual meeting shall further update and supplement such notice, if necessary, so that the information provided or required to be provided in such notice pursuant to this </w:t>
      </w:r>
      <w:r>
        <w:rPr>
          <w:rFonts w:ascii="Times New Roman;serif" w:hAnsi="Times New Roman;serif"/>
          <w:b w:val="false"/>
          <w:color w:val="000000"/>
          <w:sz w:val="24"/>
          <w:u w:val="single"/>
        </w:rPr>
        <w:t>Section 2.7(a)</w:t>
      </w:r>
      <w:r>
        <w:rPr>
          <w:color w:val="000000"/>
        </w:rPr>
        <w:t xml:space="preserve"> </w:t>
      </w:r>
      <w:r>
        <w:rPr>
          <w:rFonts w:ascii="Times New Roman;serif" w:hAnsi="Times New Roman;serif"/>
          <w:b w:val="false"/>
          <w:color w:val="000000"/>
          <w:sz w:val="24"/>
        </w:rPr>
        <w:t>shall be true and correct as of the record date for determining the stockholders entitled to notice of the meeting and as of the date that is 10 business days prior to the meeting or any adjournment or postponement thereof, and such update and supplement shall be delivered to, or mailed and received by, the Secretary at the principal executive offices of the Corporation (x) in the case of the update and supplement required to be made as of such record date, not later than five business days after such record date and (y) in the case of the update and supplement required to be made as of 10 business days prior to the meeting or any adjournment or postponement thereof, as applicable, not later than eight business days prior to the date for the meeting or any adjournment or postponement thereof, if practicable (or if not practicable, on the first practicable date prior to the date for the meeting or such adjournment or postponement thereof).</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(iv) The foregoing notice requirements of this </w:t>
      </w:r>
      <w:r>
        <w:rPr>
          <w:rFonts w:ascii="Times New Roman;serif" w:hAnsi="Times New Roman;serif"/>
          <w:b w:val="false"/>
          <w:color w:val="000000"/>
          <w:sz w:val="24"/>
          <w:u w:val="single"/>
        </w:rPr>
        <w:t>Section 2.7(a)</w:t>
      </w:r>
      <w:r>
        <w:rPr>
          <w:color w:val="000000"/>
        </w:rPr>
        <w:t xml:space="preserve"> </w:t>
      </w:r>
      <w:r>
        <w:rPr>
          <w:rFonts w:ascii="Times New Roman;serif" w:hAnsi="Times New Roman;serif"/>
          <w:b w:val="false"/>
          <w:color w:val="000000"/>
          <w:sz w:val="24"/>
        </w:rPr>
        <w:t xml:space="preserve">shall be deemed satisfied by a stockholder as to any proposal (other than nominations) if the stockholder has notified the Corporation of such stockholder’s intention to present such proposal at an annual meeting in compliance with Rule 14a-8 (or any successor thereof)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 xml:space="preserve">of the Exchange Act, and such stockholder’s proposal has been included in a proxy statement prepared by the Corporation to solicit proxies for such annual meeting. No business (other than nominations) shall be conducted at the annual meeting of stockholders except business brought before the annual meeting in accordance with the procedures set forth in this </w:t>
      </w:r>
      <w:r>
        <w:rPr>
          <w:rFonts w:ascii="Times New Roman;serif" w:hAnsi="Times New Roman;serif"/>
          <w:b w:val="false"/>
          <w:color w:val="000000"/>
          <w:sz w:val="24"/>
          <w:u w:val="single"/>
        </w:rPr>
        <w:t>Section 2.7(a)</w:t>
      </w:r>
      <w:r>
        <w:rPr>
          <w:rFonts w:ascii="Times New Roman;serif" w:hAnsi="Times New Roman;serif"/>
          <w:b w:val="false"/>
          <w:color w:val="000000"/>
          <w:sz w:val="24"/>
        </w:rPr>
        <w:t xml:space="preserve">, provided, however, that once business has been properly brought before the annual meeting in accordance with such procedures, nothing in this </w:t>
      </w:r>
      <w:r>
        <w:rPr>
          <w:rFonts w:ascii="Times New Roman;serif" w:hAnsi="Times New Roman;serif"/>
          <w:b w:val="false"/>
          <w:color w:val="000000"/>
          <w:sz w:val="24"/>
          <w:u w:val="single"/>
        </w:rPr>
        <w:t>Section 2.7(a)</w:t>
      </w:r>
      <w:r>
        <w:rPr>
          <w:color w:val="000000"/>
        </w:rPr>
        <w:t xml:space="preserve"> </w:t>
      </w:r>
      <w:r>
        <w:rPr>
          <w:rFonts w:ascii="Times New Roman;serif" w:hAnsi="Times New Roman;serif"/>
          <w:b w:val="false"/>
          <w:color w:val="000000"/>
          <w:sz w:val="24"/>
        </w:rPr>
        <w:t xml:space="preserve">shall be deemed to preclude discussion by any stockholder of any such business. If the Board or the chairman of the annual meeting determines that any stockholder proposal was not made in accordance with the provisions of this </w:t>
      </w:r>
      <w:r>
        <w:rPr>
          <w:rFonts w:ascii="Times New Roman;serif" w:hAnsi="Times New Roman;serif"/>
          <w:b w:val="false"/>
          <w:color w:val="000000"/>
          <w:sz w:val="24"/>
          <w:u w:val="single"/>
        </w:rPr>
        <w:t>Section 2.7(a)</w:t>
      </w:r>
      <w:r>
        <w:rPr>
          <w:color w:val="000000"/>
        </w:rPr>
        <w:t xml:space="preserve"> </w:t>
      </w:r>
      <w:r>
        <w:rPr>
          <w:rFonts w:ascii="Times New Roman;serif" w:hAnsi="Times New Roman;serif"/>
          <w:b w:val="false"/>
          <w:color w:val="000000"/>
          <w:sz w:val="24"/>
        </w:rPr>
        <w:t xml:space="preserve">or that the information provided in a stockholder’s notice does not satisfy the information requirements of this </w:t>
      </w:r>
      <w:r>
        <w:rPr>
          <w:rFonts w:ascii="Times New Roman;serif" w:hAnsi="Times New Roman;serif"/>
          <w:b w:val="false"/>
          <w:color w:val="000000"/>
          <w:sz w:val="24"/>
          <w:u w:val="single"/>
        </w:rPr>
        <w:t>Section 2.7(a)</w:t>
      </w:r>
      <w:r>
        <w:rPr>
          <w:rFonts w:ascii="Times New Roman;serif" w:hAnsi="Times New Roman;serif"/>
          <w:b w:val="false"/>
          <w:color w:val="000000"/>
          <w:sz w:val="24"/>
        </w:rPr>
        <w:t xml:space="preserve">, such proposal shall not be presented for action at the annual meeting. Notwithstanding the foregoing provisions of this </w:t>
      </w:r>
      <w:r>
        <w:rPr>
          <w:rFonts w:ascii="Times New Roman;serif" w:hAnsi="Times New Roman;serif"/>
          <w:b w:val="false"/>
          <w:color w:val="000000"/>
          <w:sz w:val="24"/>
          <w:u w:val="single"/>
        </w:rPr>
        <w:t>Section 2.7(a)</w:t>
      </w:r>
      <w:r>
        <w:rPr>
          <w:rFonts w:ascii="Times New Roman;serif" w:hAnsi="Times New Roman;serif"/>
          <w:b w:val="false"/>
          <w:color w:val="000000"/>
          <w:sz w:val="24"/>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(v) In addition to the provisions of this </w:t>
      </w:r>
      <w:r>
        <w:rPr>
          <w:rFonts w:ascii="Times New Roman;serif" w:hAnsi="Times New Roman;serif"/>
          <w:b w:val="false"/>
          <w:color w:val="000000"/>
          <w:sz w:val="24"/>
          <w:u w:val="single"/>
        </w:rPr>
        <w:t>Section 2.7(a)</w:t>
      </w:r>
      <w:r>
        <w:rPr>
          <w:rFonts w:ascii="Times New Roman;serif" w:hAnsi="Times New Roman;serif"/>
          <w:b w:val="false"/>
          <w:color w:val="000000"/>
          <w:sz w:val="24"/>
        </w:rPr>
        <w:t xml:space="preserve">, a stockholder shall also comply with all applicable requirements of the Exchange Act and the rules and regulations thereunder with respect to the matters set forth herein; and a failure to comply therewith shall be deemed a failure to comply with this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Nothing in this </w:t>
      </w:r>
      <w:r>
        <w:rPr>
          <w:rFonts w:ascii="Times New Roman;serif" w:hAnsi="Times New Roman;serif"/>
          <w:b w:val="false"/>
          <w:color w:val="000000"/>
          <w:sz w:val="24"/>
          <w:u w:val="single"/>
        </w:rPr>
        <w:t>Section 2.7(a)</w:t>
      </w:r>
      <w:r>
        <w:rPr>
          <w:color w:val="000000"/>
        </w:rPr>
        <w:t xml:space="preserve"> </w:t>
      </w:r>
      <w:r>
        <w:rPr>
          <w:rFonts w:ascii="Times New Roman;serif" w:hAnsi="Times New Roman;serif"/>
          <w:b w:val="false"/>
          <w:color w:val="000000"/>
          <w:sz w:val="24"/>
        </w:rPr>
        <w:t>shall be deemed to affect any rights of stockholders to request inclusion of proposals in the Corporation’s proxy statement pursuant to Rule 14a-8 under the Exchange Act.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Definitions</w:t>
      </w:r>
      <w:r>
        <w:rPr>
          <w:rFonts w:ascii="Times New Roman;serif" w:hAnsi="Times New Roman;serif"/>
          <w:b w:val="false"/>
          <w:color w:val="000000"/>
          <w:sz w:val="24"/>
        </w:rPr>
        <w:t>. For purposes of these Bylaws, “</w:t>
      </w:r>
      <w:r>
        <w:rPr>
          <w:rFonts w:ascii="Times New Roman;serif" w:hAnsi="Times New Roman;serif"/>
          <w:b/>
          <w:i/>
          <w:color w:val="000000"/>
          <w:sz w:val="24"/>
        </w:rPr>
        <w:t>public announcement</w:t>
      </w:r>
      <w:r>
        <w:rPr>
          <w:color w:val="000000"/>
        </w:rPr>
        <w:t xml:space="preserve">” </w:t>
      </w:r>
      <w:r>
        <w:rPr>
          <w:rFonts w:ascii="Times New Roman;serif" w:hAnsi="Times New Roman;serif"/>
          <w:b w:val="false"/>
          <w:color w:val="000000"/>
          <w:sz w:val="24"/>
        </w:rPr>
        <w:t>shall mean disclosure in a press release reported by the Dow Jones News Service, Associated Press or comparable national news service or in a document publicly filed by the Corporation with the United States Securities and Exchange Commission (“</w:t>
      </w:r>
      <w:r>
        <w:rPr>
          <w:rFonts w:ascii="Times New Roman;serif" w:hAnsi="Times New Roman;serif"/>
          <w:b/>
          <w:i/>
          <w:color w:val="000000"/>
          <w:sz w:val="24"/>
        </w:rPr>
        <w:t>SEC</w:t>
      </w:r>
      <w:r>
        <w:rPr>
          <w:color w:val="000000"/>
        </w:rPr>
        <w:t>”</w:t>
      </w:r>
      <w:r>
        <w:rPr>
          <w:rFonts w:ascii="Times New Roman;serif" w:hAnsi="Times New Roman;serif"/>
          <w:b w:val="false"/>
          <w:color w:val="000000"/>
          <w:sz w:val="24"/>
        </w:rPr>
        <w:t>) pursuant to Sections 13, 14 or 15(d) of the Exchange Act; “</w:t>
      </w:r>
      <w:r>
        <w:rPr>
          <w:rFonts w:ascii="Times New Roman;serif" w:hAnsi="Times New Roman;serif"/>
          <w:b/>
          <w:i/>
          <w:color w:val="000000"/>
          <w:sz w:val="24"/>
        </w:rPr>
        <w:t>Stockholder Associated Person</w:t>
      </w:r>
      <w:r>
        <w:rPr>
          <w:color w:val="000000"/>
        </w:rPr>
        <w:t xml:space="preserve">” </w:t>
      </w:r>
      <w:r>
        <w:rPr>
          <w:rFonts w:ascii="Times New Roman;serif" w:hAnsi="Times New Roman;serif"/>
          <w:b w:val="false"/>
          <w:color w:val="000000"/>
          <w:sz w:val="24"/>
        </w:rPr>
        <w:t>shall mean for any stockholder (i) any person controlling, directly or indirectly, such stockholder, (ii) any beneficial owner of shares of stock of the Corporation owned of record or beneficially by such stockholder, or (iii) any participant (as defined in paragraphs (a)(ii)-(vi) of Instruction 3 to Item 4 of Schedule 14A) with such stockholder in such solicitation; and a “</w:t>
      </w:r>
      <w:r>
        <w:rPr>
          <w:rFonts w:ascii="Times New Roman;serif" w:hAnsi="Times New Roman;serif"/>
          <w:b/>
          <w:i/>
          <w:color w:val="000000"/>
          <w:sz w:val="24"/>
        </w:rPr>
        <w:t>qualified representative</w:t>
      </w:r>
      <w:r>
        <w:rPr>
          <w:color w:val="000000"/>
        </w:rPr>
        <w:t xml:space="preserve">” </w:t>
      </w:r>
      <w:r>
        <w:rPr>
          <w:rFonts w:ascii="Times New Roman;serif" w:hAnsi="Times New Roman;serif"/>
          <w:b w:val="false"/>
          <w:color w:val="000000"/>
          <w:sz w:val="24"/>
        </w:rPr>
        <w:t>of a stockholder shall mean a duly authorized officer, manager, trustee or partner of such stockholder or a person authorized by a writing executed by such stockholder (or a reliable reproduction of the writing) stating that such person is authorized to act for such stockholder as proxy at the meeting of stockholders, which writing or reproduction must be delivered to the Corporation not fewer than five business days before the stockholder meeting. For purposes of these Bylaws, “</w:t>
      </w:r>
      <w:r>
        <w:rPr>
          <w:rFonts w:ascii="Times New Roman;serif" w:hAnsi="Times New Roman;serif"/>
          <w:b/>
          <w:i/>
          <w:color w:val="000000"/>
          <w:sz w:val="24"/>
        </w:rPr>
        <w:t>close of business</w:t>
      </w:r>
      <w:r>
        <w:rPr>
          <w:color w:val="000000"/>
        </w:rPr>
        <w:t xml:space="preserve">” </w:t>
      </w:r>
      <w:r>
        <w:rPr>
          <w:rFonts w:ascii="Times New Roman;serif" w:hAnsi="Times New Roman;serif"/>
          <w:b w:val="false"/>
          <w:color w:val="000000"/>
          <w:sz w:val="24"/>
        </w:rPr>
        <w:t>shall mean 6:00 p.m. local time at the principal executive offices of the Corporation on the applicable calendar day, whether or not the day is a business day; and “</w:t>
      </w:r>
      <w:r>
        <w:rPr>
          <w:rFonts w:ascii="Times New Roman;serif" w:hAnsi="Times New Roman;serif"/>
          <w:b/>
          <w:i/>
          <w:color w:val="000000"/>
          <w:sz w:val="24"/>
        </w:rPr>
        <w:t>opening of business</w:t>
      </w:r>
      <w:r>
        <w:rPr>
          <w:color w:val="000000"/>
        </w:rPr>
        <w:t xml:space="preserve">” </w:t>
      </w:r>
      <w:r>
        <w:rPr>
          <w:rFonts w:ascii="Times New Roman;serif" w:hAnsi="Times New Roman;serif"/>
          <w:b w:val="false"/>
          <w:color w:val="000000"/>
          <w:sz w:val="24"/>
        </w:rPr>
        <w:t>shall mean 9:00 a.m. local time at the principal executive offices of the Corporation on the applicable calendar day, whether or not the day is a business day.</w:t>
      </w:r>
    </w:p>
    <w:p>
      <w:pPr>
        <w:pStyle w:val="TextBody"/>
        <w:bidi w:val="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2.8 Conduct of Meetings</w:t>
      </w:r>
      <w:r>
        <w:rPr>
          <w:rFonts w:ascii="Times New Roman;serif" w:hAnsi="Times New Roman;serif"/>
          <w:b w:val="false"/>
          <w:color w:val="000000"/>
          <w:sz w:val="24"/>
        </w:rPr>
        <w:t>. The chairman of each annual and special meeting of stockholders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color w:val="000000"/>
          <w:sz w:val="24"/>
        </w:rPr>
        <w:t>Section 2.9 Consents in Lieu of Meeting</w:t>
      </w:r>
      <w:r>
        <w:rPr>
          <w:rFonts w:ascii="Times New Roman;serif" w:hAnsi="Times New Roman;serif"/>
          <w:b w:val="false"/>
          <w:color w:val="000000"/>
          <w:sz w:val="24"/>
        </w:rPr>
        <w:t xml:space="preserve">.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 the stockholders of the Corporation, unless the Board approves in advance the taking of such action by means of written consent of stockholders, in which case such action may be taken without a meeting, without prior notice and without a vote, if a consent or consents in writing, setting forth the action so taken, shall be signed by the holders of outstanding stock having not less than the minimum voting power that would be necessary to authorize or take such action at a meeting at which all shares entitled to vote thereon were present and voted and shall be delivered to the Corporation to its registered office in the State of Delaware, the Corporation’s principal place of business, or the Secretary of the Corporation. Every written consent shall bear the date of signature of each stockholder who signs the consent and no written consent shall be effective to take the corporate action referred to therein unless, within 60 days of the date the earliest dated consent is delivered to the Corporation, a written consent or consents signed by a sufficient number of holders to take such action are delivered to the Corporation by delivery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 xml:space="preserve">Corporation’s registered office in the State of Delaware, the Corporation’s principal place of business, or the Secretary. Delivery made to the Corporation’s registered office shall be by hand or by certified or registered mail, return receipt requested. An electronic transmission consenting to the action to be taken and transmitted by a stockholder, proxyholder or a person or persons authorized to act for a stockholder or proxyholder shall be deemed to be written, signed and dated for purposes hereof if such electronic transmission sets forth or is delivered with information from which the Corporation can determine that such transmission was transmitted by a stockholder or proxyholder (or by a person authorized to act for a stockholder or proxyholder) and the date on which such stockholder, proxyholder or authorized person transmitted such transmission. The date on which such electronic transmission is transmitted shall be deemed to be the date on which such consent was signed. No consent given by electronic transmission shall be deemed to have been delivered until such consent is reproduced in paper form and delivered to the Corporation by delivery either to the Corporation’s registered office in the State of Delaware, the Corporation’s principal place of business, or the Secretary of the Corporation. Delivery made to the Corporation’s registered office shall be made by hand or by certified or registered mail, return receipt requested. Notwithstanding the limitations on delivery in the previous sentence, consents given by electronic transmission may be otherwise delivered to the Corporation’s principal place of business or to the Secretary if, to the extent, and in the manner provided by resolution of the Board.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were delivered to the Corporation as provided in this </w:t>
      </w:r>
      <w:r>
        <w:rPr>
          <w:rFonts w:ascii="Times New Roman;serif" w:hAnsi="Times New Roman;serif"/>
          <w:b w:val="false"/>
          <w:color w:val="000000"/>
          <w:sz w:val="24"/>
          <w:u w:val="single"/>
        </w:rPr>
        <w:t>Section 2.9</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color w:val="000000"/>
          <w:sz w:val="24"/>
        </w:rPr>
        <w:t>Section 2.10 Delivery to the Corporation</w:t>
      </w:r>
      <w:r>
        <w:rPr>
          <w:rFonts w:ascii="Times New Roman;serif" w:hAnsi="Times New Roman;serif"/>
          <w:b w:val="false"/>
          <w:color w:val="000000"/>
          <w:sz w:val="24"/>
        </w:rPr>
        <w:t xml:space="preserve">. Except as otherwise set forth in </w:t>
      </w:r>
      <w:r>
        <w:rPr>
          <w:rFonts w:ascii="Times New Roman;serif" w:hAnsi="Times New Roman;serif"/>
          <w:b w:val="false"/>
          <w:color w:val="000000"/>
          <w:sz w:val="24"/>
          <w:u w:val="single"/>
        </w:rPr>
        <w:t>Section 2.9</w:t>
      </w:r>
      <w:r>
        <w:rPr>
          <w:rFonts w:ascii="Times New Roman;serif" w:hAnsi="Times New Roman;serif"/>
          <w:b w:val="false"/>
          <w:color w:val="000000"/>
          <w:sz w:val="24"/>
        </w:rPr>
        <w:t>, whenever this Article II requires one or more persons (including a record or beneficial owner of stock) to deliver a document or information (other than a document authorizing another person to act for a stockholder by proxy at a meeting of stockholders pursuant to Section 212 of the General Corporation Law of the State of Delaware (“</w:t>
      </w:r>
      <w:r>
        <w:rPr>
          <w:rFonts w:ascii="Times New Roman;serif" w:hAnsi="Times New Roman;serif"/>
          <w:b/>
          <w:i/>
          <w:color w:val="000000"/>
          <w:sz w:val="24"/>
        </w:rPr>
        <w:t>DGCL</w:t>
      </w:r>
      <w:r>
        <w:rPr>
          <w:color w:val="000000"/>
        </w:rPr>
        <w:t>”</w:t>
      </w:r>
      <w:r>
        <w:rPr>
          <w:rFonts w:ascii="Times New Roman;serif" w:hAnsi="Times New Roman;serif"/>
          <w:b w:val="false"/>
          <w:color w:val="000000"/>
          <w:sz w:val="24"/>
        </w:rPr>
        <w:t>)) to the Corporation or any officer, employee or agent thereof (including any notice, request, questionnaire, revocation, representation or other document or agreement), the Corporation shall not be required to accept delivery of such document or information unless the document or information is in writing exclusively (and not in an electronic transmission) and delivered exclusively by hand (including, without limitation, overnight courier service) or by certified or registered mail, return receipt requested.</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4"/>
        </w:rPr>
        <w:t>ARTICLE III</w:t>
      </w:r>
      <w:r>
        <w:rPr>
          <w:rFonts w:ascii="Times New Roman;serif" w:hAnsi="Times New Roman;serif"/>
          <w:b w:val="false"/>
          <w:color w:val="000000"/>
          <w:sz w:val="24"/>
        </w:rPr>
        <w:br/>
      </w:r>
      <w:r>
        <w:rPr>
          <w:rFonts w:ascii="Times New Roman;serif" w:hAnsi="Times New Roman;serif"/>
          <w:b/>
          <w:color w:val="000000"/>
          <w:sz w:val="24"/>
        </w:rPr>
        <w:t>DIRECTORS</w:t>
      </w:r>
    </w:p>
    <w:p>
      <w:pPr>
        <w:pStyle w:val="TextBody"/>
        <w:bidi w:val="0"/>
        <w:spacing w:before="0" w:after="0"/>
        <w:jc w:val="center"/>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3.1 Powers</w:t>
      </w:r>
      <w:r>
        <w:rPr>
          <w:rFonts w:ascii="Times New Roman;serif" w:hAnsi="Times New Roman;serif"/>
          <w:b w:val="false"/>
          <w:color w:val="000000"/>
          <w:sz w:val="24"/>
        </w:rPr>
        <w:t>. The business and affairs of the Corporation shall be managed by or under the direction of the Board, which may 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3.2 Advance Notice for Nomination of Directors</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(a) Only persons who are nominated in accordance with the following procedures or the procedures set forth in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 xml:space="preserve">of these Bylaws shall be eligible for election as directors by the stockholders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an authorized committee thereof, (ii) by any stockholder of the Corporation (x) who is a stockholder of record both on the date of the giving of the notice provided for in this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and on the date of the applicable meeting and who is entitled to vote in the election of directors at such meeting and (y) who complies with the notice procedures and other requirements set forth in this </w:t>
      </w:r>
      <w:r>
        <w:rPr>
          <w:rFonts w:ascii="Times New Roman;serif" w:hAnsi="Times New Roman;serif"/>
          <w:b w:val="false"/>
          <w:color w:val="000000"/>
          <w:sz w:val="24"/>
          <w:u w:val="single"/>
        </w:rPr>
        <w:t>Section 3.2</w:t>
      </w:r>
      <w:r>
        <w:rPr>
          <w:rFonts w:ascii="Times New Roman;serif" w:hAnsi="Times New Roman;serif"/>
          <w:b w:val="false"/>
          <w:color w:val="000000"/>
          <w:sz w:val="24"/>
        </w:rPr>
        <w:t xml:space="preserve">, (iii) in the case of a stockholder-requested special meeting, by any stockholder of the Corporation pursuant to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of these Bylaws, or (iv) by any Eligible Holder (as defined below) who satisfies the requirements and complies with the procedures set forth in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of these Bylaws. For the avoidance of doubt, the foregoing clause (ii) and (iv) shall be the exclusive means for a stockholder to make nominations at an annual meeting of stockholders.</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(b) In addition to any other applicable requirements, for a nomination to be made by a stockholder, (1) such stockholder must have given timely notice thereof in proper written form to the Secretary of the Corporation, (2) such stockholder must have complied in all respects with the requirements of Regulation 14A under the Exchange Act including, without limitation, the applicable requirements of Rule 14a-19 (as such rule and regulations may be amended from time to time), and (3) the Board, an authorized committee thereof or an executive officer designated thereby shall determine that the stockholder has satisfied the requirements of this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as well as the satisfaction of any undertaking delivered under </w:t>
      </w:r>
      <w:r>
        <w:rPr>
          <w:rFonts w:ascii="Times New Roman;serif" w:hAnsi="Times New Roman;serif"/>
          <w:b w:val="false"/>
          <w:color w:val="000000"/>
          <w:sz w:val="24"/>
          <w:u w:val="single"/>
        </w:rPr>
        <w:t>Section 3.2(d)</w:t>
      </w:r>
      <w:r>
        <w:rPr>
          <w:color w:val="000000"/>
        </w:rPr>
        <w:t xml:space="preserve"> </w:t>
      </w:r>
      <w:r>
        <w:rPr>
          <w:rFonts w:ascii="Times New Roman;serif" w:hAnsi="Times New Roman;serif"/>
          <w:b w:val="false"/>
          <w:color w:val="000000"/>
          <w:sz w:val="24"/>
        </w:rPr>
        <w:t xml:space="preserve">below. To be timely, a stockholder’s notice to the Secretary must (x) comply with the provisions of this </w:t>
      </w:r>
      <w:r>
        <w:rPr>
          <w:rFonts w:ascii="Times New Roman;serif" w:hAnsi="Times New Roman;serif"/>
          <w:b w:val="false"/>
          <w:color w:val="000000"/>
          <w:sz w:val="24"/>
          <w:u w:val="single"/>
        </w:rPr>
        <w:t>Section 3.2(b)</w:t>
      </w:r>
      <w:r>
        <w:rPr>
          <w:color w:val="000000"/>
        </w:rPr>
        <w:t xml:space="preserve"> </w:t>
      </w:r>
      <w:r>
        <w:rPr>
          <w:rFonts w:ascii="Times New Roman;serif" w:hAnsi="Times New Roman;serif"/>
          <w:b w:val="false"/>
          <w:color w:val="000000"/>
          <w:sz w:val="24"/>
        </w:rPr>
        <w:t xml:space="preserve">and (y) be timely updated and/or supplemented by the times and in the manner required by the provisions of </w:t>
      </w:r>
      <w:r>
        <w:rPr>
          <w:rFonts w:ascii="Times New Roman;serif" w:hAnsi="Times New Roman;serif"/>
          <w:b w:val="false"/>
          <w:color w:val="000000"/>
          <w:sz w:val="24"/>
          <w:u w:val="single"/>
        </w:rPr>
        <w:t>Section 3.2(e)</w:t>
      </w:r>
      <w:r>
        <w:rPr>
          <w:rFonts w:ascii="Times New Roman;serif" w:hAnsi="Times New Roman;serif"/>
          <w:b w:val="false"/>
          <w:color w:val="000000"/>
          <w:sz w:val="24"/>
        </w:rPr>
        <w:t xml:space="preserve">. A stockholder’s notice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provided, however, that if the annual meeting is called for a date that is more than 30 days earlier or more than 60 days after such anniversary date, or if no annual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 xml:space="preserve">meeting was held or deemed to have been held in the preceding year,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and (ii) in the case of a special meeting of stockholders (other than a stockholder requested special meeting) called for the purpose of electing directors, not earlier than the opening of business on the 120th day before the meeting and not later than the later of (x) the close of business on the 90th day before the meeting or (y) the close of business on the 10th day following the day on which public announcement of the date of the special meeting is first made by the Corporation. The public announcement of an adjournment, rescheduling or postponement of an annual meeting or special meeting for which notice has been given or for which a public announcement of the date of the meeting has been made by the Corporation shall not commence a new time period (or extend any time period) for the giving of a stockholder’s notice as described in this </w:t>
      </w:r>
      <w:r>
        <w:rPr>
          <w:rFonts w:ascii="Times New Roman;serif" w:hAnsi="Times New Roman;serif"/>
          <w:b w:val="false"/>
          <w:color w:val="000000"/>
          <w:sz w:val="24"/>
          <w:u w:val="single"/>
        </w:rPr>
        <w:t>Section 3.2</w:t>
      </w:r>
      <w:r>
        <w:rPr>
          <w:rFonts w:ascii="Times New Roman;serif" w:hAnsi="Times New Roman;serif"/>
          <w:b w:val="false"/>
          <w:color w:val="000000"/>
          <w:sz w:val="24"/>
        </w:rPr>
        <w:t xml:space="preserve">. </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any other provision of these Bylaws, in the case of a stockholder requested special meeting, no stockholder may nominate a person for election to the Board or propose any other business to be considered at the meeting, except pursuant to the stockholder special meeting request(s) delivered for such special meeting pursuant to Section 2.2(b).</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(c) In no event may a nominating stockholder provide timely notice with respect to a greater number of director candidates than are subject to election by stockholders at the applicable meeting. Notwithstanding anything in </w:t>
      </w:r>
      <w:r>
        <w:rPr>
          <w:rFonts w:ascii="Times New Roman;serif" w:hAnsi="Times New Roman;serif"/>
          <w:b w:val="false"/>
          <w:color w:val="000000"/>
          <w:sz w:val="24"/>
          <w:u w:val="single"/>
        </w:rPr>
        <w:t>Section 3.2</w:t>
      </w:r>
      <w:r>
        <w:rPr>
          <w:rFonts w:ascii="Times New Roman;serif" w:hAnsi="Times New Roman;serif"/>
          <w:b w:val="false"/>
          <w:color w:val="000000"/>
          <w:sz w:val="24"/>
        </w:rPr>
        <w:t xml:space="preserve">(b) to the contrary, if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at least 10 days before the last day a stockholder may deliver a notice in accordance with </w:t>
      </w:r>
      <w:r>
        <w:rPr>
          <w:rFonts w:ascii="Times New Roman;serif" w:hAnsi="Times New Roman;serif"/>
          <w:b w:val="false"/>
          <w:color w:val="000000"/>
          <w:sz w:val="24"/>
          <w:u w:val="single"/>
        </w:rPr>
        <w:t>Section 3.2(b)</w:t>
      </w:r>
      <w:r>
        <w:rPr>
          <w:color w:val="000000"/>
        </w:rPr>
        <w:t xml:space="preserve"> </w:t>
      </w:r>
      <w:r>
        <w:rPr>
          <w:rFonts w:ascii="Times New Roman;serif" w:hAnsi="Times New Roman;serif"/>
          <w:b w:val="false"/>
          <w:color w:val="000000"/>
          <w:sz w:val="24"/>
        </w:rPr>
        <w:t xml:space="preserve">above, a stockholder’s notice required by this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To be in proper written form, a stockholder’s notice to the Secretary must set forth: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a written undertaking by the stockholder giving the notice that such stockholder or a Stockholder Associated Person will solicit holders of shares representing at least 67% of the voting power of the stock entitled to vote in the election of directors in accordance with Rule 14a-19 under the Exchange Act, if applicable;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as to each person whom the stockholder proposes to nominate for election as a director: </w:t>
      </w:r>
    </w:p>
    <w:p>
      <w:pPr>
        <w:pStyle w:val="TextBody"/>
        <w:bidi w:val="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name, age, business address and residence address of the person,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principal occupation or employment of the person,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the class or series and number of shares of capital stock of the Corporation that are owned of record or are directly or indirectly owned beneficially by the person,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any Derivative Instrument directly or indirectly owned beneficially by such nominee and any other direct or indirect opportunity to profit or share in any profit derived from any increase or decrease in the value of shares of the Corporation,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(F) the questionnaire, representation and agreement required by </w:t>
      </w:r>
      <w:r>
        <w:rPr>
          <w:rFonts w:ascii="Times New Roman;serif" w:hAnsi="Times New Roman;serif"/>
          <w:b w:val="false"/>
          <w:color w:val="000000"/>
          <w:sz w:val="24"/>
          <w:u w:val="single"/>
        </w:rPr>
        <w:t>Section 3.2(i)</w:t>
      </w:r>
      <w:r>
        <w:rPr>
          <w:rFonts w:ascii="Times New Roman;serif" w:hAnsi="Times New Roman;serif"/>
          <w:b w:val="false"/>
          <w:color w:val="000000"/>
          <w:sz w:val="24"/>
        </w:rPr>
        <w:t xml:space="preserve">, completed and signed by such nominee; and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 as to the stockholder giving the notice and any Stockholder Associated Person: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name and address of such stockholder as they appear on the Corporation’s books, and the name and address of any Stockholder Associated Person,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(1) the class or series and number of shares of capital stock of the Corporation that are owned of record or directly or indirectly owned beneficially by such stockholder and any Stockholder Associated Person, (2) the date or dates such shares were acquired, (3) the investment intent of such acquisition and (4) any pledge by any Stockholder Associated Person with respect to any of such shares,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any Derivative Instrument directly or indirectly owned beneficially by such stockholder or Stockholder Associated Person and any other direct or indirect opportunity of such stockholder or any Stockholder Associated Person to profit or share in any profit derived from any increase or decrease in the value of shares of the Corporation,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any proxy (other than a revocable proxy or consent given in response to a solicitation made pursuant to Section 14(a) of the Exchange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Act by way of a solicitation statement filed on Schedule 14A), contract, arrangement, understanding or relationship pursuant to which such stockholder or any Stockholder Associated Person has a right to vote any shares of the Corporation,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(E) any short interest in any security of the Corporation held by such stockholder or any Stockholder Associated Person (for purposes of this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any rights beneficially owned, directly or indirectly, by such stockholder or Stockholder Associated Person to dividends on the shares of the Corporation that are separated or separable from the underlying shares of the Corporation,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any proportionate interest in shares of the Corporation or Derivative Instruments held, directly or indirectly, by a general or limited partnership in which such stockholder or any Stockholder Associated Person is a general partner or, directly or indirectly, beneficially owns an interest in a general partner,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a description of all agreements, arrangements or understandings (written or oral) between or among such stockholder, any Stockholder Associated Person, any proposed nominee or any other person or persons (including their names) (x) pursuant to which the nomination or nominations are to be made by such stockholder, and (y) related to any subject matter that will be material in the stockholder’s solicitation of stockholders, regardless of whether such agreement, arrangement or understanding relates specifically to the Corporation,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a representation that such stockholder (or a qualified representative thereof) intends to appear in person or by proxy at the meeting to nominate the persons named in its notice,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 any other information relating to such stockholder and any Stockholder Associated Person that would be required to be disclosed in a proxy statement or other filings required to be made in connection with solicitations of proxies for election of directors pursuant to Section 14 of the Exchange Act and the rules and regulations promulgated thereunder,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(K) a description of all direct and indirect compensation and other material monetary agreements, arrangements and understandings during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past three years, and any other material relationships, between or among such stockholder or any Stockholder Associated Person, on the one hand, and each proposed nominee, and his or her respective affiliates and associates, on the other hand,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(L) a statement of whether such stockholder or any Stockholder Associated Person intends, or is part of a group that intends, to solicit proxies for the election of the proposed nominee.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Such notice must be accompanied by a written consent of each proposed nominee to being named as a nominee in a proxy statement and form of proxy relating to the meeting at which directors are to be elected and to serve as a director if elected.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(e) A stockholder providing notice of a director nomination shall further update and supplement such notice, if necessary, so that the information provided or required to be provided in such notice pursuant to this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shall be true and correct as of the record date for determining the stockholders entitled to notice of the meeting and as of the date that is 10 business days prior to the meeting or any adjournment or postponement thereof, and such update and supplement shall be delivered to, or mailed and received by the Secretary at the principal executive offices of the Corporation (x) in the case of the update and supplement required to be made as of such record date, not later than five business days after such record date and (y) in the case of the update and supplement required to be made as of 10 business days prior to the meeting or any adjournment or postponement thereof, as applicable, not later than eight business days prior to the date for the meeting or any adjournment or postponement thereof, if practicable (or if not practicable, on the first practicable date prior to the date for the meeting or such adjournment or postponement thereof). In addition, at the request of the Board, a proposed nominee shall furnish to the Secretary of the Corporation within ten days after receipt of such request such information as may reasonably be required by the Corporation to (i) determine the eligibility of such proposed nominee to serve as an independent director of the Corporation or that could be material to a reasonable stockholder’s understanding of the independence, or lack thereof, of such nominee or (ii) facilitate disclosure to stockholders of all material facts that, in the reasonable discretion of the Corporation, are relevant for stockholders to make an informed decision on the director election proposal, including information regarding any Stockholder Associated Person, and if such information is not furnished within such time period, the notice of such director’s nomination shall not be considered to have been timely given for purposes of this </w:t>
      </w:r>
      <w:r>
        <w:rPr>
          <w:rFonts w:ascii="Times New Roman;serif" w:hAnsi="Times New Roman;serif"/>
          <w:b w:val="false"/>
          <w:color w:val="000000"/>
          <w:sz w:val="24"/>
          <w:u w:val="single"/>
        </w:rPr>
        <w:t>Section 3.2</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(f) Except as may be otherwise provided by the terms of one or more series of Preferred Stock with respect to the rights of one or more series of Preferred Stock to nominate and elect directors, no person shall be eligible for election as a director of the Corporation unless nominated in accordance with the applicable procedures set forth in </w:t>
      </w:r>
      <w:r>
        <w:rPr>
          <w:rFonts w:ascii="Times New Roman;serif" w:hAnsi="Times New Roman;serif"/>
          <w:b w:val="false"/>
          <w:color w:val="000000"/>
          <w:sz w:val="24"/>
          <w:u w:val="single"/>
        </w:rPr>
        <w:t>Section 2.2(b)</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 xml:space="preserve">of these Bylaws. If the Board or the chairman of the meeting of stockholders determines that any nomination was not made in accordance with the applicable provisions of </w:t>
      </w:r>
      <w:r>
        <w:rPr>
          <w:rFonts w:ascii="Times New Roman;serif" w:hAnsi="Times New Roman;serif"/>
          <w:b w:val="false"/>
          <w:color w:val="000000"/>
          <w:sz w:val="24"/>
          <w:u w:val="single"/>
        </w:rPr>
        <w:t>Section 2.2(a)</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 xml:space="preserve">of these Bylaws or that the information provided in a stockholder’s notice does not satisfy the information requirements of this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 xml:space="preserve">Section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u w:val="single"/>
        </w:rPr>
        <w:t>3.4</w:t>
      </w:r>
      <w:r>
        <w:rPr>
          <w:color w:val="000000"/>
        </w:rPr>
        <w:t xml:space="preserve"> </w:t>
      </w:r>
      <w:r>
        <w:rPr>
          <w:rFonts w:ascii="Times New Roman;serif" w:hAnsi="Times New Roman;serif"/>
          <w:b w:val="false"/>
          <w:color w:val="000000"/>
          <w:sz w:val="24"/>
        </w:rPr>
        <w:t xml:space="preserve">of these Bylaws, then such nomination shall not be considered at the meeting in question. Notwithstanding the foregoing provisions of this </w:t>
      </w:r>
      <w:r>
        <w:rPr>
          <w:rFonts w:ascii="Times New Roman;serif" w:hAnsi="Times New Roman;serif"/>
          <w:b w:val="false"/>
          <w:color w:val="000000"/>
          <w:sz w:val="24"/>
          <w:u w:val="single"/>
        </w:rPr>
        <w:t>Section 3.2</w:t>
      </w:r>
      <w:r>
        <w:rPr>
          <w:rFonts w:ascii="Times New Roman;serif" w:hAnsi="Times New Roman;serif"/>
          <w:b w:val="false"/>
          <w:color w:val="000000"/>
          <w:sz w:val="24"/>
        </w:rPr>
        <w:t>, if the stockholder (or a qualified representative of the stockholder) does not appear at the meeting of stockholders of the Corporation to present the nomination, such nomination shall be disregarded notwithstanding that proxies or votes in respect of the election of such proposed nominee may have been received by the Corporation (which proxies and votes shall be disregarded), notwithstanding that proxies in respect of such nomination may have been received by the Corporation.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(g) Notwithstanding the provisions of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of these Bylaws, unless otherwise required by law, if any stockholder that nominates persons for election under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of these Bylaws (1) provides notice pursuant to Rule 14a-19(b) under the Exchange Act and (2) subsequently fails to comply with the requirements of Rule 14a-19(a)(2) and Rule 14a-19(a)(3) under the Exchange Act, then the Corporation shall disregard any proxies or votes solicited for the such proposed nominees notwithstanding that proxies or votes in respect of the election of such proposed nominee may have been received by the Corporation (which proxies and votes shall be disregarded). Upon request by the Corporation, if any nominating stockholder or Stockholder Associated Person provides notice pursuant to Rule 14a-19(b) under the Exchange Act, such nominating stockholder or Stockholder Associated Person shall deliver to the Corporation, no later than five business days prior to the applicable meeting, reasonable evidence that it has met the requirements of Rule 14a-19(a)(3) under the Exchange Act.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(h) In addition to the provisions of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of these Bylaws, as applicable, a stockholder shall also comply with all of the applicable requirements of the Exchange Act and the rules and regulations thereunder (including, without limitation, Rule 14a-19) with respect to the matters set forth herein; and any failure to comply therewith shall be deemed a failure to comply with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of these Bylaws, as applicable. Nothing in this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shall be deemed to affect any rights of the holders of Preferred Stock to elect directors pursuant to the Certificate of Incorporation or the right of the Board to fill newly created directorships and vacancies on the Board pursuant to the Certificate of Incorporation.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 To be eligible to be a nominee for election or re-election pursuant to a nomination made by a stockholder under </w:t>
      </w:r>
      <w:r>
        <w:rPr>
          <w:rFonts w:ascii="Times New Roman;serif" w:hAnsi="Times New Roman;serif"/>
          <w:b w:val="false"/>
          <w:color w:val="000000"/>
          <w:sz w:val="24"/>
          <w:u w:val="single"/>
        </w:rPr>
        <w:t>Section 2.2(b)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3.2(a)(ii)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 xml:space="preserve">of these Bylaws, a stockholder must deliver with such stockholder’s request (in the case of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of these Bylaws) or notice (in the case of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3.4</w:t>
      </w:r>
      <w:r>
        <w:rPr>
          <w:color w:val="000000"/>
        </w:rPr>
        <w:t xml:space="preserve"> </w:t>
      </w:r>
      <w:r>
        <w:rPr>
          <w:rFonts w:ascii="Times New Roman;serif" w:hAnsi="Times New Roman;serif"/>
          <w:b w:val="false"/>
          <w:color w:val="000000"/>
          <w:sz w:val="24"/>
        </w:rPr>
        <w:t>of these Bylaws) must include: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a written questionnaire with respect to the background, qualifications, stock ownership and independence of such proposed nominee (in the form provided by the Secretary within ten (10) days following a written request therefor by a stockholder of record) and </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a written representation and executed agreement (in the form provided by the Secretary within ten (10) days following a written request therefor by a stockholder of record) that such nominee: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will act as a representative of all of the stockholders of the Corporation while serving as a director;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has read and agrees, and, if elected to serve as a member of the Board, will be in compliance with and adhere to the Corporation’s Corporate Governance Guidelines and Code of Business Conduct and Ethics and any other company policies and guidelines applicable to directors;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is not and will not become a party to: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(1) any compensatory, payment or other financial agreement, arrangement or understanding with any person or entity in connection with nomination, service or action as a director of the Corporation that has not been disclosed to the Corporation prior to or concurrently with the delivery of the stockholder’s request (in the case of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of these Bylaws) or notice (in the case of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3.4</w:t>
      </w:r>
      <w:r>
        <w:rPr>
          <w:color w:val="000000"/>
        </w:rPr>
        <w:t xml:space="preserve"> </w:t>
      </w:r>
      <w:r>
        <w:rPr>
          <w:rFonts w:ascii="Times New Roman;serif" w:hAnsi="Times New Roman;serif"/>
          <w:b w:val="false"/>
          <w:color w:val="000000"/>
          <w:sz w:val="24"/>
        </w:rPr>
        <w:t xml:space="preserve">of these Bylaws),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(2) any agreement, arrangement or understanding with any person or entity as to how the nominee would vote or act on any issue or question as a director (a “</w:t>
      </w:r>
      <w:r>
        <w:rPr>
          <w:rFonts w:ascii="Times New Roman;serif" w:hAnsi="Times New Roman;serif"/>
          <w:b/>
          <w:i/>
          <w:color w:val="000000"/>
          <w:sz w:val="24"/>
        </w:rPr>
        <w:t>Voting Commitment</w:t>
      </w:r>
      <w:r>
        <w:rPr>
          <w:color w:val="000000"/>
        </w:rPr>
        <w:t>”</w:t>
      </w:r>
      <w:r>
        <w:rPr>
          <w:rFonts w:ascii="Times New Roman;serif" w:hAnsi="Times New Roman;serif"/>
          <w:b w:val="false"/>
          <w:color w:val="000000"/>
          <w:sz w:val="24"/>
        </w:rPr>
        <w:t xml:space="preserve">) that has not been disclosed to the Corporation prior to or concurrently with the delivery of the stockholder’s request (in the case of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of these Bylaws) or notice (in the case of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3.4</w:t>
      </w:r>
      <w:r>
        <w:rPr>
          <w:color w:val="000000"/>
        </w:rPr>
        <w:t xml:space="preserve"> </w:t>
      </w:r>
      <w:r>
        <w:rPr>
          <w:rFonts w:ascii="Times New Roman;serif" w:hAnsi="Times New Roman;serif"/>
          <w:b w:val="false"/>
          <w:color w:val="000000"/>
          <w:sz w:val="24"/>
        </w:rPr>
        <w:t xml:space="preserve">of these Bylaws) or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(3) any Voting Commitment that could limit or interfere with the nominee’s ability to comply, if elected as a director of the Corporation, with the nominee’s fiduciary duties under applicable law;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if elected as a director of the Corporation, intends to serve the entire term until the next meeting at which such candidate would face re-election;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not misleading; and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will provide to the Corporation such other information as it may reasonably request.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color w:val="000000"/>
          <w:sz w:val="24"/>
        </w:rPr>
        <w:t>Section 3.3 Compensation</w:t>
      </w:r>
      <w:r>
        <w:rPr>
          <w:rFonts w:ascii="Times New Roman;serif" w:hAnsi="Times New Roman;serif"/>
          <w:b w:val="false"/>
          <w:color w:val="000000"/>
          <w:sz w:val="24"/>
        </w:rPr>
        <w:t xml:space="preserve">. Unless otherwise restricted by the Certificate of Incorporation or these Bylaws, the Board or an authorized committee thereof shall have the authority to fix the compensation of directors. The directors may be reimbursed their expenses, if any, of attendance at each meeting of the Board and may be paid either a fixed sum for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attendance at each meeting of the Board or other compensation as director. No such payment shall preclude any director from serving the Corporation in any other capacity and receiving compensation therefor. Members of committees of the Board may be allowed like compensation and reimbursement of expenses for service on the committee.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3.4 Proxy Access</w:t>
      </w:r>
      <w:r>
        <w:rPr>
          <w:rFonts w:ascii="Times New Roman;serif" w:hAnsi="Times New Roman;serif"/>
          <w:b w:val="false"/>
          <w:color w:val="000000"/>
          <w:sz w:val="24"/>
        </w:rPr>
        <w:t xml:space="preserv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(a) Subject to the provisions of this </w:t>
      </w:r>
      <w:r>
        <w:rPr>
          <w:rFonts w:ascii="Times New Roman;serif" w:hAnsi="Times New Roman;serif"/>
          <w:b w:val="false"/>
          <w:color w:val="000000"/>
          <w:sz w:val="24"/>
          <w:u w:val="single"/>
        </w:rPr>
        <w:t>Section 3.4</w:t>
      </w:r>
      <w:r>
        <w:rPr>
          <w:rFonts w:ascii="Times New Roman;serif" w:hAnsi="Times New Roman;serif"/>
          <w:b w:val="false"/>
          <w:color w:val="000000"/>
          <w:sz w:val="24"/>
        </w:rPr>
        <w:t>, if expressly requested in the relevant Nomination Notice (as defined below), the Corporation shall include in its proxy statement for any annual meeting of stockholders: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(i) the name of any person nominated for election to the Board (the “</w:t>
      </w:r>
      <w:r>
        <w:rPr>
          <w:rFonts w:ascii="Times New Roman;serif" w:hAnsi="Times New Roman;serif"/>
          <w:b/>
          <w:i/>
          <w:color w:val="000000"/>
          <w:sz w:val="24"/>
        </w:rPr>
        <w:t>Nominee</w:t>
      </w:r>
      <w:r>
        <w:rPr>
          <w:color w:val="000000"/>
        </w:rPr>
        <w:t>”</w:t>
      </w:r>
      <w:r>
        <w:rPr>
          <w:rFonts w:ascii="Times New Roman;serif" w:hAnsi="Times New Roman;serif"/>
          <w:b w:val="false"/>
          <w:color w:val="000000"/>
          <w:sz w:val="24"/>
        </w:rPr>
        <w:t>), which shall also be included on the Corporation’s form of proxy and ballot (together with the proxy statement, the “</w:t>
      </w:r>
      <w:r>
        <w:rPr>
          <w:rFonts w:ascii="Times New Roman;serif" w:hAnsi="Times New Roman;serif"/>
          <w:b/>
          <w:i/>
          <w:color w:val="000000"/>
          <w:sz w:val="24"/>
        </w:rPr>
        <w:t>proxy materials</w:t>
      </w:r>
      <w:r>
        <w:rPr>
          <w:color w:val="000000"/>
        </w:rPr>
        <w:t>”</w:t>
      </w:r>
      <w:r>
        <w:rPr>
          <w:rFonts w:ascii="Times New Roman;serif" w:hAnsi="Times New Roman;serif"/>
          <w:b w:val="false"/>
          <w:color w:val="000000"/>
          <w:sz w:val="24"/>
        </w:rPr>
        <w:t xml:space="preserve">), by any Eligible Holder (as defined below) or group of up to 20 Eligible Holders that, as determined by the Board or its designee, acting in good faith, has both (individually and collectively, in the case of a group) satisfied all applicable conditions and complied with all applicable procedures set forth in this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(such Eligible Holder or group of Eligible Holders being a “</w:t>
      </w:r>
      <w:r>
        <w:rPr>
          <w:rFonts w:ascii="Times New Roman;serif" w:hAnsi="Times New Roman;serif"/>
          <w:b/>
          <w:i/>
          <w:color w:val="000000"/>
          <w:sz w:val="24"/>
        </w:rPr>
        <w:t>Nominating Stockholder</w:t>
      </w:r>
      <w:r>
        <w:rPr>
          <w:color w:val="000000"/>
        </w:rPr>
        <w:t>”</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disclosure about the Nominee and the Nominating Stockholder required under the rules of the SEC or other applicable law to be included in the proxy statement;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(iii) any written statement included by the Nominating Stockholder in the Nomination Notice (as defined below) for inclusion in the proxy statement in support of the Nominee’s election to the Board (subject, without limitation, to </w:t>
      </w:r>
      <w:r>
        <w:rPr>
          <w:rFonts w:ascii="Times New Roman;serif" w:hAnsi="Times New Roman;serif"/>
          <w:b w:val="false"/>
          <w:color w:val="000000"/>
          <w:sz w:val="24"/>
          <w:u w:val="single"/>
        </w:rPr>
        <w:t>Section 3.4(g)</w:t>
      </w:r>
      <w:r>
        <w:rPr>
          <w:rFonts w:ascii="Times New Roman;serif" w:hAnsi="Times New Roman;serif"/>
          <w:b w:val="false"/>
          <w:color w:val="000000"/>
          <w:sz w:val="24"/>
        </w:rPr>
        <w:t>), if such statement does not exceed 500 words;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(iv) any other information that the Corporation or the Board determines, in their discretion, to include in the proxy statement relating to the nomination of the Nominee, including, without limitation, any statement in opposition to the nomination and any of the information provided pursuant to this </w:t>
      </w:r>
      <w:r>
        <w:rPr>
          <w:rFonts w:ascii="Times New Roman;serif" w:hAnsi="Times New Roman;serif"/>
          <w:b w:val="false"/>
          <w:color w:val="000000"/>
          <w:sz w:val="24"/>
          <w:u w:val="single"/>
        </w:rPr>
        <w:t>Section 3.4</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(b) The maximum number of Nominees nominated by all Nominating Stockholders that will be included in the Corporation’s proxy materials with respect to an annual meeting of stockholders shall not exceed the greater of (x) two and (y) 20% of the total number of directors of the Corporation (rounded down to the nearest whole number) on the last day on which a Nomination Notice may be submitted pursuant to this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Maximum Number</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 any individual nominated by a Nominating Stockholder for inclusion in the Corporation’s proxy materials pursuant to this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 xml:space="preserve">who is subsequently withdrawn or that the Board itself decides to nominate for election at such annual meeting and (ii) any incumbent directors who had been Nominees, or nominees of a stockholder pursuant to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of these Bylaws, with respect to any of the preceding two annual meetings of stockholders and whose election at the upcoming annual meeting is being recommended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 xml:space="preserve">Board, shall be counted as Nominees for purposes of determining when the Maximum Number has been reached. In the event that one or more vacancies for any reason occurs on the Board after the deadline set forth in </w:t>
      </w:r>
      <w:r>
        <w:rPr>
          <w:rFonts w:ascii="Times New Roman;serif" w:hAnsi="Times New Roman;serif"/>
          <w:b w:val="false"/>
          <w:color w:val="000000"/>
          <w:sz w:val="24"/>
          <w:u w:val="single"/>
        </w:rPr>
        <w:t>Section 3.4(d)</w:t>
      </w:r>
      <w:r>
        <w:rPr>
          <w:color w:val="000000"/>
        </w:rPr>
        <w:t xml:space="preserve"> </w:t>
      </w:r>
      <w:r>
        <w:rPr>
          <w:rFonts w:ascii="Times New Roman;serif" w:hAnsi="Times New Roman;serif"/>
          <w:b w:val="false"/>
          <w:color w:val="000000"/>
          <w:sz w:val="24"/>
        </w:rPr>
        <w:t xml:space="preserve">below but before the date of the annual meeting, and the Board resolves to reduce the size of the Board in connection therewith, the Maximum Number shall be calculated based on the number of directors in office as so reduced. If the number of Nominees pursuant to this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 xml:space="preserve">for any annual meeting of stockholders exceeds the Maximum Number then, promptly upon notice from the Corporation, each Nominating Stockholder will select one Nominee for inclusion in the proxy statement until the Maximum Number is reached, going in order of the amount (largest to smallest) of the ownership position as disclosed in each Nominating Stockholder’s Nomination Notice, with the process repeated if the Maximum Number is not reached after each Nominating Stockholder has selected one Nominee. If, after the deadline for submitting a Nomination Notice as set forth in </w:t>
      </w:r>
      <w:r>
        <w:rPr>
          <w:rFonts w:ascii="Times New Roman;serif" w:hAnsi="Times New Roman;serif"/>
          <w:b w:val="false"/>
          <w:color w:val="000000"/>
          <w:sz w:val="24"/>
          <w:u w:val="single"/>
        </w:rPr>
        <w:t>Section 3.4(d)</w:t>
      </w:r>
      <w:r>
        <w:rPr>
          <w:rFonts w:ascii="Times New Roman;serif" w:hAnsi="Times New Roman;serif"/>
          <w:b w:val="false"/>
          <w:color w:val="000000"/>
          <w:sz w:val="24"/>
        </w:rPr>
        <w:t>, a Nominating Stockholder becomes ineligible or withdraws its nomination, or a Nominee becomes ineligible, unwilling or unable to serve on the Board, or a Nominee is thereafter nominated for election by the Board, whether before or after the mailing of the definitive proxy statement, then the nomination shall be disregarded, and the Corporation: (i) shall not be required to include in its proxy materials the disregarded Nominee or any successor or replacement nominee proposed by the Nominating Stockholder or by any other Nominating Stockholder; and (ii) may otherwise communicate to its stockholders, including without limitation by amending or supplementing its proxy materials, that the Nominee will not be included as a Nominee in the proxy materials and will not be voted on at the annual meeting.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(c) For purposes of this </w:t>
      </w:r>
      <w:r>
        <w:rPr>
          <w:rFonts w:ascii="Times New Roman;serif" w:hAnsi="Times New Roman;serif"/>
          <w:b w:val="false"/>
          <w:color w:val="000000"/>
          <w:sz w:val="24"/>
          <w:u w:val="single"/>
        </w:rPr>
        <w:t>Section 3.4</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(i) An “</w:t>
      </w:r>
      <w:r>
        <w:rPr>
          <w:rFonts w:ascii="Times New Roman;serif" w:hAnsi="Times New Roman;serif"/>
          <w:b/>
          <w:i/>
          <w:color w:val="000000"/>
          <w:sz w:val="24"/>
        </w:rPr>
        <w:t>Eligible Holder</w:t>
      </w:r>
      <w:r>
        <w:rPr>
          <w:color w:val="000000"/>
        </w:rPr>
        <w:t xml:space="preserve">” </w:t>
      </w:r>
      <w:r>
        <w:rPr>
          <w:rFonts w:ascii="Times New Roman;serif" w:hAnsi="Times New Roman;serif"/>
          <w:b w:val="false"/>
          <w:color w:val="000000"/>
          <w:sz w:val="24"/>
        </w:rPr>
        <w:t>is a person who has owned (as defined below) the Required Ownership Percentage (as defined below) of the Corporation’s outstanding common stock (the “</w:t>
      </w:r>
      <w:r>
        <w:rPr>
          <w:rFonts w:ascii="Times New Roman;serif" w:hAnsi="Times New Roman;serif"/>
          <w:b/>
          <w:i/>
          <w:color w:val="000000"/>
          <w:sz w:val="24"/>
        </w:rPr>
        <w:t>Required Shares</w:t>
      </w:r>
      <w:r>
        <w:rPr>
          <w:color w:val="000000"/>
        </w:rPr>
        <w:t>”</w:t>
      </w:r>
      <w:r>
        <w:rPr>
          <w:rFonts w:ascii="Times New Roman;serif" w:hAnsi="Times New Roman;serif"/>
          <w:b w:val="false"/>
          <w:color w:val="000000"/>
          <w:sz w:val="24"/>
        </w:rPr>
        <w:t xml:space="preserve">) continuously for the Minimum Holding Period (as defined below) as of both the date that the Nomination Notice is delivered to, or mailed to and received by, the Secretary of the Corporation in accordance with this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and the record date for determining the stockholders entitled to vote at the annual meeting and must continue to own the Required Shares through the annual meeting date. The “</w:t>
      </w:r>
      <w:r>
        <w:rPr>
          <w:rFonts w:ascii="Times New Roman;serif" w:hAnsi="Times New Roman;serif"/>
          <w:b/>
          <w:i/>
          <w:color w:val="000000"/>
          <w:sz w:val="24"/>
        </w:rPr>
        <w:t>Required Ownership Percentage</w:t>
      </w:r>
      <w:r>
        <w:rPr>
          <w:color w:val="000000"/>
        </w:rPr>
        <w:t xml:space="preserve">” </w:t>
      </w:r>
      <w:r>
        <w:rPr>
          <w:rFonts w:ascii="Times New Roman;serif" w:hAnsi="Times New Roman;serif"/>
          <w:b w:val="false"/>
          <w:color w:val="000000"/>
          <w:sz w:val="24"/>
        </w:rPr>
        <w:t>is 3% or more of the Corporation’s outstanding common stock, and the “</w:t>
      </w:r>
      <w:r>
        <w:rPr>
          <w:rFonts w:ascii="Times New Roman;serif" w:hAnsi="Times New Roman;serif"/>
          <w:b/>
          <w:i/>
          <w:color w:val="000000"/>
          <w:sz w:val="24"/>
        </w:rPr>
        <w:t>Minimum Holding Period</w:t>
      </w:r>
      <w:r>
        <w:rPr>
          <w:color w:val="000000"/>
        </w:rPr>
        <w:t xml:space="preserve">” </w:t>
      </w:r>
      <w:r>
        <w:rPr>
          <w:rFonts w:ascii="Times New Roman;serif" w:hAnsi="Times New Roman;serif"/>
          <w:b w:val="false"/>
          <w:color w:val="000000"/>
          <w:sz w:val="24"/>
        </w:rPr>
        <w:t xml:space="preserve">is 3 years. For purposes of this </w:t>
      </w:r>
      <w:r>
        <w:rPr>
          <w:rFonts w:ascii="Times New Roman;serif" w:hAnsi="Times New Roman;serif"/>
          <w:b w:val="false"/>
          <w:color w:val="000000"/>
          <w:sz w:val="24"/>
          <w:u w:val="single"/>
        </w:rPr>
        <w:t>Section 3.4</w:t>
      </w:r>
      <w:r>
        <w:rPr>
          <w:rFonts w:ascii="Times New Roman;serif" w:hAnsi="Times New Roman;serif"/>
          <w:b w:val="false"/>
          <w:color w:val="000000"/>
          <w:sz w:val="24"/>
        </w:rPr>
        <w:t xml:space="preserve">, (i) a group of funds under common management and investment control, (ii) a group of funds under common management and funded primarily by a single employer or (iii) a “group of investment companies,” as such term is defined in Section 12(d)(1)(G)(ii) of the Investment Company Act of 1940, as amended, shall be treated as one Eligible Holder if such Eligible Holder shall provide together with the Nomination Notice documentation reasonably satisfactory to the Corporation in its sole and absolute discretion that demonstrates that the funds meet the criteria of clause (i), (ii) or (iii). For the avoidance of doubt, in the event of a nomination by a group of Eligible Holders, any and all requirements and obligations for an individual Eligible Holder that are set forth in this </w:t>
      </w:r>
      <w:r>
        <w:rPr>
          <w:rFonts w:ascii="Times New Roman;serif" w:hAnsi="Times New Roman;serif"/>
          <w:b w:val="false"/>
          <w:color w:val="000000"/>
          <w:sz w:val="24"/>
          <w:u w:val="single"/>
        </w:rPr>
        <w:t>Section 3.4</w:t>
      </w:r>
      <w:r>
        <w:rPr>
          <w:rFonts w:ascii="Times New Roman;serif" w:hAnsi="Times New Roman;serif"/>
          <w:b w:val="false"/>
          <w:color w:val="000000"/>
          <w:sz w:val="24"/>
        </w:rPr>
        <w:t xml:space="preserve">, including the Minimum Holding Period, shall apply to each member of such group;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Required Ownership Percentage shall apply to the ownership of the group in the aggregate. Should any stockholder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withdraw from a group of Eligible Holders at any time prior to the annual meeting of stockholders, the group of Eligible Stockholders shall only be deemed to own the shares held by the remaining members of the group.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(ii) An Eligible Holder “</w:t>
      </w:r>
      <w:r>
        <w:rPr>
          <w:rFonts w:ascii="Times New Roman;serif" w:hAnsi="Times New Roman;serif"/>
          <w:b/>
          <w:i/>
          <w:color w:val="000000"/>
          <w:sz w:val="24"/>
        </w:rPr>
        <w:t>owns</w:t>
      </w:r>
      <w:r>
        <w:rPr>
          <w:color w:val="000000"/>
        </w:rPr>
        <w:t xml:space="preserve">” </w:t>
      </w:r>
      <w:r>
        <w:rPr>
          <w:rFonts w:ascii="Times New Roman;serif" w:hAnsi="Times New Roman;serif"/>
          <w:b w:val="false"/>
          <w:color w:val="000000"/>
          <w:sz w:val="24"/>
        </w:rPr>
        <w:t>only those outstanding shares of the Corporation as to which the Eligible Holder possesses both:</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full voting and investment rights pertaining to the shares;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full economic interest in (including the opportunity for profit and risk of loss on) such shares;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provided that the number of shares calculated in accordance with clauses (A) and (B) shall not include any shares: (1) sold by such Eligible Holder or any of its affiliates in any transaction that has not been settled or closed, (2) borrowed by such Eligible Holder or any of its affiliates for any purpose or purchased by such Eligible Holder or any of its affiliates pursuant to an agreement to resell, or (3) subject to any option, warrant, forward contract, swap, contract of sale, other derivative or similar agreement entered into by such Eligible Holder or any of its affiliates, whether any such instrument or agreement is to be settled with shares or with cash based on the notional amount or value of outstanding shares of the Corporation, in any such case which instrument or agreement has, or is intended to have, the purpose or effect of: (x) reducing in any manner, to any extent or at any time in the future, such Eligible Holder’s or any of its affiliates’ full right to vote or direct the voting of any such shares, and/or (y) hedging, offsetting, or altering to any degree, any gain or loss arising from the full economic interest in such shares by such Eligible Holder or any of its affiliates.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 Eligible Holder “owns” shares held in the name of a nominee or other intermediary so long as the Eligible Holder retains the right to instruct how the shares are voted with respect to the election of directors and possesses the full economic interest in the shares. An Eligible Holder’s ownership of shares shall be deemed to continue during any period in which the Eligible Holder has delegated any voting power by means of a proxy, power of attorney, or other similar instrument or arrangement that is revocable at any time by the Eligible Holder. An Eligible Holder’s ownership of shares shall be deemed to continue during any period in which the Eligible Holder has loaned such shares; provided, that the Eligible Holder has the power to recall such loaned shares on no more than five business days’ notice and has recalled such loaned shares as of the date of the Nomination Notice and holds such shares through the date of the annual meeting. The terms “owned,” “owning” and other variations of the word “own” shall have correlative meanings. Whether outstanding shares of the Corporation are “owned” for these purposes shall be determined by the Board or its designee acting in good faith.</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 No person shall be permitted to be in more than one group constituting a Nominating Stockholder, and if any person appears as a member of more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than one group, it shall be deemed to be a member of the group that has the largest ownership position as reflected in the Nomination Notice.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(d) To nominate a Nominee, the Nominating Stockholder must submit the Nomination Notice no earlier than 150 calendar days and no later than 120 calendar days before the anniversary of the date that the Corporation mailed its proxy statement for the prior year’s annual meeting of stockholders;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subject to the immediately following sentence, if the annual meeting is called for a date that is more than 30 days earlier or more than 60 days after such anniversary date, or if no annual meeting was held in the preceding year, for notice by the Nominating Stockholder to be timely, it must be so received not later than the later of (x) the close of business on the 180th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for the giving of a Nomination Notice under this </w:t>
      </w:r>
      <w:r>
        <w:rPr>
          <w:rFonts w:ascii="Times New Roman;serif" w:hAnsi="Times New Roman;serif"/>
          <w:b w:val="false"/>
          <w:color w:val="000000"/>
          <w:sz w:val="24"/>
          <w:u w:val="single"/>
        </w:rPr>
        <w:t>Section 3.4</w:t>
      </w:r>
      <w:r>
        <w:rPr>
          <w:rFonts w:ascii="Times New Roman;serif" w:hAnsi="Times New Roman;serif"/>
          <w:b w:val="false"/>
          <w:color w:val="000000"/>
          <w:sz w:val="24"/>
        </w:rPr>
        <w:t xml:space="preserve">. Within the time period specified in this </w:t>
      </w:r>
      <w:r>
        <w:rPr>
          <w:rFonts w:ascii="Times New Roman;serif" w:hAnsi="Times New Roman;serif"/>
          <w:b w:val="false"/>
          <w:color w:val="000000"/>
          <w:sz w:val="24"/>
          <w:u w:val="single"/>
        </w:rPr>
        <w:t>Section 3.4(d)</w:t>
      </w:r>
      <w:r>
        <w:rPr>
          <w:color w:val="000000"/>
        </w:rPr>
        <w:t xml:space="preserve"> </w:t>
      </w:r>
      <w:r>
        <w:rPr>
          <w:rFonts w:ascii="Times New Roman;serif" w:hAnsi="Times New Roman;serif"/>
          <w:b w:val="false"/>
          <w:color w:val="000000"/>
          <w:sz w:val="24"/>
        </w:rPr>
        <w:t>for delivering the Nomination Notice, a Nominating Stockholder must submit to the Secretary of the Corporation at the principal executive offices of the Corporation all of the following information and documents (collectively, the “</w:t>
      </w:r>
      <w:r>
        <w:rPr>
          <w:rFonts w:ascii="Times New Roman;serif" w:hAnsi="Times New Roman;serif"/>
          <w:b/>
          <w:i/>
          <w:color w:val="000000"/>
          <w:sz w:val="24"/>
        </w:rPr>
        <w:t>Nomination Notice</w:t>
      </w:r>
      <w:r>
        <w:rPr>
          <w:color w:val="000000"/>
        </w:rPr>
        <w:t>”</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one or more written statements from the record holder of the Required Shares (and from each intermediary through which the Required Shares are or have been held during the Minimum Holding Period) verifying that, as of a date within seven calendar days prior to the date the Nomination Notice is delivered to, or mailed to and received by, the Secretary of the Corporation, the Nominating Stockholder owns, and has owned continuously for the Minimum Holding Period, the Required Shares, and the Nominating Stockholder’s agreement to provide, within five business days after (A) the record date for the annual meeting (if, prior to the record date, the Corporation (1) has made a public announcement of such record date or (2) delivered a written notice of the record date (including by electronic mail) to the Nominating Stockholder) or (B) the date on which the Corporation delivered to the Nominating Stockholder written notice (including by electronic mail) of the record date (if such notice is provided after the record date), written statements from the record holder and intermediaries verifying the Nominating Stockholder’s continuous ownership of the Required Shares through the record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a copy of the Schedule 14N (or any successor form) relating to the Nominee, completed and filed with the SEC by the Nominating Stockholder as applicable, in accordance with SEC rules;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(iii) the information required with respect to the nomination of directors pursuant to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of these Bylaws;</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the details of any relationship that existed within the past three years and that would have been described pursuant to Item 6(e) of Schedule 14N (or any successor item) if it existed on the date of submission of the Schedule 14N;</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the consent of each Nominee to being named in the proxy statement as a nominee and to serving as a director if elected;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 a representation and warranty by the Nominating Stockholder (including each group member):</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that the Nominating Stockholder acquired the Required Shares in the ordinary course of business and neither the Nominating Stockholder nor the Nominee nor their respective affiliates and associates acquired, or are holding, securities of the Corporation for the purpose, or with the effect, of influencing or changing control of the Corporation;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that the Nominating Stockholder intends to maintain the Required Ownership Percentage through the date of the annual meeting and as to whether or not the Nominating Stockholder intends to continue to hold the Required Shares for at least one year following the annual meeting;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that the Nominee’s candidacy or, if elected, Board membership would not violate applicable state or federal law or the rules of any stock exchange on which the Corporation’s securities are traded;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that the Nominating Stockholder has not nominated and will not nominate for election any individual as a director at the annual meeting other than its Nominee(s);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(E) that the Nominating Stockholder has not and will not engage in a, and will not be a “participant” in another person’s, “solicitation” within the meaning of Rule 14a-1(</w:t>
      </w:r>
      <w:r>
        <w:rPr>
          <w:rFonts w:ascii="Times New Roman;serif" w:hAnsi="Times New Roman;serif"/>
          <w:b w:val="false"/>
          <w:i/>
          <w:color w:val="000000"/>
          <w:sz w:val="24"/>
        </w:rPr>
        <w:t>l</w:t>
      </w:r>
      <w:r>
        <w:rPr>
          <w:rFonts w:ascii="Times New Roman;serif" w:hAnsi="Times New Roman;serif"/>
          <w:b w:val="false"/>
          <w:color w:val="000000"/>
          <w:sz w:val="24"/>
        </w:rPr>
        <w:t>) (without reference to the exception in Rule 14a-1(</w:t>
      </w:r>
      <w:r>
        <w:rPr>
          <w:rFonts w:ascii="Times New Roman;serif" w:hAnsi="Times New Roman;serif"/>
          <w:b w:val="false"/>
          <w:i/>
          <w:color w:val="000000"/>
          <w:sz w:val="24"/>
        </w:rPr>
        <w:t>l</w:t>
      </w:r>
      <w:r>
        <w:rPr>
          <w:rFonts w:ascii="Times New Roman;serif" w:hAnsi="Times New Roman;serif"/>
          <w:b w:val="false"/>
          <w:color w:val="000000"/>
          <w:sz w:val="24"/>
        </w:rPr>
        <w:t>)(2)(iv)) (or any successor rules) with respect to the annual meeting, other than with respect to the Nominee or any nominee of the Board;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that the Nominating Stockholder will not use any proxy card other than the Corporation’s proxy card in soliciting stockholders in connection with the election of a Nominee at the annual meeting;</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 in the case of a nomination by a group, the designation by all group members of one group member that is authorized to act on behalf of all group members with respect to matters relating to the nomination, including withdrawal of the nomination;</w:t>
      </w:r>
    </w:p>
    <w:p>
      <w:pPr>
        <w:pStyle w:val="TextBody"/>
        <w:bidi w:val="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 an executed agreement, in a form deemed satisfactory by the Board or its designee, acting in good faith, pursuant to which the Nominating Stockholder (including each group member) agrees to:</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comply with all applicable laws, rules and regulations in connection with the nomination, solicitation and election;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file any written solicitation materials with the Corporation’s stockholders relating to one or more of the Corporation’s directors or director nominees or any Nominee with the SEC, regardless of whether any such filing is required under rule or regulation or whether any exemption from filing is available for such materials under any rule or regulation;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assume all liability stemming from an action, suit or proceeding concerning any actual or alleged legal or regulatory violation arising out of any communication by the Nominating Stockholder or the Nominee with the Corporation, its stockholders or any other person in connection with the nomination or election of directors, including, without limitation, the Nomination Notice;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(D) indemnify and hold harmless (jointly with all other group members, in the case of a group member) the Corporation and each of its directors, officers, employees, agents, affiliates or other persons acting on behalf of the Corporation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employees, agents, affiliates or other persons acting on behalf of the Corporation arising out of or relating to a failure or alleged failure of the Nominating Stockholder or the Nominee to comply with, or any breach or alleged breach of, his, her or its, as applicable, obligations, agreements or representations under this </w:t>
      </w:r>
      <w:r>
        <w:rPr>
          <w:rFonts w:ascii="Times New Roman;serif" w:hAnsi="Times New Roman;serif"/>
          <w:b w:val="false"/>
          <w:color w:val="000000"/>
          <w:sz w:val="24"/>
          <w:u w:val="single"/>
        </w:rPr>
        <w:t>Section 3.4</w:t>
      </w:r>
      <w:r>
        <w:rPr>
          <w:rFonts w:ascii="Times New Roman;serif" w:hAnsi="Times New Roman;serif"/>
          <w:b w:val="false"/>
          <w:color w:val="000000"/>
          <w:sz w:val="24"/>
        </w:rPr>
        <w:t>;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provide facts, statements and other information in all communications with the Corporation and its stockholders that are or will be true and correct in all material respects and do not and will not omit to state a material fact necessary in order to make the statements made not misleading;</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(ix) the questionnaire, representation and agreement required by </w:t>
      </w:r>
      <w:r>
        <w:rPr>
          <w:rFonts w:ascii="Times New Roman;serif" w:hAnsi="Times New Roman;serif"/>
          <w:b w:val="false"/>
          <w:color w:val="000000"/>
          <w:sz w:val="24"/>
          <w:u w:val="single"/>
        </w:rPr>
        <w:t>Section 3.2(i)</w:t>
      </w:r>
      <w:r>
        <w:rPr>
          <w:rFonts w:ascii="Times New Roman;serif" w:hAnsi="Times New Roman;serif"/>
          <w:b w:val="false"/>
          <w:color w:val="000000"/>
          <w:sz w:val="24"/>
        </w:rPr>
        <w:t>, completed and signed by the Nominee.</w:t>
      </w:r>
    </w:p>
    <w:p>
      <w:pPr>
        <w:pStyle w:val="TextBody"/>
        <w:bidi w:val="0"/>
        <w:spacing w:before="0" w:after="0"/>
        <w:ind w:left="0" w:right="0" w:firstLine="1440"/>
        <w:jc w:val="both"/>
        <w:rPr/>
      </w:pPr>
      <w:r>
        <w:rPr/>
      </w:r>
    </w:p>
    <w:p>
      <w:pPr>
        <w:pStyle w:val="TextBody"/>
        <w:bidi w:val="0"/>
        <w:spacing w:lineRule="auto" w:line="288"/>
        <w:jc w:val="both"/>
        <w:rPr/>
      </w:pPr>
      <w:r>
        <w:rPr>
          <w:rFonts w:ascii="Times New Roman;serif" w:hAnsi="Times New Roman;serif"/>
          <w:b w:val="false"/>
          <w:color w:val="000000"/>
          <w:sz w:val="24"/>
        </w:rPr>
        <w:t xml:space="preserve">The information and documents required by this </w:t>
      </w:r>
      <w:r>
        <w:rPr>
          <w:rFonts w:ascii="Times New Roman;serif" w:hAnsi="Times New Roman;serif"/>
          <w:b w:val="false"/>
          <w:color w:val="000000"/>
          <w:sz w:val="24"/>
          <w:u w:val="single"/>
        </w:rPr>
        <w:t>Section 3.4(d)</w:t>
      </w:r>
      <w:r>
        <w:rPr>
          <w:color w:val="000000"/>
        </w:rPr>
        <w:t xml:space="preserve"> </w:t>
      </w:r>
      <w:r>
        <w:rPr>
          <w:rFonts w:ascii="Times New Roman;serif" w:hAnsi="Times New Roman;serif"/>
          <w:b w:val="false"/>
          <w:color w:val="000000"/>
          <w:sz w:val="24"/>
        </w:rPr>
        <w:t xml:space="preserve">shall be: (1) provided with respect to and executed by each group member, in the case of information applicable to group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 xml:space="preserve">members; and (2) provided with respect to the persons specified in Instruction 1 to Items 6(c) and (d) of Schedule 14N (or any successor item) in the case of a Nominating Stockholder or group member that is an entity. The Nomination Notice shall be deemed submitted on the date on which all the information and documents referred to in this </w:t>
      </w:r>
      <w:r>
        <w:rPr>
          <w:rFonts w:ascii="Times New Roman;serif" w:hAnsi="Times New Roman;serif"/>
          <w:b w:val="false"/>
          <w:color w:val="000000"/>
          <w:sz w:val="24"/>
          <w:u w:val="single"/>
        </w:rPr>
        <w:t>Section 3.4(d)</w:t>
      </w:r>
      <w:r>
        <w:rPr>
          <w:color w:val="000000"/>
        </w:rPr>
        <w:t xml:space="preserve"> </w:t>
      </w:r>
      <w:r>
        <w:rPr>
          <w:rFonts w:ascii="Times New Roman;serif" w:hAnsi="Times New Roman;serif"/>
          <w:b w:val="false"/>
          <w:color w:val="000000"/>
          <w:sz w:val="24"/>
        </w:rPr>
        <w:t>(other than such information and documents contemplated to be provided after the date the Nomination Notice is provided) have been delivered to or, if sent by mail, received by the Secretary of the Corporation.</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(e) In the event that any information or communication provided by the Nominating Stockholder or any Nominee(s) to the Corporation or its stockholders ceases to be true and correct in all material respects or omits a material fact necessary to make the statements made not misleading, each Nominating Stockholder or Nominee, as the case may be, shall promptly (and in any event within 48 hours of discovering such misstatement or omission) notify the Secretary of the Corporation of (i) any defect in such previously provided information and (ii) the information that is required to correct any such defect. In the event that the Nominating Stockholder (including any group member) has failed to continue to satisfy the eligibility requirements described in </w:t>
      </w:r>
      <w:r>
        <w:rPr>
          <w:rFonts w:ascii="Times New Roman;serif" w:hAnsi="Times New Roman;serif"/>
          <w:b w:val="false"/>
          <w:color w:val="000000"/>
          <w:sz w:val="24"/>
          <w:u w:val="single"/>
        </w:rPr>
        <w:t>Section 3.4(c)</w:t>
      </w:r>
      <w:r>
        <w:rPr>
          <w:rFonts w:ascii="Times New Roman;serif" w:hAnsi="Times New Roman;serif"/>
          <w:b w:val="false"/>
          <w:color w:val="000000"/>
          <w:sz w:val="24"/>
        </w:rPr>
        <w:t>, such Nominating Stockholder shall promptly notify the Secretary of the Corporation.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(f) Notwithstanding anything to the contrary contained in this </w:t>
      </w:r>
      <w:r>
        <w:rPr>
          <w:rFonts w:ascii="Times New Roman;serif" w:hAnsi="Times New Roman;serif"/>
          <w:b w:val="false"/>
          <w:color w:val="000000"/>
          <w:sz w:val="24"/>
          <w:u w:val="single"/>
        </w:rPr>
        <w:t>Section 3.4</w:t>
      </w:r>
      <w:r>
        <w:rPr>
          <w:rFonts w:ascii="Times New Roman;serif" w:hAnsi="Times New Roman;serif"/>
          <w:b w:val="false"/>
          <w:color w:val="000000"/>
          <w:sz w:val="24"/>
        </w:rPr>
        <w:t>, the Corporation may omit from its proxy statement any Nominee and any information concerning such Nominee (including a Nominating Stockholder’s statement in support), and no vote on such Nominee will occur (notwithstanding that proxies in respect of such vote may have been received by the Corporation), and the Nominating Stockholder may not, after the last day on which a Nomination Notice would be timely, cure in any way any defect preventing the nomination of the Nominee, if: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 the Corporation receives a notice pursuant to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of these Bylaws that a stockholder intends to nominate a candidate for director at the annual meeting;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(ii) if the Nominating Stockholder who has nominated such Nominee has engaged in or is currently engaged in a, or has been or is a “participant” in another person’s, “solicitation” within the meaning of Rule 14a-1(</w:t>
      </w:r>
      <w:r>
        <w:rPr>
          <w:rFonts w:ascii="Times New Roman;serif" w:hAnsi="Times New Roman;serif"/>
          <w:b w:val="false"/>
          <w:i/>
          <w:color w:val="000000"/>
          <w:sz w:val="24"/>
        </w:rPr>
        <w:t>l</w:t>
      </w:r>
      <w:r>
        <w:rPr>
          <w:rFonts w:ascii="Times New Roman;serif" w:hAnsi="Times New Roman;serif"/>
          <w:b w:val="false"/>
          <w:color w:val="000000"/>
          <w:sz w:val="24"/>
        </w:rPr>
        <w:t>) under the Exchange Act in support of the election of any individual as a director at the annual meeting other than its Nominee(s) or a nominee of the Board;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(iii) the Nominating Stockholder or the designated lead group member, as applicable, or any qualified representative thereof, does not appear at the annual meeting of stockholders to present the nomination submitted pursuant to this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or the Nominating Stockholder withdraws its nomination;</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(iv) the Board, acting in good faith, determines that such Nominee’s nomination or election to the Board would result in the Corporation violating or failing to be in compliance with these Bylaws or the Corporation’s Certificate of Incorporation or any applicable law, rule or regulation to which the Corporation is subject, including any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rules or regulations of any stock exchange on which the Corporation’s securities are traded;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(v) the Nominee was nominated for election to the Board pursuant to this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at one of the Corporation’s two preceding annual meetings of stockholders and either withdrew or became ineligible or unavailable for election at such annual meeting or received a vote of less than 25% of the shares of common stock entitled to vote for such Nominee at either such annual meeting;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 the Nominee has been, within the past three years, an officer or director of a competitor, as defined for purposes of Section 8 of the Clayton Antitrust Act of 1914, as amended;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(vii) the Corporation is notified, or the Board or its designee acting in good faith determines, that a Nominating Stockholder has failed to continue to satisfy the eligibility requirements described in </w:t>
      </w:r>
      <w:r>
        <w:rPr>
          <w:rFonts w:ascii="Times New Roman;serif" w:hAnsi="Times New Roman;serif"/>
          <w:b w:val="false"/>
          <w:color w:val="000000"/>
          <w:sz w:val="24"/>
          <w:u w:val="single"/>
        </w:rPr>
        <w:t>Section 3.4(c)</w:t>
      </w:r>
      <w:r>
        <w:rPr>
          <w:rFonts w:ascii="Times New Roman;serif" w:hAnsi="Times New Roman;serif"/>
          <w:b w:val="false"/>
          <w:color w:val="000000"/>
          <w:sz w:val="24"/>
        </w:rPr>
        <w:t xml:space="preserve">, any of the representations and warranties made in the Nomination Notice ceases to be true and accurate in all material respects (or omits a material fact necessary to make the statement not misleading), the Nominee becomes unwilling or unable to serve on the Board or any violation or breach occurs of the obligations, agreements, representations or warranties of the Nominating Stockholder or the Nominee under this </w:t>
      </w:r>
      <w:r>
        <w:rPr>
          <w:rFonts w:ascii="Times New Roman;serif" w:hAnsi="Times New Roman;serif"/>
          <w:b w:val="false"/>
          <w:color w:val="000000"/>
          <w:sz w:val="24"/>
          <w:u w:val="single"/>
        </w:rPr>
        <w:t>Section 3.4</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 if the Nominee (A) is not independent under the listing standards of each principal U.S. exchange upon which the common stock of the Corporation is listed, any applicable rules of the SEC and any publicly disclosed standards used by the Board in determining and disclosing independence of the Corporation’s directors, in each case as determined by the Board in its sole discretion, or (B) does not qualify as independent under the audit committee independence requirements set forth in the rules of the principal U.S. exchange on which shares of the Corporation are listed or as a “non-employee director” under Exchange Act Rule 16b-3;</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 if the Nominee is a named subject of a pending criminal proceeding (excluding traffic violations and other minor misdemeanors) or has been convicted in such a criminal proceeding within the past 10 years;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 if the Nominee is subject to any order of the type specified in Rule 506(d) of Regulation D promulgated under the Securities Act of 1933, as amended.</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(g) Notwithstanding anything to the contrary contained in this </w:t>
      </w:r>
      <w:r>
        <w:rPr>
          <w:rFonts w:ascii="Times New Roman;serif" w:hAnsi="Times New Roman;serif"/>
          <w:b w:val="false"/>
          <w:color w:val="000000"/>
          <w:sz w:val="24"/>
          <w:u w:val="single"/>
        </w:rPr>
        <w:t>Section 3.4</w:t>
      </w:r>
      <w:r>
        <w:rPr>
          <w:rFonts w:ascii="Times New Roman;serif" w:hAnsi="Times New Roman;serif"/>
          <w:b w:val="false"/>
          <w:color w:val="000000"/>
          <w:sz w:val="24"/>
        </w:rPr>
        <w:t xml:space="preserve">, the Corporation may omit from its proxy statement, or may supplement or correct, any information, including all or any portion of the statement in support of the Nominee included in the Nomination Notice, if the Board or its designee in good faith determines that (i) such information is not true in all material respects or omits a material statement necessary to make the statements made not misleading, (ii) </w:t>
      </w:r>
      <w:r>
        <w:rPr>
          <w:color w:val="000000"/>
          <w:shd w:fill="FFFFFF" w:val="clear"/>
        </w:rPr>
        <w:t> </w:t>
      </w:r>
      <w:r>
        <w:rPr>
          <w:rFonts w:ascii="Times New Roman;serif" w:hAnsi="Times New Roman;serif"/>
          <w:b w:val="false"/>
          <w:color w:val="000000"/>
          <w:sz w:val="24"/>
        </w:rPr>
        <w:t xml:space="preserve">such information directly or indirectly impugns the character, integrity or personal reputation of, or directly or indirectly makes charges concerning improper, illegal or </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immoral conduct or associations, without factual foundation, with respect to, any individual, corporation, partnership, association or other entity, organization or governmental authority, (iii) the inclusion of such information in the proxy statement would otherwise violate the SEC proxy rules or any other applicable law, rule or regulation or (iv) the inclusion of such information in the proxy statement would impose a material risk of liability upon the Corporation.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The Corporation may solicit against, and include in the proxy statement its own statement relating to, any Nominee.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 This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shall be the exclusive method for stockholders to include nominees for director in the Corporation’s proxy materials.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3.5 White Proxy Card.</w:t>
      </w:r>
      <w:r>
        <w:rPr>
          <w:color w:val="000000"/>
        </w:rPr>
        <w:t xml:space="preserve"> </w:t>
      </w:r>
      <w:r>
        <w:rPr>
          <w:rFonts w:ascii="Times New Roman;serif" w:hAnsi="Times New Roman;serif"/>
          <w:b w:val="false"/>
          <w:color w:val="000000"/>
          <w:sz w:val="24"/>
        </w:rPr>
        <w:t>Any stockholder directly or indirectly soliciting proxies from other stockholders must use a proxy card color other than white, which shall be reserved for the exclusive use by the Board.</w:t>
      </w:r>
    </w:p>
    <w:p>
      <w:pPr>
        <w:pStyle w:val="TextBody"/>
        <w:bidi w:val="0"/>
        <w:spacing w:before="0" w:after="0"/>
        <w:ind w:left="0" w:right="0" w:firstLine="1440"/>
        <w:jc w:val="both"/>
        <w:rPr/>
      </w:pPr>
      <w:r>
        <w:rPr/>
      </w:r>
    </w:p>
    <w:p>
      <w:pPr>
        <w:pStyle w:val="TextBody"/>
        <w:bidi w:val="0"/>
        <w:spacing w:lineRule="auto" w:line="240" w:before="0" w:after="0"/>
        <w:jc w:val="center"/>
        <w:rPr/>
      </w:pPr>
      <w:r>
        <w:rPr>
          <w:rFonts w:ascii="Times New Roman;serif" w:hAnsi="Times New Roman;serif"/>
          <w:b/>
          <w:color w:val="000000"/>
          <w:sz w:val="24"/>
        </w:rPr>
        <w:t>ARTICLE IV</w:t>
      </w:r>
      <w:r>
        <w:rPr>
          <w:rFonts w:ascii="Times New Roman;serif" w:hAnsi="Times New Roman;serif"/>
          <w:b w:val="false"/>
          <w:color w:val="000000"/>
          <w:sz w:val="24"/>
        </w:rPr>
        <w:br/>
      </w:r>
      <w:r>
        <w:rPr>
          <w:rFonts w:ascii="Times New Roman;serif" w:hAnsi="Times New Roman;serif"/>
          <w:b/>
          <w:color w:val="000000"/>
          <w:sz w:val="24"/>
        </w:rPr>
        <w:t>BOARD MEETINGS</w:t>
      </w:r>
    </w:p>
    <w:p>
      <w:pPr>
        <w:pStyle w:val="TextBody"/>
        <w:bidi w:val="0"/>
        <w:spacing w:before="0" w:after="0"/>
        <w:jc w:val="center"/>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4.1 Annual Meetings</w:t>
      </w:r>
      <w:r>
        <w:rPr>
          <w:rFonts w:ascii="Times New Roman;serif" w:hAnsi="Times New Roman;serif"/>
          <w:b w:val="false"/>
          <w:color w:val="000000"/>
          <w:sz w:val="24"/>
        </w:rPr>
        <w:t xml:space="preserve">. The Board shall meet as soon as practicable after the adjournment of each annual stockholders meeting at 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Times New Roman;serif" w:hAnsi="Times New Roman;serif"/>
          <w:b w:val="false"/>
          <w:color w:val="000000"/>
          <w:sz w:val="24"/>
          <w:u w:val="single"/>
        </w:rPr>
        <w:t>Section 4.1</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4.2 Regular Meetings</w:t>
      </w:r>
      <w:r>
        <w:rPr>
          <w:rFonts w:ascii="Times New Roman;serif" w:hAnsi="Times New Roman;serif"/>
          <w:b w:val="false"/>
          <w:color w:val="000000"/>
          <w:sz w:val="24"/>
        </w:rPr>
        <w:t>. Regularly scheduled, periodic meetings of the Board may be held without notice at such times, dates and places as shall from time to time be determined by the Board.</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color w:val="000000"/>
          <w:sz w:val="24"/>
        </w:rPr>
        <w:t>Section 4.3 Special Meetings</w:t>
      </w:r>
      <w:r>
        <w:rPr>
          <w:rFonts w:ascii="Times New Roman;serif" w:hAnsi="Times New Roman;serif"/>
          <w:b w:val="false"/>
          <w:color w:val="000000"/>
          <w:sz w:val="24"/>
        </w:rPr>
        <w:t>. Special meetings of the Board (a) may be called by the Chairman of the Board or Chief Executive Officer and (b)</w:t>
      </w:r>
      <w:r>
        <w:rPr>
          <w:color w:val="000000"/>
        </w:rPr>
        <w:t> </w:t>
      </w:r>
      <w:r>
        <w:rPr>
          <w:rFonts w:ascii="Times New Roman;serif" w:hAnsi="Times New Roman;serif"/>
          <w:b w:val="false"/>
          <w:color w:val="000000"/>
          <w:sz w:val="24"/>
        </w:rPr>
        <w:t xml:space="preserve">shall be called by the Chairman of the Board, Chief Executive Officer or Secretary on the written request of at least a majority of directors then in office, or the sole director, as the case may be, and shall be held at such time, date and place (if any) as may be determined by the person calling the meeting or, if called upon the request of directors or the sole director, as specified in such written request. Notice of each special meeting of the Board shall be given, as provided in </w:t>
      </w:r>
      <w:r>
        <w:rPr>
          <w:rFonts w:ascii="Times New Roman;serif" w:hAnsi="Times New Roman;serif"/>
          <w:b w:val="false"/>
          <w:color w:val="000000"/>
          <w:sz w:val="24"/>
          <w:u w:val="single"/>
        </w:rPr>
        <w:t>Section 9.3</w:t>
      </w:r>
      <w:r>
        <w:rPr>
          <w:rFonts w:ascii="Times New Roman;serif" w:hAnsi="Times New Roman;serif"/>
          <w:b w:val="false"/>
          <w:color w:val="000000"/>
          <w:sz w:val="24"/>
        </w:rPr>
        <w:t xml:space="preserve">,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 xml:space="preserve">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Times New Roman;serif" w:hAnsi="Times New Roman;serif"/>
          <w:b w:val="false"/>
          <w:color w:val="000000"/>
          <w:sz w:val="24"/>
          <w:u w:val="single"/>
        </w:rPr>
        <w:t>Section 9.3</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4.4 Quorum; Required Vote</w:t>
      </w:r>
      <w:r>
        <w:rPr>
          <w:rFonts w:ascii="Times New Roman;serif" w:hAnsi="Times New Roman;serif"/>
          <w:b w:val="false"/>
          <w:color w:val="000000"/>
          <w:sz w:val="24"/>
        </w:rPr>
        <w:t>. A majority of the Whole Board shall constitute a quorum for the transaction of business at any meeting of the 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4.5 Consent In Lieu of Meeting</w:t>
      </w:r>
      <w:r>
        <w:rPr>
          <w:rFonts w:ascii="Times New Roman;serif" w:hAnsi="Times New Roman;serif"/>
          <w:b w:val="false"/>
          <w:color w:val="000000"/>
          <w:sz w:val="24"/>
        </w:rPr>
        <w:t>. Unless otherwise restricted by the Certificate of Incorporation or these Bylaws, any action required or permitted to be taken at any meeting of the Board or any committee thereof may be taken without a meeting if all members of the Board or committee, as the case may be, consent thereto in writing or by electronic transmission. After an action is taken, the writing or writings or electronic transmission or transmissions (or paper reproductions thereof) shall be filed with the minutes of proceedings of the Board or committee. Such filing shall be in paper form if the minutes are maintained in paper form and shall be in electronic form if the minutes are maintained in electronic form.</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4.6 Organization</w:t>
      </w:r>
      <w:r>
        <w:rPr>
          <w:rFonts w:ascii="Times New Roman;serif" w:hAnsi="Times New Roman;serif"/>
          <w:b w:val="false"/>
          <w:color w:val="000000"/>
          <w:sz w:val="24"/>
        </w:rPr>
        <w:t>. The Board shall elect a Chairman of the Board from among the directors. The chairman of each meeting of the Board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pStyle w:val="TextBody"/>
        <w:bidi w:val="0"/>
        <w:spacing w:before="0" w:after="0"/>
        <w:ind w:left="0" w:right="0" w:firstLine="1440"/>
        <w:jc w:val="both"/>
        <w:rPr/>
      </w:pPr>
      <w:r>
        <w:rPr/>
      </w:r>
    </w:p>
    <w:p>
      <w:pPr>
        <w:pStyle w:val="TextBody"/>
        <w:bidi w:val="0"/>
        <w:spacing w:lineRule="auto" w:line="288" w:before="0" w:after="0"/>
        <w:jc w:val="center"/>
        <w:rPr/>
      </w:pPr>
      <w:r>
        <w:rPr>
          <w:rFonts w:ascii="Times New Roman;serif" w:hAnsi="Times New Roman;serif"/>
          <w:b/>
          <w:color w:val="000000"/>
          <w:sz w:val="24"/>
        </w:rPr>
        <w:t>ARTICLE V</w:t>
      </w:r>
      <w:r>
        <w:rPr>
          <w:rFonts w:ascii="Times New Roman;serif" w:hAnsi="Times New Roman;serif"/>
          <w:b w:val="false"/>
          <w:color w:val="000000"/>
          <w:sz w:val="24"/>
        </w:rPr>
        <w:br/>
      </w:r>
      <w:r>
        <w:rPr>
          <w:rFonts w:ascii="Times New Roman;serif" w:hAnsi="Times New Roman;serif"/>
          <w:b/>
          <w:color w:val="000000"/>
          <w:sz w:val="24"/>
        </w:rPr>
        <w:t>COMMITTEES OF DIRECTORS</w:t>
      </w:r>
    </w:p>
    <w:p>
      <w:pPr>
        <w:pStyle w:val="TextBody"/>
        <w:bidi w:val="0"/>
        <w:spacing w:before="0" w:after="0"/>
        <w:jc w:val="center"/>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5.1 Establishment</w:t>
      </w:r>
      <w:r>
        <w:rPr>
          <w:rFonts w:ascii="Times New Roman;serif" w:hAnsi="Times New Roman;serif"/>
          <w:b w:val="false"/>
          <w:color w:val="000000"/>
          <w:sz w:val="24"/>
        </w:rPr>
        <w:t>. The Board may by resolution passed by a majority of the Whole Board designate one or more committees, each committee to consist of one or more of the directors of the Corporation. Each committee shall keep regular minutes of its meetings and report the same to the Board when required. The Board shall have the power at any time to fill vacancies in, to change the membership of, or to dissolve any such committee.</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color w:val="000000"/>
          <w:sz w:val="24"/>
        </w:rPr>
        <w:t>Section 5.2 Available Powers</w:t>
      </w:r>
      <w:r>
        <w:rPr>
          <w:rFonts w:ascii="Times New Roman;serif" w:hAnsi="Times New Roman;serif"/>
          <w:b w:val="false"/>
          <w:color w:val="000000"/>
          <w:sz w:val="24"/>
        </w:rPr>
        <w:t xml:space="preserve">. Any committee established pursuant to </w:t>
      </w:r>
      <w:r>
        <w:rPr>
          <w:rFonts w:ascii="Times New Roman;serif" w:hAnsi="Times New Roman;serif"/>
          <w:b w:val="false"/>
          <w:color w:val="000000"/>
          <w:sz w:val="24"/>
          <w:u w:val="single"/>
        </w:rPr>
        <w:t>Section 5.1</w:t>
      </w:r>
      <w:r>
        <w:rPr>
          <w:color w:val="000000"/>
        </w:rPr>
        <w:t xml:space="preserve"> </w:t>
      </w:r>
      <w:r>
        <w:rPr>
          <w:rFonts w:ascii="Times New Roman;serif" w:hAnsi="Times New Roman;serif"/>
          <w:b w:val="false"/>
          <w:color w:val="000000"/>
          <w:sz w:val="24"/>
        </w:rPr>
        <w:t xml:space="preserve">hereof, to the extent permitted by applicable law and by resolution of the Board, shall have and may exercise all of the powers and authority of the Board in the management of the business </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and affairs of the Corporation, and may authorize the seal of the Corporation to be affixed to all papers that may require it.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5.3 Alternate Members</w:t>
      </w:r>
      <w:r>
        <w:rPr>
          <w:rFonts w:ascii="Times New Roman;serif" w:hAnsi="Times New Roman;serif"/>
          <w:b w:val="false"/>
          <w:color w:val="000000"/>
          <w:sz w:val="24"/>
        </w:rPr>
        <w:t xml:space="preserve">. The Board may designate one or more directors as alternate members of any committee, who may replace any absent or disqualified member at any meeting of such committee.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5.4 Procedures</w:t>
      </w:r>
      <w:r>
        <w:rPr>
          <w:rFonts w:ascii="Times New Roman;serif" w:hAnsi="Times New Roman;serif"/>
          <w:b w:val="false"/>
          <w:color w:val="000000"/>
          <w:sz w:val="24"/>
        </w:rPr>
        <w:t xml:space="preserve">. 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of these Bylaws. </w:t>
      </w:r>
    </w:p>
    <w:p>
      <w:pPr>
        <w:pStyle w:val="TextBody"/>
        <w:bidi w:val="0"/>
        <w:spacing w:before="0" w:after="0"/>
        <w:ind w:left="0" w:right="0" w:firstLine="1440"/>
        <w:jc w:val="both"/>
        <w:rPr/>
      </w:pPr>
      <w:r>
        <w:rPr/>
      </w:r>
    </w:p>
    <w:p>
      <w:pPr>
        <w:pStyle w:val="TextBody"/>
        <w:bidi w:val="0"/>
        <w:spacing w:lineRule="auto" w:line="288" w:before="0" w:after="0"/>
        <w:jc w:val="center"/>
        <w:rPr/>
      </w:pPr>
      <w:r>
        <w:rPr>
          <w:rFonts w:ascii="Times New Roman;serif" w:hAnsi="Times New Roman;serif"/>
          <w:b/>
          <w:color w:val="000000"/>
          <w:sz w:val="24"/>
        </w:rPr>
        <w:t>ARTICLE VI</w:t>
      </w:r>
      <w:r>
        <w:rPr>
          <w:rFonts w:ascii="Times New Roman;serif" w:hAnsi="Times New Roman;serif"/>
          <w:b w:val="false"/>
          <w:color w:val="000000"/>
          <w:sz w:val="24"/>
        </w:rPr>
        <w:br/>
      </w:r>
      <w:r>
        <w:rPr>
          <w:rFonts w:ascii="Times New Roman;serif" w:hAnsi="Times New Roman;serif"/>
          <w:b/>
          <w:color w:val="000000"/>
          <w:sz w:val="24"/>
        </w:rPr>
        <w:t>OFFICERS</w:t>
      </w:r>
    </w:p>
    <w:p>
      <w:pPr>
        <w:pStyle w:val="TextBody"/>
        <w:bidi w:val="0"/>
        <w:spacing w:before="0" w:after="0"/>
        <w:jc w:val="center"/>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6.1 Officers</w:t>
      </w:r>
      <w:r>
        <w:rPr>
          <w:rFonts w:ascii="Times New Roman;serif" w:hAnsi="Times New Roman;serif"/>
          <w:b w:val="false"/>
          <w:color w:val="000000"/>
          <w:sz w:val="24"/>
        </w:rPr>
        <w:t xml:space="preserve">. The officers of the Corporation elected by the Board may include a Chief Executive Officer, a President, a Treasurer, a Secretary and such other officers (including without limitation a Chief Financial Officer, Vice Presidents, Assistant Secretaries and Assistant Treasurers) as the Board from time to time may determine. Officers elected by the Board shall each have such powers and duties as generally pertain to their respective offices, subject to the specific provisions of this </w:t>
      </w:r>
      <w:r>
        <w:rPr>
          <w:rFonts w:ascii="Times New Roman;serif" w:hAnsi="Times New Roman;serif"/>
          <w:b w:val="false"/>
          <w:color w:val="000000"/>
          <w:sz w:val="24"/>
          <w:u w:val="single"/>
        </w:rPr>
        <w:t>Article VI</w:t>
      </w:r>
      <w:r>
        <w:rPr>
          <w:rFonts w:ascii="Times New Roman;serif" w:hAnsi="Times New Roman;serif"/>
          <w:b w:val="false"/>
          <w:color w:val="000000"/>
          <w:sz w:val="24"/>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Chief Executive Officer</w:t>
      </w:r>
      <w:r>
        <w:rPr>
          <w:rFonts w:ascii="Times New Roman;serif" w:hAnsi="Times New Roman;serif"/>
          <w:b w:val="false"/>
          <w:color w:val="000000"/>
          <w:sz w:val="24"/>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In the absence (or inability or refusal to act) of the Chairman of the Board, the Chief Executive Officer shall preside </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when present at all meetings of the stockholders and (if he or she shall be a director) of the Board.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President</w:t>
      </w:r>
      <w:r>
        <w:rPr>
          <w:rFonts w:ascii="Times New Roman;serif" w:hAnsi="Times New Roman;serif"/>
          <w:b w:val="false"/>
          <w:color w:val="000000"/>
          <w:sz w:val="24"/>
        </w:rPr>
        <w:t>. The President, if any, shall be subject to the direction and control of the Chief Executive Officer and the Board and shall have such powers and duties as the board of directors, or the Chief Executive Officer may assign to the President. In the absence (or inability or refusal to act) of the Chief Executive Officer, the President shall preside when present at all meetings of the stockholders and (if he or she shall be a director) of the Board.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Vice Presidents</w:t>
      </w:r>
      <w:r>
        <w:rPr>
          <w:rFonts w:ascii="Times New Roman;serif" w:hAnsi="Times New Roman;serif"/>
          <w:b w:val="false"/>
          <w:color w:val="000000"/>
          <w:sz w:val="24"/>
        </w:rPr>
        <w:t xml:space="preserve">.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 Specifically, Vice Presidents may include Executive Vice Presidents and Senior Vice Presidents.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Secretary</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Chief Executive Officer or the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Assistant Secretaries</w:t>
      </w:r>
      <w:r>
        <w:rPr>
          <w:rFonts w:ascii="Times New Roman;serif" w:hAnsi="Times New Roman;serif"/>
          <w:b w:val="false"/>
          <w:color w:val="000000"/>
          <w:sz w:val="24"/>
        </w:rPr>
        <w:t>. The Assistant Secretary or, if there be more than one, the Assistant Secretaries in the order determined by the Board shall, in the absence (or inability or refusal to act) of the Secretary, perform the duties and have the powers of the Secretary.</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(f) </w:t>
      </w:r>
      <w:r>
        <w:rPr>
          <w:rFonts w:ascii="Times New Roman;serif" w:hAnsi="Times New Roman;serif"/>
          <w:b w:val="false"/>
          <w:color w:val="000000"/>
          <w:sz w:val="24"/>
          <w:u w:val="single"/>
        </w:rPr>
        <w:t>Treasurer</w:t>
      </w:r>
      <w:r>
        <w:rPr>
          <w:rFonts w:ascii="Times New Roman;serif" w:hAnsi="Times New Roman;serif"/>
          <w:b w:val="false"/>
          <w:color w:val="000000"/>
          <w:sz w:val="24"/>
        </w:rPr>
        <w:t xml:space="preserve">. The Treasurer shall perform all duties commonly incident to that office (including, without limitation, the care and custody of the funds and securities of the Corporation which from time to time may come into the Treasurer’s hands and the deposit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funds of the Corporation in such banks or trust companies as the Board, the Chief Executive Officer or the President may authorize).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(g) </w:t>
      </w:r>
      <w:r>
        <w:rPr>
          <w:rFonts w:ascii="Times New Roman;serif" w:hAnsi="Times New Roman;serif"/>
          <w:b w:val="false"/>
          <w:color w:val="000000"/>
          <w:sz w:val="24"/>
          <w:u w:val="single"/>
        </w:rPr>
        <w:t>Assistant Treasurers</w:t>
      </w:r>
      <w:r>
        <w:rPr>
          <w:rFonts w:ascii="Times New Roman;serif" w:hAnsi="Times New Roman;serif"/>
          <w:b w:val="false"/>
          <w:color w:val="000000"/>
          <w:sz w:val="24"/>
        </w:rPr>
        <w:t>. The Assistant Treasurer or, if there shall be more than one, the Assistant Treasurers in the order determined by the Board shall, in the absence (or inability or refusal to act) of the Treasurer, perform the duties and exercise the powers of the Treasurer.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6.2 Term of Office; Removal; Vacancies</w:t>
      </w:r>
      <w:r>
        <w:rPr>
          <w:rFonts w:ascii="Times New Roman;serif" w:hAnsi="Times New Roman;serif"/>
          <w:b w:val="false"/>
          <w:color w:val="000000"/>
          <w:sz w:val="24"/>
        </w:rPr>
        <w:t>. The elected officers of the Corporation may be elected annually by the Board at its first meeting held after each annual meeting of stockholders. All officers elected by the Board shall hold office until their successors are duly elected and qualified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6.3 Other Officers</w:t>
      </w:r>
      <w:r>
        <w:rPr>
          <w:rFonts w:ascii="Times New Roman;serif" w:hAnsi="Times New Roman;serif"/>
          <w:b w:val="false"/>
          <w:color w:val="000000"/>
          <w:sz w:val="24"/>
        </w:rPr>
        <w:t>. The Board may delegate the power to appoint such other officers and agents, and may also remove such officers and agents or delegate the power to remove same, as it shall from time to time deem necessary or desirable.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6.4 Multiple Officeholders; Stockholder and Director Officers</w:t>
      </w:r>
      <w:r>
        <w:rPr>
          <w:rFonts w:ascii="Times New Roman;serif" w:hAnsi="Times New Roman;serif"/>
          <w:b w:val="false"/>
          <w:color w:val="000000"/>
          <w:sz w:val="24"/>
        </w:rPr>
        <w:t>. Any number of offices may be held by the same person, unless the Certificate of Incorporation or these Bylaws otherwise provide. Officers need not be stockholders or residents of the State of Delaware.</w:t>
      </w:r>
    </w:p>
    <w:p>
      <w:pPr>
        <w:pStyle w:val="TextBody"/>
        <w:bidi w:val="0"/>
        <w:spacing w:before="0" w:after="0"/>
        <w:ind w:left="0" w:right="0" w:firstLine="1440"/>
        <w:jc w:val="both"/>
        <w:rPr/>
      </w:pPr>
      <w:r>
        <w:rPr/>
      </w:r>
    </w:p>
    <w:p>
      <w:pPr>
        <w:pStyle w:val="TextBody"/>
        <w:bidi w:val="0"/>
        <w:spacing w:lineRule="auto" w:line="288" w:before="0" w:after="0"/>
        <w:jc w:val="center"/>
        <w:rPr/>
      </w:pPr>
      <w:r>
        <w:rPr>
          <w:rFonts w:ascii="Times New Roman;serif" w:hAnsi="Times New Roman;serif"/>
          <w:b/>
          <w:color w:val="000000"/>
          <w:sz w:val="24"/>
        </w:rPr>
        <w:t>ARTICLE VII</w:t>
      </w:r>
      <w:r>
        <w:rPr>
          <w:rFonts w:ascii="Times New Roman;serif" w:hAnsi="Times New Roman;serif"/>
          <w:b w:val="false"/>
          <w:color w:val="000000"/>
          <w:sz w:val="24"/>
        </w:rPr>
        <w:br/>
      </w:r>
      <w:r>
        <w:rPr>
          <w:rFonts w:ascii="Times New Roman;serif" w:hAnsi="Times New Roman;serif"/>
          <w:b/>
          <w:color w:val="000000"/>
          <w:sz w:val="24"/>
        </w:rPr>
        <w:t>SHARES</w:t>
      </w:r>
    </w:p>
    <w:p>
      <w:pPr>
        <w:pStyle w:val="TextBody"/>
        <w:bidi w:val="0"/>
        <w:spacing w:before="0" w:after="0"/>
        <w:jc w:val="center"/>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7.1 Certificated and Uncertificated Shares</w:t>
      </w:r>
      <w:r>
        <w:rPr>
          <w:rFonts w:ascii="Times New Roman;serif" w:hAnsi="Times New Roman;serif"/>
          <w:b w:val="false"/>
          <w:color w:val="000000"/>
          <w:sz w:val="24"/>
        </w:rPr>
        <w:t xml:space="preserve">. The shares of the Corporation shall be represented by certificates, provided that the Board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every holder of stock represented by certificates and upon request every holder of uncertificated shares shall be entitled to have a certificate signed in accordance with </w:t>
      </w:r>
      <w:r>
        <w:rPr>
          <w:rFonts w:ascii="Times New Roman;serif" w:hAnsi="Times New Roman;serif"/>
          <w:b w:val="false"/>
          <w:color w:val="000000"/>
          <w:sz w:val="24"/>
          <w:u w:val="single"/>
        </w:rPr>
        <w:t>Section 7.3</w:t>
      </w:r>
      <w:r>
        <w:rPr>
          <w:color w:val="000000"/>
        </w:rPr>
        <w:t xml:space="preserve"> </w:t>
      </w:r>
      <w:r>
        <w:rPr>
          <w:rFonts w:ascii="Times New Roman;serif" w:hAnsi="Times New Roman;serif"/>
          <w:b w:val="false"/>
          <w:color w:val="000000"/>
          <w:sz w:val="24"/>
        </w:rPr>
        <w:t xml:space="preserve">representing the number of shares registered in certificate form. The Corporation shall not have power to issue a certificate representing shares in bearer form. </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color w:val="000000"/>
          <w:sz w:val="24"/>
        </w:rPr>
        <w:t>Section 7.2 Multiple Classes of Stock</w:t>
      </w:r>
      <w:r>
        <w:rPr>
          <w:rFonts w:ascii="Times New Roman;serif" w:hAnsi="Times New Roman;serif"/>
          <w:b w:val="false"/>
          <w:color w:val="000000"/>
          <w:sz w:val="24"/>
        </w:rPr>
        <w:t xml:space="preserve">. If the Corporation shall be authorized to issue more than one class of stock or more than one series of any class, the Corporation shall (a)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cause the powers, designations, preferences and relative, participating, optional or other special rights of each class of stock or series thereof and the qualifications, limitations or restrictions of such preferences 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7.3 Signatures</w:t>
      </w:r>
      <w:r>
        <w:rPr>
          <w:rFonts w:ascii="Times New Roman;serif" w:hAnsi="Times New Roman;serif"/>
          <w:b w:val="false"/>
          <w:color w:val="000000"/>
          <w:sz w:val="24"/>
        </w:rPr>
        <w:t>. Each certificate representing capital stock of the Corporation shall be signed by or in the name of the Corporation by (a) the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7.4 Consideration and Payment for Shares</w:t>
      </w:r>
      <w:r>
        <w:rPr>
          <w:rFonts w:ascii="Times New Roman;serif" w:hAnsi="Times New Roman;serif"/>
          <w:b w:val="false"/>
          <w:color w:val="000000"/>
          <w:sz w:val="24"/>
        </w:rPr>
        <w:t xml:space="preserv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benefit to the Corporation including cash, promissory notes, services performed, contracts for services to be performed or other securities.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7.5 Lost, Destroyed or Wrongfully Taken Certificates</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If an owner of a certificate representing shares claims that such certificate has been lost, destroyed or wrongfully taken, the Corporation shall issue a new certificate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such other reasonable requirements as may be imposed by the Corporation.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left"/>
        <w:rPr/>
      </w:pPr>
      <w:r>
        <w:rPr>
          <w:rFonts w:ascii="Times New Roman;serif" w:hAnsi="Times New Roman;serif"/>
          <w:b/>
          <w:color w:val="000000"/>
          <w:sz w:val="24"/>
        </w:rPr>
        <w:t>Section 7.6 Transfer of Stock</w:t>
      </w:r>
      <w:r>
        <w:rPr>
          <w:rFonts w:ascii="Times New Roman;serif" w:hAnsi="Times New Roman;serif"/>
          <w:b w:val="false"/>
          <w:color w:val="000000"/>
          <w:sz w:val="24"/>
        </w:rPr>
        <w:t xml:space="preserv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If a certificate representing shares of the Corporation is presented to the Corporation with a stock power or other indorsement requesting the registration of transfer of such shares or an instruction is presented to the Corporation requesting the registration of transfer of uncertificated shares, the Corporation shall register the transfer as requested if: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in the case of certificated shares, the certificate representing such shares has been surrendered;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(A) with respect to certificated shares, the indorsement is made by the person specified by the certificate as entitled to such shares; (B) with respect to uncertificated shares, an instruction is made by the registered owner of such uncertificated shares; or (C) with respect to certificated shares or uncertificated shares, the indorsement or instruction is made by any other appropriate person or by an agent who has actual authority to act on behalf of the appropriate person;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 the Corporation has received a guarantee of signature of the person signing such indorsement or instruction or such other reasonable assurance that the indorsement or instruction is genuine and authorized as the Corporation may request;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(iv) the transfer does not violate any restriction on transfer imposed by the Corporation that is enforceable in accordance with </w:t>
      </w:r>
      <w:r>
        <w:rPr>
          <w:rFonts w:ascii="Times New Roman;serif" w:hAnsi="Times New Roman;serif"/>
          <w:b w:val="false"/>
          <w:color w:val="000000"/>
          <w:sz w:val="24"/>
          <w:u w:val="single"/>
        </w:rPr>
        <w:t>Section 7.8(a)</w:t>
      </w:r>
      <w:r>
        <w:rPr>
          <w:rFonts w:ascii="Times New Roman;serif" w:hAnsi="Times New Roman;serif"/>
          <w:b w:val="false"/>
          <w:color w:val="000000"/>
          <w:sz w:val="24"/>
        </w:rPr>
        <w:t>;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such other conditions for such transfer as shall be provided for under applicable law have been satisfied.</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Whenever any transfer of shares shall be made for collateral security and not absolutely, the Corporation shall so record such fact in the entry of transfer if, when the certificate for such shares is presented to the Corporation for transfer or, if such shares are </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uncertificated, when the instruction for registration of transfer thereof is presented to the Corporation, both the transferor and transferee request the Corporation to do so.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7.7 Registered Stockholders</w:t>
      </w:r>
      <w:r>
        <w:rPr>
          <w:rFonts w:ascii="Times New Roman;serif" w:hAnsi="Times New Roman;serif"/>
          <w:b w:val="false"/>
          <w:color w:val="000000"/>
          <w:sz w:val="24"/>
        </w:rPr>
        <w:t xml:space="preserve">.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 </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left"/>
        <w:rPr/>
      </w:pPr>
      <w:r>
        <w:rPr>
          <w:rFonts w:ascii="Times New Roman;serif" w:hAnsi="Times New Roman;serif"/>
          <w:b/>
          <w:color w:val="000000"/>
          <w:sz w:val="24"/>
        </w:rPr>
        <w:t>Section 7.8 Effect of the Corporation’s Restriction on Transfer</w:t>
      </w:r>
      <w:r>
        <w:rPr>
          <w:rFonts w:ascii="Times New Roman;serif" w:hAnsi="Times New Roman;serif"/>
          <w:b w:val="false"/>
          <w:color w:val="000000"/>
          <w:sz w:val="24"/>
        </w:rPr>
        <w:t xml:space="preserv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sent by the Corporation to the registered owner of such shares within a reasonable time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sent by the Corporation to the registered owner of such shares within a reasonable time after the issuance or transfer of such shares.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7.9 Regulations</w:t>
      </w:r>
      <w:r>
        <w:rPr>
          <w:rFonts w:ascii="Times New Roman;serif" w:hAnsi="Times New Roman;serif"/>
          <w:b w:val="false"/>
          <w:color w:val="000000"/>
          <w:sz w:val="24"/>
        </w:rPr>
        <w:t>.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pStyle w:val="TextBody"/>
        <w:bidi w:val="0"/>
        <w:spacing w:before="0" w:after="0"/>
        <w:ind w:left="0" w:right="0" w:firstLine="1440"/>
        <w:jc w:val="both"/>
        <w:rPr/>
      </w:pPr>
      <w:r>
        <w:rPr/>
      </w:r>
    </w:p>
    <w:p>
      <w:pPr>
        <w:pStyle w:val="TextBody"/>
        <w:bidi w:val="0"/>
        <w:spacing w:lineRule="auto" w:line="288" w:before="0" w:after="0"/>
        <w:jc w:val="center"/>
        <w:rPr/>
      </w:pPr>
      <w:r>
        <w:rPr>
          <w:rFonts w:ascii="Times New Roman;serif" w:hAnsi="Times New Roman;serif"/>
          <w:b/>
          <w:color w:val="000000"/>
          <w:sz w:val="24"/>
        </w:rPr>
        <w:t>ARTICLE VIII</w:t>
      </w:r>
      <w:r>
        <w:rPr>
          <w:rFonts w:ascii="Times New Roman;serif" w:hAnsi="Times New Roman;serif"/>
          <w:b w:val="false"/>
          <w:color w:val="000000"/>
          <w:sz w:val="24"/>
        </w:rPr>
        <w:br/>
      </w:r>
      <w:r>
        <w:rPr>
          <w:rFonts w:ascii="Times New Roman;serif" w:hAnsi="Times New Roman;serif"/>
          <w:b/>
          <w:color w:val="000000"/>
          <w:sz w:val="24"/>
        </w:rPr>
        <w:t>INDEMNIFICATION</w:t>
      </w:r>
    </w:p>
    <w:p>
      <w:pPr>
        <w:pStyle w:val="TextBody"/>
        <w:bidi w:val="0"/>
        <w:spacing w:before="0" w:after="0"/>
        <w:jc w:val="center"/>
        <w:rPr/>
      </w:pPr>
      <w:r>
        <w:rPr/>
      </w:r>
    </w:p>
    <w:p>
      <w:pPr>
        <w:pStyle w:val="TextBody"/>
        <w:bidi w:val="0"/>
        <w:spacing w:lineRule="auto" w:line="288"/>
        <w:ind w:left="0" w:right="0" w:firstLine="1440"/>
        <w:jc w:val="both"/>
        <w:rPr/>
      </w:pPr>
      <w:r>
        <w:rPr>
          <w:rFonts w:ascii="Times New Roman;serif" w:hAnsi="Times New Roman;serif"/>
          <w:b/>
          <w:color w:val="000000"/>
          <w:sz w:val="24"/>
        </w:rPr>
        <w:t>Section 8.1 Right to Indemnification</w:t>
      </w:r>
      <w:r>
        <w:rPr>
          <w:rFonts w:ascii="Times New Roman;serif" w:hAnsi="Times New Roman;serif"/>
          <w:b w:val="false"/>
          <w:color w:val="000000"/>
          <w:sz w:val="24"/>
        </w:rPr>
        <w:t xml:space="preserve">. Each person who was or is made a party or is threatened to be made a party to or is otherwise involved in any threatened, pending or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completed action, suit or proceeding, whether civil, criminal, administrative or investigative (hereinafter a “</w:t>
      </w:r>
      <w:r>
        <w:rPr>
          <w:rFonts w:ascii="Times New Roman;serif" w:hAnsi="Times New Roman;serif"/>
          <w:b/>
          <w:i/>
          <w:color w:val="000000"/>
          <w:sz w:val="24"/>
        </w:rPr>
        <w:t>proceeding</w:t>
      </w:r>
      <w:r>
        <w:rPr>
          <w:color w:val="000000"/>
        </w:rPr>
        <w:t>”</w:t>
      </w:r>
      <w:r>
        <w:rPr>
          <w:rFonts w:ascii="Times New Roman;serif" w:hAnsi="Times New Roman;serif"/>
          <w:b w:val="false"/>
          <w:color w:val="000000"/>
          <w:sz w:val="24"/>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 “</w:t>
      </w:r>
      <w:r>
        <w:rPr>
          <w:rFonts w:ascii="Times New Roman;serif" w:hAnsi="Times New Roman;serif"/>
          <w:b/>
          <w:i/>
          <w:color w:val="000000"/>
          <w:sz w:val="24"/>
        </w:rPr>
        <w:t>Covered Person</w:t>
      </w:r>
      <w:r>
        <w:rPr>
          <w:color w:val="000000"/>
        </w:rPr>
        <w:t>”</w:t>
      </w:r>
      <w:r>
        <w:rPr>
          <w:rFonts w:ascii="Times New Roman;serif" w:hAnsi="Times New Roman;serif"/>
          <w:b w:val="false"/>
          <w:color w:val="000000"/>
          <w:sz w:val="24"/>
        </w:rPr>
        <w:t xml:space="preserve">), whether the basis of such proceeding is alleged action in an official capacity as a director, officer, employee or agent, or in any other capacity while serving as a director, officer, employee or agent, shall be indemnified and held harmless by the Corporation to the fullest extent permitted by applicable law, as the same exists or may hereafter be amended, against all expenses, liability and loss (including, without limitation, attorneys’ fees, judgments, fines, ERISA excise taxes and penalties and amounts paid in settlement) reasonably incurred or suffered by such Covered Person in connection with such proceeding; provided, however, that, except as provided in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with respect to proceedings to enforce rights to indemnification and advancement of expenses, the Corporation shall indemnify or advance expenses to a Covered Person in connection with a proceeding (or part thereof) initiated by such Covered Person only if such proceeding (or part thereof) was authorized by the Board.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8.2 Right to Advancement of Expenses</w:t>
      </w:r>
      <w:r>
        <w:rPr>
          <w:rFonts w:ascii="Times New Roman;serif" w:hAnsi="Times New Roman;serif"/>
          <w:b w:val="false"/>
          <w:color w:val="000000"/>
          <w:sz w:val="24"/>
        </w:rPr>
        <w:t xml:space="preserve">. In addition to the right to indemnification conferred in </w:t>
      </w:r>
      <w:r>
        <w:rPr>
          <w:rFonts w:ascii="Times New Roman;serif" w:hAnsi="Times New Roman;serif"/>
          <w:b w:val="false"/>
          <w:color w:val="000000"/>
          <w:sz w:val="24"/>
          <w:u w:val="single"/>
        </w:rPr>
        <w:t>Section 8.1</w:t>
      </w:r>
      <w:r>
        <w:rPr>
          <w:rFonts w:ascii="Times New Roman;serif" w:hAnsi="Times New Roman;serif"/>
          <w:b w:val="false"/>
          <w:color w:val="000000"/>
          <w:sz w:val="24"/>
        </w:rPr>
        <w:t>, a Covered Person shall also have the right to be paid by the Corporation the expenses (including, without limitation, attorneys’ fees) incurred in defending, testifying, or otherwise participating in any such proceeding in advance of its final disposition (hereinafter an “</w:t>
      </w:r>
      <w:r>
        <w:rPr>
          <w:rFonts w:ascii="Times New Roman;serif" w:hAnsi="Times New Roman;serif"/>
          <w:b/>
          <w:i/>
          <w:color w:val="000000"/>
          <w:sz w:val="24"/>
        </w:rPr>
        <w:t>advancement of expenses</w:t>
      </w:r>
      <w:r>
        <w:rPr>
          <w:color w:val="000000"/>
        </w:rPr>
        <w:t>”</w:t>
      </w:r>
      <w:r>
        <w:rPr>
          <w:rFonts w:ascii="Times New Roman;serif" w:hAnsi="Times New Roman;serif"/>
          <w:b w:val="false"/>
          <w:color w:val="000000"/>
          <w:sz w:val="24"/>
        </w:rPr>
        <w:t>); provided, however, that, if the DGCL requires, an advancement of expenses incurred by a Covered Person in his or her capacity as a director or officer of the Corporation (and not in any other capacity in which service was or is rendered by such Covered Person, including, without limitation, service to an employee benefit plan) shall be made only upon delivery to the Corporation of an undertaking (hereinafter an “</w:t>
      </w:r>
      <w:r>
        <w:rPr>
          <w:rFonts w:ascii="Times New Roman;serif" w:hAnsi="Times New Roman;serif"/>
          <w:b/>
          <w:i/>
          <w:color w:val="000000"/>
          <w:sz w:val="24"/>
        </w:rPr>
        <w:t>undertaking</w:t>
      </w:r>
      <w:r>
        <w:rPr>
          <w:color w:val="000000"/>
        </w:rPr>
        <w:t>”</w:t>
      </w:r>
      <w:r>
        <w:rPr>
          <w:rFonts w:ascii="Times New Roman;serif" w:hAnsi="Times New Roman;serif"/>
          <w:b w:val="false"/>
          <w:color w:val="000000"/>
          <w:sz w:val="24"/>
        </w:rPr>
        <w:t>), by or on behalf of such Covered Person, to repay all amounts so advanced if it shall ultimately be determined by final judicial decision from which there is no further right to appeal (hereinafter a “</w:t>
      </w:r>
      <w:r>
        <w:rPr>
          <w:rFonts w:ascii="Times New Roman;serif" w:hAnsi="Times New Roman;serif"/>
          <w:b/>
          <w:i/>
          <w:color w:val="000000"/>
          <w:sz w:val="24"/>
        </w:rPr>
        <w:t>final adjudication</w:t>
      </w:r>
      <w:r>
        <w:rPr>
          <w:color w:val="000000"/>
        </w:rPr>
        <w:t>”</w:t>
      </w:r>
      <w:r>
        <w:rPr>
          <w:rFonts w:ascii="Times New Roman;serif" w:hAnsi="Times New Roman;serif"/>
          <w:b w:val="false"/>
          <w:color w:val="000000"/>
          <w:sz w:val="24"/>
        </w:rPr>
        <w:t xml:space="preserve">) that such Covered Person is not entitled to be indemnified for such expenses under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or otherwise. </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color w:val="000000"/>
          <w:sz w:val="24"/>
        </w:rPr>
        <w:t>Section 8.3 Right of Indemnitee to Bring Suit</w:t>
      </w:r>
      <w:r>
        <w:rPr>
          <w:rFonts w:ascii="Times New Roman;serif" w:hAnsi="Times New Roman;serif"/>
          <w:b w:val="false"/>
          <w:color w:val="000000"/>
          <w:sz w:val="24"/>
        </w:rPr>
        <w:t xml:space="preserve">. If a claim under </w:t>
      </w: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is not paid in full by the Corporation within 60 days after a written claim therefor has been received by the Corporation, except in the case of a claim for an advancement of expenses, in which case the applicable period shall be 20 days, the Covered Person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Covered Person shall also be entitled to be paid the expense of prosecuting or defending such suit. In any suit brought by (a) the Covered Person to enforce a right to indemnification hereunder (but not in a suit brought by a Covered Person to enforce a right to an advancement of expenses) it shall be a defense that, and (b) the Corporation to recover an advancement of expenses pursuant to the terms of an undertaking, the Corporation shall be entitled to recover such expenses upon a final adjudication that, the Covered Person has not met </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 xml:space="preserve">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Covered Person is proper in the circumstances because the Covered Person has met the applicable standard of conduct set forth in the DGCL, nor an actual determination by the Corporation (including a determination by its directors who are not parties to such action, a committee of such directors, independent legal counsel, or its stockholders) that the Covered Person has not met such applicable standard of conduct, shall create a presumption that the Covered Person has not met the applicable standard of conduct or, in the case of such a suit brought by the Covered Person, shall be a defense to such suit. In any suit brought by the Covered Person to enforce a right to indemnification or to an advancement of expenses hereunder, or by the Corporation to recover an advancement of expenses pursuant to the terms of an undertaking, the burden of proving that the Covered Person is not entitled to be indemnified, or to such advancement of expenses, under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or otherwise shall be on the Corporation.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8.4 Non-Exclusivity of Rights</w:t>
      </w:r>
      <w:r>
        <w:rPr>
          <w:rFonts w:ascii="Times New Roman;serif" w:hAnsi="Times New Roman;serif"/>
          <w:b w:val="false"/>
          <w:color w:val="000000"/>
          <w:sz w:val="24"/>
        </w:rPr>
        <w:t xml:space="preserve">. The rights provided to Covered Persons pursuant to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shall not be exclusive of any other right that any Covered Person may have or hereafter acquire under applicable law, the Certificate of Incorporation, these Bylaws, an agreement, a vote of stockholders or disinterested directors, or otherwise.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8.5 Insurance</w:t>
      </w:r>
      <w:r>
        <w:rPr>
          <w:rFonts w:ascii="Times New Roman;serif" w:hAnsi="Times New Roman;serif"/>
          <w:b w:val="false"/>
          <w:color w:val="000000"/>
          <w:sz w:val="24"/>
        </w:rPr>
        <w:t xml:space="preserve">. The Corporation may maintain insurance, at its expense, to protect itself and/or any director, officer, employee or agent of the Corporation or another corporation, partnership, joint venture, trust, other enterprise or nonprofit entity against any expense, liability or loss, whether or not the Corporation would have the power to indemnify such person against such expense, liability or loss under the DGCL.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8.6 Indemnification of Other Persons</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shall not limit the right of the Corporation to the extent and in the manner permitted by law to indemnify and to advance expenses to persons other than Covered Persons. Without limiting the foregoing, the Corporation may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other enterprise or nonprofit entity, including service with respect to an employee benefit plan, to the fullest extent of the provisions of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with respect to the indemnification and advancement of expenses of Covered Persons under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color w:val="000000"/>
          <w:sz w:val="24"/>
        </w:rPr>
        <w:t>Section 8.7 Amendments</w:t>
      </w:r>
      <w:r>
        <w:rPr>
          <w:rFonts w:ascii="Times New Roman;serif" w:hAnsi="Times New Roman;serif"/>
          <w:b w:val="false"/>
          <w:color w:val="000000"/>
          <w:sz w:val="24"/>
        </w:rPr>
        <w:t xml:space="preserve">. Any repeal or amendment of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by the Board or the stockholders of the Corporation or by changes in applicable law, or the adoption of any other provision of these Bylaws inconsistent with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shall, to the extent permitted by applicable law, be prospective only (except to the extent such amendment or change in applicable law permits the Corporation to provide broader indemnification rights to Covered Persons on a retroactive basis than permitted prior thereto), and will not in any way diminish or </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adversely affect any right or protection existing hereunder in respect of any act or omission occurring prior to such repeal or amendment or adoption of such inconsistent provision.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8.8 Certain Definitions</w:t>
      </w:r>
      <w:r>
        <w:rPr>
          <w:rFonts w:ascii="Times New Roman;serif" w:hAnsi="Times New Roman;serif"/>
          <w:b w:val="false"/>
          <w:color w:val="000000"/>
          <w:sz w:val="24"/>
        </w:rPr>
        <w:t xml:space="preserve">. For purposes of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(a) references to “other enterprise” shall include any employee benefit plan; (b) references to “fines” shall include any excise taxes assessed on a person with respect to an employee benefit plan; (c) references to “serving at the request of the Corporation”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8.9 Contract Rights</w:t>
      </w:r>
      <w:r>
        <w:rPr>
          <w:rFonts w:ascii="Times New Roman;serif" w:hAnsi="Times New Roman;serif"/>
          <w:b w:val="false"/>
          <w:color w:val="000000"/>
          <w:sz w:val="24"/>
        </w:rPr>
        <w:t xml:space="preserve">. The rights provided to Covered Persons pursuant to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(a) shall be contract rights based upon good and valuable consideration, pursuant to which a Covered Person may bring suit as if the provisions of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were set forth in a separate written contract between the Covered Person and the Corporation, (b) shall fully vest at the time the Covered Person first assumes his or her position as a director or officer of the Corporation, (c) are intended to be retroactive and shall be available with respect to any act or omission occurring prior to the adoption of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(d) shall continue as to a Covered Person who has ceased to be a director or officer of the Corporation and (e) shall inure to the benefit of the Covered Person’s heirs, executors and administrators.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8.10 Severability</w:t>
      </w:r>
      <w:r>
        <w:rPr>
          <w:rFonts w:ascii="Times New Roman;serif" w:hAnsi="Times New Roman;serif"/>
          <w:b w:val="false"/>
          <w:color w:val="000000"/>
          <w:sz w:val="24"/>
        </w:rPr>
        <w:t xml:space="preserve">. If any provision or provisions of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shall be held to be invalid, illegal or unenforceable for any reason whatsoever: (a) the validity, legality and enforceability of the remaining provisions of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shall not in any way be affected or impaired thereby; and (b) to the fullest extent possible, the provisions of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(including, without limitation, each such portion of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containing any such provision held to be invalid, illegal or unenforceable) shall be construed so as to give effect to the intent manifested by the provision held invalid, illegal or unenforceable.</w:t>
      </w:r>
    </w:p>
    <w:p>
      <w:pPr>
        <w:pStyle w:val="TextBody"/>
        <w:bidi w:val="0"/>
        <w:spacing w:before="0" w:after="0"/>
        <w:ind w:left="0" w:right="0" w:firstLine="1440"/>
        <w:jc w:val="both"/>
        <w:rPr/>
      </w:pPr>
      <w:r>
        <w:rPr/>
      </w:r>
    </w:p>
    <w:p>
      <w:pPr>
        <w:pStyle w:val="TextBody"/>
        <w:bidi w:val="0"/>
        <w:spacing w:lineRule="auto" w:line="288" w:before="0" w:after="0"/>
        <w:jc w:val="center"/>
        <w:rPr/>
      </w:pPr>
      <w:r>
        <w:rPr>
          <w:rFonts w:ascii="Times New Roman;serif" w:hAnsi="Times New Roman;serif"/>
          <w:b/>
          <w:color w:val="000000"/>
          <w:sz w:val="24"/>
        </w:rPr>
        <w:t>ARTICLE IX</w:t>
      </w:r>
      <w:r>
        <w:rPr>
          <w:rFonts w:ascii="Times New Roman;serif" w:hAnsi="Times New Roman;serif"/>
          <w:b w:val="false"/>
          <w:color w:val="000000"/>
          <w:sz w:val="24"/>
        </w:rPr>
        <w:br/>
      </w:r>
      <w:r>
        <w:rPr>
          <w:rFonts w:ascii="Times New Roman;serif" w:hAnsi="Times New Roman;serif"/>
          <w:b/>
          <w:color w:val="000000"/>
          <w:sz w:val="24"/>
        </w:rPr>
        <w:t>MISCELLANEOUS</w:t>
      </w:r>
    </w:p>
    <w:p>
      <w:pPr>
        <w:pStyle w:val="TextBody"/>
        <w:bidi w:val="0"/>
        <w:spacing w:before="0" w:after="0"/>
        <w:jc w:val="center"/>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9.1 Place of Meetings</w:t>
      </w:r>
      <w:r>
        <w:rPr>
          <w:rFonts w:ascii="Times New Roman;serif" w:hAnsi="Times New Roman;serif"/>
          <w:b w:val="false"/>
          <w:color w:val="000000"/>
          <w:sz w:val="24"/>
        </w:rPr>
        <w:t xml:space="preserve">. If the place of any meeting of stockholders, the Board or committee of the Board for which notice is required 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Times New Roman;serif" w:hAnsi="Times New Roman;serif"/>
          <w:b w:val="false"/>
          <w:color w:val="000000"/>
          <w:sz w:val="24"/>
          <w:u w:val="single"/>
        </w:rPr>
        <w:t>Section 9.5</w:t>
      </w:r>
      <w:r>
        <w:rPr>
          <w:color w:val="000000"/>
        </w:rPr>
        <w:t xml:space="preserve"> </w:t>
      </w:r>
      <w:r>
        <w:rPr>
          <w:rFonts w:ascii="Times New Roman;serif" w:hAnsi="Times New Roman;serif"/>
          <w:b w:val="false"/>
          <w:color w:val="000000"/>
          <w:sz w:val="24"/>
        </w:rPr>
        <w:t>hereof, then such meeting shall not be held at any place.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9.2 Fixing Record Dates</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In order that the Corporation may determine the stockholders entitled to notice of any meeting of stockholders or any adjournment thereof, the Board may fix a record date,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 xml:space="preserve">which shall not precede the date upon which the resolution fixing the record date is adopted by the Board, and which record date shall not be more than 60 nor less than 10 days before the date of such meeting. If the Board so fixes a record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serif" w:hAnsi="Times New Roman;serif"/>
          <w:b w:val="false"/>
          <w:color w:val="000000"/>
          <w:sz w:val="24"/>
          <w:u w:val="single"/>
        </w:rPr>
        <w:t>Section 9.2(a)</w:t>
      </w:r>
      <w:r>
        <w:rPr>
          <w:color w:val="000000"/>
        </w:rPr>
        <w:t xml:space="preserve"> </w:t>
      </w:r>
      <w:r>
        <w:rPr>
          <w:rFonts w:ascii="Times New Roman;serif" w:hAnsi="Times New Roman;serif"/>
          <w:b w:val="false"/>
          <w:color w:val="000000"/>
          <w:sz w:val="24"/>
        </w:rPr>
        <w:t>at the adjourned meeting.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otherwise required, shall be the first date on which a signed written consent setting forth the action taken or proposed to be taken is delivered to the Corporation by delivery to its registered office in the State of Delaware, its principal place of business, or the Secretary of the Corporation. Delivery made to the Corporation’s registered office shall be by hand or by certified or registered mail, return receipt requested. If no record date has been fixed by the Board and prior action by the Board is otherwise required, the record date for determining stockholders entitled to consent to corporate action in writing without a meeting shall be at the close of business on the day on which the Board adopts the resolution taking such prior action.</w:t>
      </w:r>
    </w:p>
    <w:p>
      <w:pPr>
        <w:pStyle w:val="TextBody"/>
        <w:bidi w:val="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9.3 Means of Giving Notice</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Notice to Directors</w:t>
      </w:r>
      <w:r>
        <w:rPr>
          <w:rFonts w:ascii="Times New Roman;serif" w:hAnsi="Times New Roman;serif"/>
          <w:b w:val="false"/>
          <w:color w:val="000000"/>
          <w:sz w:val="24"/>
        </w:rPr>
        <w:t>. Whenever under applicable law, the Certificate of Incorporation or these Bylaws notice is required to be given to any director, such notice shall be given either (i) in writing and sent by hand delivery, through the United States mail, or by a nationally recognized overnight delivery service for next day delivery,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Notice to Stockholders</w:t>
      </w:r>
      <w:r>
        <w:rPr>
          <w:rFonts w:ascii="Times New Roman;serif" w:hAnsi="Times New Roman;serif"/>
          <w:b w:val="false"/>
          <w:color w:val="000000"/>
          <w:sz w:val="24"/>
        </w:rPr>
        <w:t xml:space="preserve">.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Each document enclosed with or annexed or appended to a notice will be deemed to be a part of such notice for purposes of the foregoing.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Electronic Transmission</w:t>
      </w:r>
      <w:r>
        <w:rPr>
          <w:rFonts w:ascii="Times New Roman;serif" w:hAnsi="Times New Roman;serif"/>
          <w:b w:val="false"/>
          <w:color w:val="000000"/>
          <w:sz w:val="24"/>
        </w:rPr>
        <w:t>. “</w:t>
      </w:r>
      <w:r>
        <w:rPr>
          <w:rFonts w:ascii="Times New Roman;serif" w:hAnsi="Times New Roman;serif"/>
          <w:b/>
          <w:i/>
          <w:color w:val="000000"/>
          <w:sz w:val="24"/>
        </w:rPr>
        <w:t>Electronic transmission</w:t>
      </w:r>
      <w:r>
        <w:rPr>
          <w:color w:val="000000"/>
        </w:rPr>
        <w:t xml:space="preserve">” </w:t>
      </w:r>
      <w:r>
        <w:rPr>
          <w:rFonts w:ascii="Times New Roman;serif" w:hAnsi="Times New Roman;serif"/>
          <w:b w:val="false"/>
          <w:color w:val="000000"/>
          <w:sz w:val="24"/>
        </w:rPr>
        <w:t xml:space="preserve">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Notice to Stockholders Sharing Same Address</w:t>
      </w:r>
      <w:r>
        <w:rPr>
          <w:rFonts w:ascii="Times New Roman;serif" w:hAnsi="Times New Roman;serif"/>
          <w:b w:val="false"/>
          <w:color w:val="000000"/>
          <w:sz w:val="24"/>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Exceptions to Notice Requirements</w:t>
      </w:r>
      <w:r>
        <w:rPr>
          <w:rFonts w:ascii="Times New Roman;serif" w:hAnsi="Times New Roman;serif"/>
          <w:b w:val="false"/>
          <w:color w:val="000000"/>
          <w:sz w:val="24"/>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If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pStyle w:val="TextBody"/>
        <w:bidi w:val="0"/>
        <w:spacing w:before="0" w:after="0"/>
        <w:ind w:left="0" w:right="0" w:firstLine="144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such stockholder’s then current address, the requirement that notice be given to such stockholder shall be reinstated. If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9.4 Waiver of Notice</w:t>
      </w:r>
      <w:r>
        <w:rPr>
          <w:rFonts w:ascii="Times New Roman;serif" w:hAnsi="Times New Roman;serif"/>
          <w:b w:val="false"/>
          <w:color w:val="000000"/>
          <w:sz w:val="24"/>
        </w:rPr>
        <w:t>. Whenever any notice is required to be given under applicable law, the Certificate of Incorporation, or these Bylaws, a written waiver of such notice, signed before or after the date of such meeting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 Neither the business to be transacted at, nor the purpose of, any regular or special meeting of the stockholders, the Board or a committee of the Board need be specified in any written waiver of notice or any waiver by electronic transmission unless so required by the Certificate of Incorporation or these Bylaws.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9.5 Meeting Attendance via Remote Communication Equipment</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Stockholder Meetings</w:t>
      </w:r>
      <w:r>
        <w:rPr>
          <w:rFonts w:ascii="Times New Roman;serif" w:hAnsi="Times New Roman;serif"/>
          <w:b w:val="false"/>
          <w:color w:val="000000"/>
          <w:sz w:val="24"/>
        </w:rPr>
        <w:t>. If authorized by the Board in its sole discretion, and subject to such guidelines and procedures as the Board may adopt, stockholders and proxyholders not physically present at a meeting of stockholders may, by means of remote communication: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participate in a meeting of stockholders;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proxyholder, (B)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(C) if any stockholder or proxyholder votes or takes other action at the meeting by means of remote communication, a record of such votes or other action shall be maintained by the Corporation.</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Board Meetings</w:t>
      </w:r>
      <w:r>
        <w:rPr>
          <w:rFonts w:ascii="Times New Roman;serif" w:hAnsi="Times New Roman;serif"/>
          <w:b w:val="false"/>
          <w:color w:val="000000"/>
          <w:sz w:val="24"/>
        </w:rPr>
        <w:t xml:space="preserve">. Unless otherwise restricted by applicable law, the Certificate of Incorporation, or these Bylaws, members of the Board or any committee thereof may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9.6 Dividends</w:t>
      </w:r>
      <w:r>
        <w:rPr>
          <w:rFonts w:ascii="Times New Roman;serif" w:hAnsi="Times New Roman;serif"/>
          <w:b w:val="false"/>
          <w:color w:val="000000"/>
          <w:sz w:val="24"/>
        </w:rPr>
        <w:t>. The Board may from time to time declare, and the Corporation may pay, dividends (payable in cash, property or shares of the Corporation’s capital stock) on the Corporation’s outstanding shares of capital stock, subject to applicable law and the Certificate of Incorporation.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9.7 Reserves</w:t>
      </w:r>
      <w:r>
        <w:rPr>
          <w:rFonts w:ascii="Times New Roman;serif" w:hAnsi="Times New Roman;serif"/>
          <w:b w:val="false"/>
          <w:color w:val="000000"/>
          <w:sz w:val="24"/>
        </w:rPr>
        <w:t>. The Board may set apart out of the funds of the Corporation available for dividends a reserve or reserves for any proper purpose and may abolish any such reserve.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9.8 Contracts and Negotiable Instruments</w:t>
      </w:r>
      <w:r>
        <w:rPr>
          <w:rFonts w:ascii="Times New Roman;serif" w:hAnsi="Times New Roman;serif"/>
          <w:b w:val="false"/>
          <w:color w:val="000000"/>
          <w:sz w:val="24"/>
        </w:rPr>
        <w:t>. Except as otherwise provided by applicable law, the Certificate of Incorporation or these 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Chief Executive Officer, the President or any Vice President may execute and deliver any contract, bond, deed, lease, mortgage or other instrument in the name and on behalf of the Corporation. Subject to any restrictions imposed by the Board, the Chief Executive Officer, President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9.9 Fiscal Year</w:t>
      </w:r>
      <w:r>
        <w:rPr>
          <w:rFonts w:ascii="Times New Roman;serif" w:hAnsi="Times New Roman;serif"/>
          <w:b w:val="false"/>
          <w:color w:val="000000"/>
          <w:sz w:val="24"/>
        </w:rPr>
        <w:t>. The fiscal year of the Corporation shall be fixed by the Board.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9.10 Seal</w:t>
      </w:r>
      <w:r>
        <w:rPr>
          <w:rFonts w:ascii="Times New Roman;serif" w:hAnsi="Times New Roman;serif"/>
          <w:b w:val="false"/>
          <w:color w:val="000000"/>
          <w:sz w:val="24"/>
        </w:rPr>
        <w:t>. The Board may adopt a corporate seal, which shall be in such form as the Board determines. The seal may be used by causing it or a facsimile thereof to be impressed, affixed or otherwise reproduced.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9.11 Books and Records</w:t>
      </w:r>
      <w:r>
        <w:rPr>
          <w:rFonts w:ascii="Times New Roman;serif" w:hAnsi="Times New Roman;serif"/>
          <w:b w:val="false"/>
          <w:color w:val="000000"/>
          <w:sz w:val="24"/>
        </w:rPr>
        <w:t>. The books and records of the Corporation may be kept within or outside the State of Delaware at such place or places as may from time to time be designated by the Board.</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color w:val="000000"/>
          <w:sz w:val="24"/>
        </w:rPr>
        <w:t>Section 9.12 Resignation</w:t>
      </w:r>
      <w:r>
        <w:rPr>
          <w:rFonts w:ascii="Times New Roman;serif" w:hAnsi="Times New Roman;serif"/>
          <w:b w:val="false"/>
          <w:color w:val="000000"/>
          <w:sz w:val="24"/>
        </w:rPr>
        <w:t xml:space="preserve">. Any director, committee member or officer may resign by giving notice thereof in writing or by electronic transmission to the Chief Executive Officer, President or the Secretary. The resignation shall take effect at the time specified therein, or at the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time of receipt of such notice if no time is specified or the specified time is earlier than the time of such receipt. Unless otherwise specified therein, the acceptance of such resignation shall not be necessary to make it effective.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9.13 Surety Bonds</w:t>
      </w:r>
      <w:r>
        <w:rPr>
          <w:rFonts w:ascii="Times New Roman;serif" w:hAnsi="Times New Roman;serif"/>
          <w:b w:val="false"/>
          <w:color w:val="000000"/>
          <w:sz w:val="24"/>
        </w:rPr>
        <w:t>. Such officers, employees and agents of the Corporation (if any) as the Chief Executive Officer, the President</w:t>
      </w:r>
      <w:r>
        <w:rPr>
          <w:color w:val="000000"/>
        </w:rPr>
        <w:t> </w:t>
      </w:r>
      <w:r>
        <w:rPr>
          <w:rFonts w:ascii="Times New Roman;serif" w:hAnsi="Times New Roman;serif"/>
          <w:b w:val="false"/>
          <w:color w:val="000000"/>
          <w:sz w:val="24"/>
        </w:rPr>
        <w:t>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Chief Executive Officer, President</w:t>
      </w:r>
      <w:r>
        <w:rPr>
          <w:color w:val="000000"/>
        </w:rPr>
        <w:t> </w:t>
      </w:r>
      <w:r>
        <w:rPr>
          <w:rFonts w:ascii="Times New Roman;serif" w:hAnsi="Times New Roman;serif"/>
          <w:b w:val="false"/>
          <w:color w:val="000000"/>
          <w:sz w:val="24"/>
        </w:rPr>
        <w:t>or the Board may determine. The premiums on such bonds shall be paid by the Corporation and the bonds so furnished shall be in the custody of the Secretary.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9.14 Securities and Interests of Other Entities</w:t>
      </w:r>
      <w:r>
        <w:rPr>
          <w:rFonts w:ascii="Times New Roman;serif" w:hAnsi="Times New Roman;serif"/>
          <w:b w:val="false"/>
          <w:color w:val="000000"/>
          <w:sz w:val="24"/>
        </w:rPr>
        <w:t>. Powers of attorney, proxies, waivers of notice of meeting, consents in writing and other instruments relating to securities or interests owned by the Corporation may be executed in the name of and on behalf of the Corporation by the Chief Executive Officer, President or any Vice President. Any such officer, may, in the name of and on behalf of the Corporation, take all such action as any such officer may deem advisable to vote in person or by proxy at any meeting of equity holders of any entity in which the Corporation may own securities or interests, or to consent in writing, in the name of the Corporation as such holder, to any action by such entity, and at any such meeting or with respect to any such consent shall possess and may exercise any and all rights and power incident to the ownership of such securities or interest and which, as the owner thereof, the Corporation might have exercised and possessed. The Board may from time to time confer like powers upon any other person or persons.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9.15 Amendments</w:t>
      </w:r>
      <w:r>
        <w:rPr>
          <w:rFonts w:ascii="Times New Roman;serif" w:hAnsi="Times New Roman;serif"/>
          <w:b w:val="false"/>
          <w:color w:val="000000"/>
          <w:sz w:val="24"/>
        </w:rPr>
        <w:t xml:space="preserv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Board shall have the power to adopt, amend, alter or repeal the Bylaws. The affirmative vote of a majority of the Whole Board shall be required to adopt, amend, alter or repeal the Bylaws.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Bylaws may be adopted, amended, altered or repealed by the stockholders at any special meeting of the stockholders if duly called for that purpose (provided; that in the notice of such special meeting, notice of such purpose shall be given), or at any annual meeting; provided, however, that in addition to any vote of the holders of any class or series of capital stock of the Corporation required by applicable law or the Certificate of Incorporation, the affirmative vote of the holders of at least a majority of the voting power of all outstanding shares of capital stock of the Corporation entitled to vote generally in the election of directors, voting together as a single class, shall be required for the stockholders to adopt, amend, alter or repeal the Bylaws.</w:t>
      </w:r>
    </w:p>
    <w:p>
      <w:pPr>
        <w:pStyle w:val="TextBody"/>
        <w:bidi w:val="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Section 9.16 Forum Selection</w:t>
      </w:r>
      <w:r>
        <w:rPr>
          <w:rFonts w:ascii="Times New Roman;serif" w:hAnsi="Times New Roman;serif"/>
          <w:b w:val="false"/>
          <w:color w:val="000000"/>
          <w:sz w:val="24"/>
        </w:rPr>
        <w:t>. Subject to Article XII of the Certificate of Incorporation, unless the Corporation consents in writing to the selection of an alternative forum,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Any person or entity purchasing or otherwise acquiring any interest in any security of the Corporation shall be deemed to have notice of and consented to this </w:t>
      </w:r>
      <w:r>
        <w:rPr>
          <w:rFonts w:ascii="Times New Roman;serif" w:hAnsi="Times New Roman;serif"/>
          <w:b w:val="false"/>
          <w:color w:val="000000"/>
          <w:sz w:val="24"/>
          <w:u w:val="single"/>
        </w:rPr>
        <w:t>Section 9.16</w:t>
      </w:r>
      <w:r>
        <w:rPr>
          <w:rFonts w:ascii="Times New Roman;serif" w:hAnsi="Times New Roman;serif"/>
          <w:b w:val="false"/>
          <w:color w:val="000000"/>
          <w:sz w:val="24"/>
        </w:rPr>
        <w:t>. This provision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List of Issuers and Subsidiary Guarantors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entities are the issuer and the guarantors, as specified below, of Viper Energy, Inc.'s senior notes registered under the Securities Act of 1933, as amended:</w:t>
      </w:r>
    </w:p>
    <w:p>
      <w:pPr>
        <w:pStyle w:val="TextBody"/>
        <w:bidi w:val="0"/>
        <w:spacing w:before="0" w:after="0"/>
        <w:ind w:left="0" w:right="0" w:firstLine="720"/>
        <w:jc w:val="left"/>
        <w:rPr/>
      </w:pPr>
      <w:r>
        <w:rPr/>
      </w:r>
    </w:p>
    <w:tbl>
      <w:tblPr>
        <w:tblW w:w="6444" w:type="dxa"/>
        <w:jc w:val="left"/>
        <w:tblInd w:w="0" w:type="dxa"/>
        <w:tblLayout w:type="fixed"/>
        <w:tblCellMar>
          <w:top w:w="28" w:type="dxa"/>
          <w:left w:w="28" w:type="dxa"/>
          <w:bottom w:w="28" w:type="dxa"/>
          <w:right w:w="28" w:type="dxa"/>
        </w:tblCellMar>
      </w:tblPr>
      <w:tblGrid>
        <w:gridCol w:w="835"/>
        <w:gridCol w:w="733"/>
        <w:gridCol w:w="742"/>
        <w:gridCol w:w="109"/>
        <w:gridCol w:w="109"/>
        <w:gridCol w:w="109"/>
        <w:gridCol w:w="839"/>
        <w:gridCol w:w="839"/>
        <w:gridCol w:w="841"/>
        <w:gridCol w:w="109"/>
        <w:gridCol w:w="109"/>
        <w:gridCol w:w="109"/>
        <w:gridCol w:w="279"/>
        <w:gridCol w:w="279"/>
        <w:gridCol w:w="403"/>
      </w:tblGrid>
      <w:tr>
        <w:trPr/>
        <w:tc>
          <w:tcPr>
            <w:tcW w:w="83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Jurisdiction of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Role</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Viper Energy Partners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Issuer</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Guarantor</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VNOM Sub,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Guarantor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Kaes Van’t Hof, certify that: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Viper Energy, Inc. (the “registrant”);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8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600"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606"/>
        <w:gridCol w:w="606"/>
        <w:gridCol w:w="85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Teresa L. Dick, certify that: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Viper Energy, Inc. (the “registrant”);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539"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586"/>
        <w:gridCol w:w="586"/>
        <w:gridCol w:w="83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 REPORT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Viper Energy, Inc. (the “Company”), as filed with the Securities and Exchange Commission on the date hereof (the “Report”), the undersigned, Kaes Van’t Hof, Chief Executive Officer of Viper Energy, Inc., and Teresa L. Dick, Chief Financial Officer of Viper Energy, Inc., certify, pursuant to 18 U.S.C. Section 1350, as adopted pursuant to Section 906 of the Sarbanes-Oxley Act of 2002, that, to their knowledge: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(15 U.S.C. 78m or 78o(d)); and </w:t>
      </w:r>
    </w:p>
    <w:p>
      <w:pPr>
        <w:pStyle w:val="TextBody"/>
        <w:bidi w:val="0"/>
        <w:spacing w:lineRule="auto" w:line="288" w:before="18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both"/>
        <w:rPr>
          <w:color w:val="000000"/>
        </w:rPr>
      </w:pPr>
      <w:r>
        <w:rPr>
          <w:color w:val="000000"/>
        </w:rPr>
        <w:t> </w:t>
      </w:r>
    </w:p>
    <w:tbl>
      <w:tblPr>
        <w:tblW w:w="4600"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606"/>
        <w:gridCol w:w="606"/>
        <w:gridCol w:w="85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602065/000160206525000010/vnom-20241231.htm" TargetMode="External"/><Relationship Id="rId3" Type="http://schemas.openxmlformats.org/officeDocument/2006/relationships/hyperlink" Target="https://www.sec.gov/ix?doc=/Archives/edgar/data/0001602065/000160206525000010/vnom-20241231.htm" TargetMode="External"/><Relationship Id="rId4" Type="http://schemas.openxmlformats.org/officeDocument/2006/relationships/hyperlink" Target="https://www.sec.gov/ix?doc=/Archives/edgar/data/0001602065/000160206525000010/vnom-20241231.htm" TargetMode="External"/><Relationship Id="rId5" Type="http://schemas.openxmlformats.org/officeDocument/2006/relationships/hyperlink" Target="https://www.sec.gov/ix?doc=/Archives/edgar/data/0001602065/000160206525000010/vnom-20241231.htm" TargetMode="External"/><Relationship Id="rId6" Type="http://schemas.openxmlformats.org/officeDocument/2006/relationships/hyperlink" Target="https://www.sec.gov/Archives/edgar/data/2074176/000119312525183036/d66098dex31.htm" TargetMode="External"/><Relationship Id="rId7" Type="http://schemas.openxmlformats.org/officeDocument/2006/relationships/hyperlink" Target="https://www.sec.gov/Archives/edgar/data/2074176/000119312525183036/d66098dex32.htm" TargetMode="External"/><Relationship Id="rId8" Type="http://schemas.openxmlformats.org/officeDocument/2006/relationships/hyperlink" Target="https://www.sec.gov/Archives/edgar/data/2074176/000119312525183036/d66098dex34.htm" TargetMode="External"/><Relationship Id="rId9" Type="http://schemas.openxmlformats.org/officeDocument/2006/relationships/hyperlink" Target="https://www.sec.gov/Archives/edgar/data/2074176/000119312525183036/d66098dex41.htm" TargetMode="External"/><Relationship Id="rId10" Type="http://schemas.openxmlformats.org/officeDocument/2006/relationships/hyperlink" Target="https://www.sec.gov/Archives/edgar/data/2074176/000119312525183036/d66098dex41.htm" TargetMode="External"/><Relationship Id="rId11" Type="http://schemas.openxmlformats.org/officeDocument/2006/relationships/hyperlink" Target="https://www.sec.gov/Archives/edgar/data/2074176/000119312525183036/d66098dex41.htm" TargetMode="External"/><Relationship Id="rId12" Type="http://schemas.openxmlformats.org/officeDocument/2006/relationships/hyperlink" Target="https://www.sec.gov/Archives/edgar/data/2074176/000119312525183036/d66098dex41.htm" TargetMode="External"/><Relationship Id="rId13" Type="http://schemas.openxmlformats.org/officeDocument/2006/relationships/hyperlink" Target="https://www.sec.gov/Archives/edgar/data/2074176/000119312525183036/d66098dex41.htm" TargetMode="External"/><Relationship Id="rId14" Type="http://schemas.openxmlformats.org/officeDocument/2006/relationships/hyperlink" Target="https://www.sec.gov/Archives/edgar/data/2074176/000119312525183036/d66098dex41.htm" TargetMode="External"/><Relationship Id="rId15" Type="http://schemas.openxmlformats.org/officeDocument/2006/relationships/hyperlink" Target="https://www.sec.gov/Archives/edgar/data/2074176/000119312525183036/d66098dex41.htm" TargetMode="External"/><Relationship Id="rId16" Type="http://schemas.openxmlformats.org/officeDocument/2006/relationships/hyperlink" Target="https://www.sec.gov/Archives/edgar/data/1602065/000119312525163455/d901207dex41.htm" TargetMode="External"/><Relationship Id="rId17" Type="http://schemas.openxmlformats.org/officeDocument/2006/relationships/hyperlink" Target="https://www.sec.gov/Archives/edgar/data/1602065/000119312525163455/d901207dex42.htm" TargetMode="External"/><Relationship Id="rId18" Type="http://schemas.openxmlformats.org/officeDocument/2006/relationships/hyperlink" Target="https://www.sec.gov/Archives/edgar/data/2074176/000119312525183036/d66098dex48.htm" TargetMode="External"/><Relationship Id="rId19" Type="http://schemas.openxmlformats.org/officeDocument/2006/relationships/hyperlink" Target="https://www.sec.gov/Archives/edgar/data/1602065/000119312525163455/d901207dex43.htm" TargetMode="External"/><Relationship Id="rId20" Type="http://schemas.openxmlformats.org/officeDocument/2006/relationships/hyperlink" Target="https://www.sec.gov/Archives/edgar/data/2074176/000119312525183036/d66098dex103.htm" TargetMode="External"/><Relationship Id="rId21" Type="http://schemas.openxmlformats.org/officeDocument/2006/relationships/hyperlink" Target="https://www.sec.gov/Archives/edgar/data/2074176/000119312525183036/d66098dex104.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51443</Words>
  <Characters>270455</Characters>
  <CharactersWithSpaces>319982</CharactersWithSpaces>
  <Paragraphs>3454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