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46990</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92710</wp:posOffset>
            </wp:positionV>
            <wp:extent cx="2614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87" w:lineRule="exact"/>
        <w:rPr>
          <w:sz w:val="24"/>
          <w:szCs w:val="24"/>
          <w:color w:val="auto"/>
        </w:rPr>
      </w:pPr>
    </w:p>
    <w:p>
      <w:pPr>
        <w:ind w:left="640" w:right="96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3" w:lineRule="exact"/>
        <w:rPr>
          <w:sz w:val="24"/>
          <w:szCs w:val="24"/>
          <w:color w:val="auto"/>
        </w:rPr>
      </w:pPr>
    </w:p>
    <w:p>
      <w:pPr>
        <w:ind w:left="640" w:right="940" w:hanging="614"/>
        <w:spacing w:after="0" w:line="235" w:lineRule="auto"/>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SECURITIES EXCHANGE ACT OF 1934</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205740</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Viper Energy Partners LP</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65" w:lineRule="exact"/>
        <w:rPr>
          <w:sz w:val="24"/>
          <w:szCs w:val="24"/>
          <w:color w:val="auto"/>
        </w:rPr>
      </w:pPr>
    </w:p>
    <w:tbl>
      <w:tblPr>
        <w:tblLayout w:type="fixed"/>
        <w:tblInd w:w="1980" w:type="dxa"/>
        <w:tblCellMar>
          <w:top w:w="0" w:type="dxa"/>
          <w:left w:w="0" w:type="dxa"/>
          <w:bottom w:w="0" w:type="dxa"/>
          <w:right w:w="0" w:type="dxa"/>
        </w:tblCellMar>
      </w:tblPr>
      <w:tr>
        <w:trPr>
          <w:trHeight w:val="210"/>
        </w:trPr>
        <w:tc>
          <w:tcPr>
            <w:tcW w:w="3780" w:type="dxa"/>
            <w:vAlign w:val="bottom"/>
          </w:tcPr>
          <w:p>
            <w:pPr>
              <w:jc w:val="center"/>
              <w:ind w:right="763"/>
              <w:spacing w:after="0"/>
              <w:rPr>
                <w:sz w:val="20"/>
                <w:szCs w:val="20"/>
                <w:color w:val="auto"/>
              </w:rPr>
            </w:pPr>
            <w:r>
              <w:rPr>
                <w:rFonts w:ascii="Arial" w:cs="Arial" w:eastAsia="Arial" w:hAnsi="Arial"/>
                <w:sz w:val="16"/>
                <w:szCs w:val="16"/>
                <w:b w:val="1"/>
                <w:bCs w:val="1"/>
                <w:color w:val="auto"/>
                <w:w w:val="98"/>
              </w:rPr>
              <w:t>DE</w:t>
            </w:r>
          </w:p>
        </w:tc>
        <w:tc>
          <w:tcPr>
            <w:tcW w:w="3340" w:type="dxa"/>
            <w:vAlign w:val="bottom"/>
          </w:tcPr>
          <w:p>
            <w:pPr>
              <w:jc w:val="right"/>
              <w:ind w:right="784"/>
              <w:spacing w:after="0"/>
              <w:rPr>
                <w:sz w:val="20"/>
                <w:szCs w:val="20"/>
                <w:color w:val="auto"/>
              </w:rPr>
            </w:pPr>
            <w:r>
              <w:rPr>
                <w:rFonts w:ascii="Arial" w:cs="Arial" w:eastAsia="Arial" w:hAnsi="Arial"/>
                <w:sz w:val="16"/>
                <w:szCs w:val="16"/>
                <w:b w:val="1"/>
                <w:bCs w:val="1"/>
                <w:color w:val="auto"/>
              </w:rPr>
              <w:t>46-5001985</w:t>
            </w:r>
          </w:p>
        </w:tc>
        <w:tc>
          <w:tcPr>
            <w:tcW w:w="0" w:type="dxa"/>
            <w:vAlign w:val="bottom"/>
          </w:tcPr>
          <w:p>
            <w:pPr>
              <w:spacing w:after="0"/>
              <w:rPr>
                <w:sz w:val="1"/>
                <w:szCs w:val="1"/>
                <w:color w:val="auto"/>
              </w:rPr>
            </w:pPr>
          </w:p>
        </w:tc>
      </w:tr>
      <w:tr>
        <w:trPr>
          <w:trHeight w:val="357"/>
        </w:trPr>
        <w:tc>
          <w:tcPr>
            <w:tcW w:w="3780" w:type="dxa"/>
            <w:vAlign w:val="bottom"/>
          </w:tcPr>
          <w:p>
            <w:pPr>
              <w:jc w:val="center"/>
              <w:ind w:right="763"/>
              <w:spacing w:after="0"/>
              <w:rPr>
                <w:sz w:val="20"/>
                <w:szCs w:val="20"/>
                <w:color w:val="auto"/>
              </w:rPr>
            </w:pPr>
            <w:r>
              <w:rPr>
                <w:rFonts w:ascii="Arial" w:cs="Arial" w:eastAsia="Arial" w:hAnsi="Arial"/>
                <w:sz w:val="14"/>
                <w:szCs w:val="14"/>
                <w:b w:val="1"/>
                <w:bCs w:val="1"/>
                <w:color w:val="auto"/>
                <w:w w:val="94"/>
              </w:rPr>
              <w:t>(State or Other Jurisdiction of Incorporation or</w:t>
            </w:r>
          </w:p>
        </w:tc>
        <w:tc>
          <w:tcPr>
            <w:tcW w:w="3340" w:type="dxa"/>
            <w:vAlign w:val="bottom"/>
          </w:tcPr>
          <w:p>
            <w:pPr>
              <w:jc w:val="center"/>
              <w:ind w:left="764"/>
              <w:spacing w:after="0"/>
              <w:rPr>
                <w:sz w:val="20"/>
                <w:szCs w:val="20"/>
                <w:color w:val="auto"/>
              </w:rPr>
            </w:pPr>
            <w:r>
              <w:rPr>
                <w:rFonts w:ascii="Arial" w:cs="Arial" w:eastAsia="Arial" w:hAnsi="Arial"/>
                <w:sz w:val="14"/>
                <w:szCs w:val="14"/>
                <w:b w:val="1"/>
                <w:bCs w:val="1"/>
                <w:color w:val="auto"/>
                <w:w w:val="96"/>
              </w:rPr>
              <w:t>(I.R.S. Employer Identification Number)</w:t>
            </w:r>
          </w:p>
        </w:tc>
        <w:tc>
          <w:tcPr>
            <w:tcW w:w="0" w:type="dxa"/>
            <w:vAlign w:val="bottom"/>
          </w:tcPr>
          <w:p>
            <w:pPr>
              <w:spacing w:after="0"/>
              <w:rPr>
                <w:sz w:val="1"/>
                <w:szCs w:val="1"/>
                <w:color w:val="auto"/>
              </w:rPr>
            </w:pPr>
          </w:p>
        </w:tc>
      </w:tr>
      <w:tr>
        <w:trPr>
          <w:trHeight w:val="186"/>
        </w:trPr>
        <w:tc>
          <w:tcPr>
            <w:tcW w:w="3780" w:type="dxa"/>
            <w:vAlign w:val="bottom"/>
          </w:tcPr>
          <w:p>
            <w:pPr>
              <w:jc w:val="center"/>
              <w:ind w:right="763"/>
              <w:spacing w:after="0"/>
              <w:rPr>
                <w:sz w:val="20"/>
                <w:szCs w:val="20"/>
                <w:color w:val="auto"/>
              </w:rPr>
            </w:pPr>
            <w:r>
              <w:rPr>
                <w:rFonts w:ascii="Arial" w:cs="Arial" w:eastAsia="Arial" w:hAnsi="Arial"/>
                <w:sz w:val="14"/>
                <w:szCs w:val="14"/>
                <w:b w:val="1"/>
                <w:bCs w:val="1"/>
                <w:color w:val="auto"/>
                <w:w w:val="95"/>
              </w:rPr>
              <w:t>Organization)</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2"/>
        </w:trPr>
        <w:tc>
          <w:tcPr>
            <w:tcW w:w="3780" w:type="dxa"/>
            <w:vAlign w:val="bottom"/>
          </w:tcPr>
          <w:p>
            <w:pPr>
              <w:jc w:val="center"/>
              <w:ind w:right="763"/>
              <w:spacing w:after="0"/>
              <w:rPr>
                <w:sz w:val="20"/>
                <w:szCs w:val="20"/>
                <w:color w:val="auto"/>
              </w:rPr>
            </w:pPr>
            <w:r>
              <w:rPr>
                <w:rFonts w:ascii="Arial" w:cs="Arial" w:eastAsia="Arial" w:hAnsi="Arial"/>
                <w:sz w:val="16"/>
                <w:szCs w:val="16"/>
                <w:b w:val="1"/>
                <w:bCs w:val="1"/>
                <w:color w:val="auto"/>
                <w:w w:val="88"/>
              </w:rPr>
              <w:t>500 West Texas</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tcPr>
          <w:p>
            <w:pPr>
              <w:jc w:val="center"/>
              <w:ind w:right="763"/>
              <w:spacing w:after="0"/>
              <w:rPr>
                <w:sz w:val="20"/>
                <w:szCs w:val="20"/>
                <w:color w:val="auto"/>
              </w:rPr>
            </w:pPr>
            <w:r>
              <w:rPr>
                <w:rFonts w:ascii="Arial" w:cs="Arial" w:eastAsia="Arial" w:hAnsi="Arial"/>
                <w:sz w:val="16"/>
                <w:szCs w:val="16"/>
                <w:b w:val="1"/>
                <w:bCs w:val="1"/>
                <w:color w:val="auto"/>
                <w:w w:val="88"/>
              </w:rPr>
              <w:t>Suite 1200</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vMerge w:val="restart"/>
          </w:tcPr>
          <w:p>
            <w:pPr>
              <w:ind w:left="820"/>
              <w:spacing w:after="0"/>
              <w:rPr>
                <w:sz w:val="20"/>
                <w:szCs w:val="20"/>
                <w:color w:val="auto"/>
              </w:rPr>
            </w:pPr>
            <w:r>
              <w:rPr>
                <w:rFonts w:ascii="Arial" w:cs="Arial" w:eastAsia="Arial" w:hAnsi="Arial"/>
                <w:sz w:val="16"/>
                <w:szCs w:val="16"/>
                <w:b w:val="1"/>
                <w:bCs w:val="1"/>
                <w:color w:val="auto"/>
              </w:rPr>
              <w:t>Midland, TX</w:t>
            </w:r>
          </w:p>
        </w:tc>
        <w:tc>
          <w:tcPr>
            <w:tcW w:w="3340" w:type="dxa"/>
            <w:vAlign w:val="bottom"/>
          </w:tcPr>
          <w:p>
            <w:pPr>
              <w:jc w:val="right"/>
              <w:ind w:right="984"/>
              <w:spacing w:after="0"/>
              <w:rPr>
                <w:sz w:val="20"/>
                <w:szCs w:val="20"/>
                <w:color w:val="auto"/>
              </w:rPr>
            </w:pPr>
            <w:r>
              <w:rPr>
                <w:rFonts w:ascii="Arial" w:cs="Arial" w:eastAsia="Arial" w:hAnsi="Arial"/>
                <w:sz w:val="16"/>
                <w:szCs w:val="16"/>
                <w:b w:val="1"/>
                <w:bCs w:val="1"/>
                <w:color w:val="auto"/>
              </w:rPr>
              <w:t>79701</w:t>
            </w:r>
          </w:p>
        </w:tc>
        <w:tc>
          <w:tcPr>
            <w:tcW w:w="0" w:type="dxa"/>
            <w:vAlign w:val="bottom"/>
          </w:tcPr>
          <w:p>
            <w:pPr>
              <w:spacing w:after="0"/>
              <w:rPr>
                <w:sz w:val="1"/>
                <w:szCs w:val="1"/>
                <w:color w:val="auto"/>
              </w:rPr>
            </w:pPr>
          </w:p>
        </w:tc>
      </w:tr>
      <w:tr>
        <w:trPr>
          <w:trHeight w:val="108"/>
        </w:trPr>
        <w:tc>
          <w:tcPr>
            <w:tcW w:w="3780" w:type="dxa"/>
            <w:vAlign w:val="bottom"/>
            <w:vMerge w:val="continue"/>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3780" w:type="dxa"/>
            <w:vAlign w:val="bottom"/>
          </w:tcPr>
          <w:p>
            <w:pPr>
              <w:jc w:val="center"/>
              <w:ind w:right="76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40" w:type="dxa"/>
            <w:vAlign w:val="bottom"/>
          </w:tcPr>
          <w:p>
            <w:pPr>
              <w:jc w:val="center"/>
              <w:ind w:left="764"/>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bl>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(432) 221-7400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pacing w:after="0" w:line="133" w:lineRule="exact"/>
        <w:rPr>
          <w:sz w:val="24"/>
          <w:szCs w:val="24"/>
          <w:color w:val="auto"/>
        </w:rPr>
      </w:pPr>
    </w:p>
    <w:tbl>
      <w:tblPr>
        <w:tblLayout w:type="fixed"/>
        <w:tblInd w:w="2820" w:type="dxa"/>
        <w:tblCellMar>
          <w:top w:w="0" w:type="dxa"/>
          <w:left w:w="0" w:type="dxa"/>
          <w:bottom w:w="0" w:type="dxa"/>
          <w:right w:w="0" w:type="dxa"/>
        </w:tblCellMar>
      </w:tblPr>
      <w:tr>
        <w:trPr>
          <w:trHeight w:val="184"/>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520" w:type="dxa"/>
            <w:vAlign w:val="bottom"/>
          </w:tcPr>
          <w:p>
            <w:pPr>
              <w:spacing w:after="0"/>
              <w:rPr>
                <w:sz w:val="16"/>
                <w:szCs w:val="16"/>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30"/>
        </w:trPr>
        <w:tc>
          <w:tcPr>
            <w:tcW w:w="1640" w:type="dxa"/>
            <w:vAlign w:val="bottom"/>
            <w:gridSpan w:val="2"/>
          </w:tcPr>
          <w:p>
            <w:pPr>
              <w:jc w:val="center"/>
              <w:ind w:right="440"/>
              <w:spacing w:after="0"/>
              <w:rPr>
                <w:sz w:val="20"/>
                <w:szCs w:val="20"/>
                <w:color w:val="auto"/>
              </w:rPr>
            </w:pPr>
            <w:r>
              <w:rPr>
                <w:rFonts w:ascii="Arial" w:cs="Arial" w:eastAsia="Arial" w:hAnsi="Arial"/>
                <w:sz w:val="16"/>
                <w:szCs w:val="16"/>
                <w:color w:val="auto"/>
                <w:w w:val="94"/>
              </w:rPr>
              <w:t>Common Units</w:t>
            </w:r>
          </w:p>
        </w:tc>
        <w:tc>
          <w:tcPr>
            <w:tcW w:w="420" w:type="dxa"/>
            <w:vAlign w:val="bottom"/>
          </w:tcPr>
          <w:p>
            <w:pPr>
              <w:spacing w:after="0"/>
              <w:rPr>
                <w:sz w:val="20"/>
                <w:szCs w:val="20"/>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6"/>
                <w:szCs w:val="16"/>
                <w:color w:val="auto"/>
              </w:rPr>
              <w:t>VNOM</w:t>
            </w:r>
          </w:p>
        </w:tc>
        <w:tc>
          <w:tcPr>
            <w:tcW w:w="300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16"/>
        </w:trPr>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311"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2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100" w:type="dxa"/>
            <w:vAlign w:val="bottom"/>
          </w:tcPr>
          <w:p>
            <w:pPr>
              <w:ind w:left="198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8"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4" w:lineRule="exact"/>
        <w:rPr>
          <w:sz w:val="24"/>
          <w:szCs w:val="24"/>
          <w:color w:val="auto"/>
        </w:rPr>
      </w:pPr>
    </w:p>
    <w:p>
      <w:pPr>
        <w:spacing w:after="0" w:line="161"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71" w:lineRule="exact"/>
        <w:rPr>
          <w:sz w:val="24"/>
          <w:szCs w:val="24"/>
          <w:color w:val="auto"/>
        </w:rPr>
      </w:pPr>
    </w:p>
    <w:p>
      <w:pPr>
        <w:spacing w:after="0"/>
        <w:rPr>
          <w:sz w:val="20"/>
          <w:szCs w:val="20"/>
          <w:color w:val="auto"/>
        </w:rPr>
      </w:pPr>
      <w:r>
        <w:rPr>
          <w:rFonts w:ascii="Arial" w:cs="Arial" w:eastAsia="Arial" w:hAnsi="Arial"/>
          <w:sz w:val="13"/>
          <w:szCs w:val="13"/>
          <w:color w:val="auto"/>
        </w:rPr>
        <w:t>As of July 30, 2021, the registrant had outstanding 64,301,306 common units representing limited partner interests and 90,709,946 Class B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30, 2021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5"/>
              </w:rPr>
              <w:t>Page</w:t>
            </w:r>
          </w:p>
        </w:tc>
      </w:tr>
      <w:tr>
        <w:trPr>
          <w:trHeight w:val="189"/>
        </w:trPr>
        <w:tc>
          <w:tcPr>
            <w:tcW w:w="20" w:type="dxa"/>
            <w:vAlign w:val="bottom"/>
            <w:shd w:val="clear" w:color="auto" w:fill="CCEEFF"/>
          </w:tcPr>
          <w:p>
            <w:pPr>
              <w:spacing w:after="0"/>
              <w:rPr>
                <w:sz w:val="16"/>
                <w:szCs w:val="16"/>
                <w:color w:val="auto"/>
              </w:rPr>
            </w:pPr>
          </w:p>
        </w:tc>
        <w:tc>
          <w:tcPr>
            <w:tcW w:w="10540" w:type="dxa"/>
            <w:vAlign w:val="bottom"/>
            <w:gridSpan w:val="23"/>
            <w:shd w:val="clear" w:color="auto" w:fill="CCEEFF"/>
          </w:tcPr>
          <w:p>
            <w:pPr>
              <w:spacing w:after="0" w:line="149" w:lineRule="exact"/>
              <w:rPr>
                <w:rFonts w:ascii="Arial" w:cs="Arial" w:eastAsia="Arial" w:hAnsi="Arial"/>
                <w:sz w:val="17"/>
                <w:szCs w:val="17"/>
                <w:color w:val="0000FF"/>
              </w:rPr>
            </w:pPr>
            <w:hyperlink w:anchor="page2">
              <w:r>
                <w:rPr>
                  <w:rFonts w:ascii="Arial" w:cs="Arial" w:eastAsia="Arial" w:hAnsi="Arial"/>
                  <w:sz w:val="17"/>
                  <w:szCs w:val="17"/>
                  <w:color w:val="0000FF"/>
                </w:rPr>
                <w:t>Glossary of Oil and Natural Gas Terms</w:t>
              </w:r>
            </w:hyperlink>
          </w:p>
        </w:tc>
        <w:tc>
          <w:tcPr>
            <w:tcW w:w="280" w:type="dxa"/>
            <w:vAlign w:val="bottom"/>
            <w:tcBorders>
              <w:right w:val="single" w:sz="8" w:color="CCEEFF"/>
            </w:tcBorders>
            <w:shd w:val="clear" w:color="auto" w:fill="CCEEFF"/>
          </w:tcPr>
          <w:p>
            <w:pPr>
              <w:spacing w:after="0"/>
              <w:rPr>
                <w:sz w:val="16"/>
                <w:szCs w:val="16"/>
                <w:color w:val="auto"/>
              </w:rPr>
            </w:pPr>
          </w:p>
        </w:tc>
        <w:tc>
          <w:tcPr>
            <w:tcW w:w="380" w:type="dxa"/>
            <w:vAlign w:val="bottom"/>
            <w:gridSpan w:val="2"/>
            <w:shd w:val="clear" w:color="auto" w:fill="CCEEFF"/>
          </w:tcPr>
          <w:p>
            <w:pPr>
              <w:jc w:val="center"/>
              <w:ind w:right="280"/>
              <w:spacing w:after="0" w:line="156" w:lineRule="exact"/>
              <w:rPr>
                <w:rFonts w:ascii="Arial" w:cs="Arial" w:eastAsia="Arial" w:hAnsi="Arial"/>
                <w:sz w:val="18"/>
                <w:szCs w:val="18"/>
                <w:color w:val="0000FF"/>
              </w:rPr>
            </w:pPr>
            <w:hyperlink w:anchor="page2">
              <w:r>
                <w:rPr>
                  <w:rFonts w:ascii="Arial" w:cs="Arial" w:eastAsia="Arial" w:hAnsi="Arial"/>
                  <w:sz w:val="18"/>
                  <w:szCs w:val="18"/>
                  <w:color w:val="0000FF"/>
                </w:rPr>
                <w:t>ii</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gridSpan w:val="8"/>
          </w:tcPr>
          <w:p>
            <w:pPr>
              <w:spacing w:after="0" w:line="183" w:lineRule="exact"/>
              <w:rPr>
                <w:rFonts w:ascii="Arial" w:cs="Arial" w:eastAsia="Arial" w:hAnsi="Arial"/>
                <w:sz w:val="18"/>
                <w:szCs w:val="18"/>
                <w:color w:val="0000FF"/>
              </w:rPr>
            </w:pPr>
            <w:hyperlink w:anchor="page3">
              <w:r>
                <w:rPr>
                  <w:rFonts w:ascii="Arial" w:cs="Arial" w:eastAsia="Arial" w:hAnsi="Arial"/>
                  <w:sz w:val="18"/>
                  <w:szCs w:val="18"/>
                  <w:color w:val="0000FF"/>
                </w:rPr>
                <w:t>Glossary of Certain Other Terms</w:t>
              </w:r>
            </w:hyperlink>
          </w:p>
        </w:tc>
        <w:tc>
          <w:tcPr>
            <w:tcW w:w="7720" w:type="dxa"/>
            <w:vAlign w:val="bottom"/>
            <w:gridSpan w:val="15"/>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2"/>
          </w:tcPr>
          <w:p>
            <w:pPr>
              <w:jc w:val="center"/>
              <w:ind w:right="260"/>
              <w:spacing w:after="0" w:line="183"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iii</w:t>
              </w:r>
            </w:hyperlink>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Cautionary Statement Regarding Forward-Looking Statements</w:t>
              </w:r>
            </w:hyperlink>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center"/>
              <w:ind w:right="260"/>
              <w:spacing w:after="0" w:line="189"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iv</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960" w:type="dxa"/>
            <w:vAlign w:val="bottom"/>
            <w:gridSpan w:val="14"/>
            <w:shd w:val="clear" w:color="auto" w:fill="CCEEFF"/>
          </w:tcPr>
          <w:p>
            <w:pPr>
              <w:jc w:val="center"/>
              <w:ind w:right="2940"/>
              <w:spacing w:after="0" w:line="189" w:lineRule="exact"/>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 FINANCIAL INFORMATION</w:t>
              </w:r>
            </w:hyperlink>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Item 1. Condensed Consolidated Financial Statements (Unaudited)</w:t>
              </w:r>
            </w:hyperlink>
          </w:p>
        </w:tc>
        <w:tc>
          <w:tcPr>
            <w:tcW w:w="420" w:type="dxa"/>
            <w:vAlign w:val="bottom"/>
            <w:gridSpan w:val="2"/>
          </w:tcPr>
          <w:p>
            <w:pPr>
              <w:jc w:val="center"/>
              <w:ind w:left="130"/>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0000FF"/>
            </w:tcBorders>
            <w:gridSpan w:val="8"/>
            <w:shd w:val="clear" w:color="auto" w:fill="CCEEFF"/>
          </w:tcPr>
          <w:p>
            <w:pPr>
              <w:spacing w:after="0" w:line="182" w:lineRule="exact"/>
              <w:rPr>
                <w:rFonts w:ascii="Arial" w:cs="Arial" w:eastAsia="Arial" w:hAnsi="Arial"/>
                <w:sz w:val="18"/>
                <w:szCs w:val="18"/>
                <w:color w:val="0000FF"/>
                <w:w w:val="87"/>
              </w:rPr>
            </w:pPr>
            <w:hyperlink w:anchor="page7">
              <w:r>
                <w:rPr>
                  <w:rFonts w:ascii="Arial" w:cs="Arial" w:eastAsia="Arial" w:hAnsi="Arial"/>
                  <w:sz w:val="18"/>
                  <w:szCs w:val="18"/>
                  <w:color w:val="0000FF"/>
                  <w:w w:val="87"/>
                </w:rPr>
                <w:t>Condensed Consolidated Balance Sheets</w:t>
              </w:r>
            </w:hyperlink>
          </w:p>
        </w:tc>
        <w:tc>
          <w:tcPr>
            <w:tcW w:w="62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gridSpan w:val="2"/>
            <w:shd w:val="clear" w:color="auto" w:fill="CCEEFF"/>
          </w:tcPr>
          <w:p>
            <w:pPr>
              <w:spacing w:after="0"/>
              <w:rPr>
                <w:sz w:val="19"/>
                <w:szCs w:val="19"/>
                <w:color w:val="auto"/>
              </w:rPr>
            </w:pPr>
          </w:p>
        </w:tc>
        <w:tc>
          <w:tcPr>
            <w:tcW w:w="420" w:type="dxa"/>
            <w:vAlign w:val="bottom"/>
            <w:tcBorders>
              <w:bottom w:val="single" w:sz="8" w:color="CCEEFF"/>
              <w:right w:val="single" w:sz="8" w:color="CCEEFF"/>
            </w:tcBorders>
            <w:gridSpan w:val="2"/>
            <w:shd w:val="clear" w:color="auto" w:fill="CCEEFF"/>
          </w:tcPr>
          <w:p>
            <w:pPr>
              <w:jc w:val="center"/>
              <w:ind w:left="130"/>
              <w:spacing w:after="0" w:line="196"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240" w:type="dxa"/>
            <w:vAlign w:val="bottom"/>
            <w:tcBorders>
              <w:bottom w:val="single" w:sz="8" w:color="CCEEFF"/>
            </w:tcBorders>
            <w:shd w:val="clear" w:color="auto" w:fill="CCEEFF"/>
          </w:tcPr>
          <w:p>
            <w:pPr>
              <w:spacing w:after="0"/>
              <w:rPr>
                <w:sz w:val="19"/>
                <w:szCs w:val="19"/>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0000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80" w:type="dxa"/>
            <w:vAlign w:val="bottom"/>
            <w:gridSpan w:val="22"/>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Operations</w:t>
              </w:r>
            </w:hyperlink>
          </w:p>
        </w:tc>
        <w:tc>
          <w:tcPr>
            <w:tcW w:w="420" w:type="dxa"/>
            <w:vAlign w:val="bottom"/>
            <w:gridSpan w:val="2"/>
          </w:tcPr>
          <w:p>
            <w:pPr>
              <w:jc w:val="center"/>
              <w:ind w:left="130"/>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2</w:t>
              </w:r>
            </w:hyperlink>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80" w:type="dxa"/>
            <w:vAlign w:val="bottom"/>
            <w:gridSpan w:val="22"/>
            <w:shd w:val="clear" w:color="auto" w:fill="CCEEFF"/>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Changes to Unitholders’ Equity</w:t>
              </w:r>
            </w:hyperlink>
          </w:p>
        </w:tc>
        <w:tc>
          <w:tcPr>
            <w:tcW w:w="420" w:type="dxa"/>
            <w:vAlign w:val="bottom"/>
            <w:tcBorders>
              <w:right w:val="single" w:sz="8" w:color="CCEEFF"/>
            </w:tcBorders>
            <w:gridSpan w:val="2"/>
            <w:shd w:val="clear" w:color="auto" w:fill="CCEEFF"/>
          </w:tcPr>
          <w:p>
            <w:pPr>
              <w:jc w:val="center"/>
              <w:ind w:left="130"/>
              <w:spacing w:after="0" w:line="189"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3</w:t>
              </w:r>
            </w:hyperlink>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140" w:type="dxa"/>
            <w:vAlign w:val="bottom"/>
            <w:gridSpan w:val="18"/>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Cash Flows</w:t>
              </w:r>
            </w:hyperlink>
          </w:p>
        </w:tc>
        <w:tc>
          <w:tcPr>
            <w:tcW w:w="4740" w:type="dxa"/>
            <w:vAlign w:val="bottom"/>
            <w:gridSpan w:val="4"/>
          </w:tcPr>
          <w:p>
            <w:pPr>
              <w:spacing w:after="0"/>
              <w:rPr>
                <w:sz w:val="16"/>
                <w:szCs w:val="16"/>
                <w:color w:val="auto"/>
              </w:rPr>
            </w:pPr>
          </w:p>
        </w:tc>
        <w:tc>
          <w:tcPr>
            <w:tcW w:w="420" w:type="dxa"/>
            <w:vAlign w:val="bottom"/>
            <w:gridSpan w:val="2"/>
          </w:tcPr>
          <w:p>
            <w:pPr>
              <w:jc w:val="center"/>
              <w:ind w:left="130"/>
              <w:spacing w:after="0" w:line="189"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5</w:t>
              </w:r>
            </w:hyperlink>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80" w:type="dxa"/>
            <w:vAlign w:val="bottom"/>
            <w:gridSpan w:val="22"/>
            <w:shd w:val="clear" w:color="auto" w:fill="CCEEFF"/>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Condensed Notes to Consolidated Financial Statements</w:t>
              </w:r>
            </w:hyperlink>
          </w:p>
        </w:tc>
        <w:tc>
          <w:tcPr>
            <w:tcW w:w="420" w:type="dxa"/>
            <w:vAlign w:val="bottom"/>
            <w:tcBorders>
              <w:right w:val="single" w:sz="8" w:color="CCEEFF"/>
            </w:tcBorders>
            <w:gridSpan w:val="2"/>
            <w:shd w:val="clear" w:color="auto" w:fill="CCEEFF"/>
          </w:tcPr>
          <w:p>
            <w:pPr>
              <w:jc w:val="center"/>
              <w:ind w:left="130"/>
              <w:spacing w:after="0" w:line="189"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6</w:t>
              </w:r>
            </w:hyperlink>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Item 2. Management’s Discussion and Analysis of Financial Condition and Results of Operations</w:t>
              </w:r>
            </w:hyperlink>
          </w:p>
        </w:tc>
        <w:tc>
          <w:tcPr>
            <w:tcW w:w="660" w:type="dxa"/>
            <w:vAlign w:val="bottom"/>
            <w:gridSpan w:val="3"/>
            <w:shd w:val="clear" w:color="auto" w:fill="CCEEFF"/>
          </w:tcPr>
          <w:p>
            <w:pPr>
              <w:jc w:val="center"/>
              <w:spacing w:after="0" w:line="189"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17</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900" w:type="dxa"/>
            <w:vAlign w:val="bottom"/>
            <w:tcBorders>
              <w:top w:val="single" w:sz="8" w:color="0000FF"/>
            </w:tcBorders>
          </w:tcPr>
          <w:p>
            <w:pPr>
              <w:spacing w:after="0"/>
              <w:rPr>
                <w:sz w:val="23"/>
                <w:szCs w:val="23"/>
                <w:color w:val="auto"/>
              </w:rPr>
            </w:pPr>
          </w:p>
        </w:tc>
        <w:tc>
          <w:tcPr>
            <w:tcW w:w="1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Item 3. Quantitative and Qualitative Disclosures about Market Risk</w:t>
              </w:r>
            </w:hyperlink>
          </w:p>
        </w:tc>
        <w:tc>
          <w:tcPr>
            <w:tcW w:w="660" w:type="dxa"/>
            <w:vAlign w:val="bottom"/>
            <w:gridSpan w:val="3"/>
            <w:shd w:val="clear" w:color="auto" w:fill="CCEEFF"/>
          </w:tcPr>
          <w:p>
            <w:pPr>
              <w:jc w:val="center"/>
              <w:spacing w:after="0" w:line="189"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26</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Item 4. Controls and Procedures</w:t>
              </w:r>
            </w:hyperlink>
          </w:p>
        </w:tc>
        <w:tc>
          <w:tcPr>
            <w:tcW w:w="660" w:type="dxa"/>
            <w:vAlign w:val="bottom"/>
            <w:gridSpan w:val="3"/>
            <w:shd w:val="clear" w:color="auto" w:fill="CCEEFF"/>
          </w:tcPr>
          <w:p>
            <w:pPr>
              <w:jc w:val="center"/>
              <w:spacing w:after="0" w:line="189"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27</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0000FF"/>
            </w:tcBorders>
            <w:gridSpan w:val="9"/>
            <w:shd w:val="clear" w:color="auto" w:fill="CCEEFF"/>
          </w:tcPr>
          <w:p>
            <w:pPr>
              <w:jc w:val="center"/>
              <w:spacing w:after="0" w:line="189" w:lineRule="exact"/>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 OTHER INFORMATION</w:t>
              </w:r>
            </w:hyperlink>
          </w:p>
        </w:tc>
        <w:tc>
          <w:tcPr>
            <w:tcW w:w="3560" w:type="dxa"/>
            <w:vAlign w:val="bottom"/>
            <w:tcBorders>
              <w:bottom w:val="single" w:sz="8" w:color="CCEEFF"/>
            </w:tcBorders>
            <w:gridSpan w:val="3"/>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Item 1. Legal Proceedings</w:t>
              </w:r>
            </w:hyperlink>
          </w:p>
        </w:tc>
        <w:tc>
          <w:tcPr>
            <w:tcW w:w="660" w:type="dxa"/>
            <w:vAlign w:val="bottom"/>
            <w:gridSpan w:val="3"/>
          </w:tcPr>
          <w:p>
            <w:pPr>
              <w:jc w:val="center"/>
              <w:spacing w:after="0" w:line="189"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27</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Item 1A. Risk Factors</w:t>
              </w:r>
            </w:hyperlink>
          </w:p>
        </w:tc>
        <w:tc>
          <w:tcPr>
            <w:tcW w:w="660" w:type="dxa"/>
            <w:vAlign w:val="bottom"/>
            <w:gridSpan w:val="3"/>
          </w:tcPr>
          <w:p>
            <w:pPr>
              <w:jc w:val="center"/>
              <w:spacing w:after="0" w:line="189"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27</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Item 2. Unregistered Sales of Equity Securities and Use of Proceeds</w:t>
              </w:r>
            </w:hyperlink>
          </w:p>
        </w:tc>
        <w:tc>
          <w:tcPr>
            <w:tcW w:w="660" w:type="dxa"/>
            <w:vAlign w:val="bottom"/>
            <w:gridSpan w:val="3"/>
          </w:tcPr>
          <w:p>
            <w:pPr>
              <w:jc w:val="center"/>
              <w:spacing w:after="0" w:line="189"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28</w:t>
              </w:r>
            </w:hyperlink>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Item 6. Exhibits</w:t>
              </w:r>
            </w:hyperlink>
          </w:p>
        </w:tc>
        <w:tc>
          <w:tcPr>
            <w:tcW w:w="660" w:type="dxa"/>
            <w:vAlign w:val="bottom"/>
            <w:gridSpan w:val="3"/>
          </w:tcPr>
          <w:p>
            <w:pPr>
              <w:jc w:val="center"/>
              <w:spacing w:after="0" w:line="189"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29</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Signatures</w:t>
              </w:r>
            </w:hyperlink>
          </w:p>
        </w:tc>
        <w:tc>
          <w:tcPr>
            <w:tcW w:w="660" w:type="dxa"/>
            <w:vAlign w:val="bottom"/>
            <w:gridSpan w:val="3"/>
          </w:tcPr>
          <w:p>
            <w:pPr>
              <w:jc w:val="center"/>
              <w:spacing w:after="0" w:line="189"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30</w:t>
              </w:r>
            </w:hyperlink>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8780" w:type="dxa"/>
            <w:vAlign w:val="bottom"/>
          </w:tcPr>
          <w:p>
            <w:pPr>
              <w:ind w:left="1120"/>
              <w:spacing w:after="0"/>
              <w:rPr>
                <w:sz w:val="20"/>
                <w:szCs w:val="20"/>
                <w:color w:val="auto"/>
              </w:rPr>
            </w:pPr>
            <w:r>
              <w:rPr>
                <w:rFonts w:ascii="Arial" w:cs="Arial" w:eastAsia="Arial" w:hAnsi="Arial"/>
                <w:sz w:val="18"/>
                <w:szCs w:val="18"/>
                <w:b w:val="1"/>
                <w:bCs w:val="1"/>
                <w:color w:val="auto"/>
              </w:rPr>
              <w:t>GLOSSARY OF OIL AND NATURAL GAS TERMS</w:t>
            </w: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oil and natural gas terms that are used in this Quarterly Report on Form 10-Q (this “report”):</w:t>
            </w:r>
          </w:p>
        </w:tc>
      </w:tr>
      <w:tr>
        <w:trPr>
          <w:trHeight w:val="122"/>
        </w:trPr>
        <w:tc>
          <w:tcPr>
            <w:tcW w:w="244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tcPr>
          <w:p>
            <w:pPr>
              <w:spacing w:after="0"/>
              <w:rPr>
                <w:sz w:val="10"/>
                <w:szCs w:val="10"/>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Basin</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Bbl or barrel</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4"/>
              </w:rPr>
              <w:t>One stock tank barrel, or 42 U.S. gallons liquid volume, used in this report in reference to crude oil or other liquid</w:t>
            </w:r>
          </w:p>
        </w:tc>
      </w:tr>
      <w:tr>
        <w:trPr>
          <w:trHeight w:val="229"/>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hydrocarbons.</w:t>
            </w: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One barrel of oil.</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BO/d</w:t>
            </w:r>
          </w:p>
        </w:tc>
        <w:tc>
          <w:tcPr>
            <w:tcW w:w="8780" w:type="dxa"/>
            <w:vAlign w:val="bottom"/>
          </w:tcPr>
          <w:p>
            <w:pPr>
              <w:ind w:left="280"/>
              <w:spacing w:after="0"/>
              <w:rPr>
                <w:sz w:val="20"/>
                <w:szCs w:val="20"/>
                <w:color w:val="auto"/>
              </w:rPr>
            </w:pPr>
            <w:r>
              <w:rPr>
                <w:rFonts w:ascii="Arial" w:cs="Arial" w:eastAsia="Arial" w:hAnsi="Arial"/>
                <w:sz w:val="18"/>
                <w:szCs w:val="18"/>
                <w:color w:val="auto"/>
              </w:rPr>
              <w:t>BO per day.</w:t>
            </w: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One barrel of oil equivalent, with six thousand cubic feet of natural gas being equivalent to one barrel of oil.</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BOE/d</w:t>
            </w:r>
          </w:p>
        </w:tc>
        <w:tc>
          <w:tcPr>
            <w:tcW w:w="8780" w:type="dxa"/>
            <w:vAlign w:val="bottom"/>
          </w:tcPr>
          <w:p>
            <w:pPr>
              <w:ind w:left="280"/>
              <w:spacing w:after="0"/>
              <w:rPr>
                <w:sz w:val="20"/>
                <w:szCs w:val="20"/>
                <w:color w:val="auto"/>
              </w:rPr>
            </w:pPr>
            <w:r>
              <w:rPr>
                <w:rFonts w:ascii="Arial" w:cs="Arial" w:eastAsia="Arial" w:hAnsi="Arial"/>
                <w:sz w:val="18"/>
                <w:szCs w:val="18"/>
                <w:color w:val="auto"/>
              </w:rPr>
              <w:t>BOE per day.</w:t>
            </w: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Thermal Unit or Btu</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quantity of heat required to raise the temperature of one pound of water by one degree Fahrenheit.</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Condensate</w:t>
            </w:r>
          </w:p>
        </w:tc>
        <w:tc>
          <w:tcPr>
            <w:tcW w:w="8780" w:type="dxa"/>
            <w:vAlign w:val="bottom"/>
          </w:tcPr>
          <w:p>
            <w:pPr>
              <w:ind w:left="280"/>
              <w:spacing w:after="0"/>
              <w:rPr>
                <w:sz w:val="20"/>
                <w:szCs w:val="20"/>
                <w:color w:val="auto"/>
              </w:rPr>
            </w:pPr>
            <w:r>
              <w:rPr>
                <w:rFonts w:ascii="Arial" w:cs="Arial" w:eastAsia="Arial" w:hAnsi="Arial"/>
                <w:sz w:val="18"/>
                <w:szCs w:val="18"/>
                <w:color w:val="auto"/>
              </w:rPr>
              <w:t>Liquid hydrocarbons associated with the production of a primarily natural gas reserve.</w:t>
            </w: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Horizontal wells</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Wells drilled directionally horizontal to allow for development of structures not reachable through traditional vertical</w:t>
            </w:r>
          </w:p>
        </w:tc>
      </w:tr>
      <w:tr>
        <w:trPr>
          <w:trHeight w:val="229"/>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drilling mechanisms.</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MBbls</w:t>
            </w:r>
          </w:p>
        </w:tc>
        <w:tc>
          <w:tcPr>
            <w:tcW w:w="8780" w:type="dxa"/>
            <w:vAlign w:val="bottom"/>
          </w:tcPr>
          <w:p>
            <w:pPr>
              <w:ind w:left="280"/>
              <w:spacing w:after="0"/>
              <w:rPr>
                <w:sz w:val="20"/>
                <w:szCs w:val="20"/>
                <w:color w:val="auto"/>
              </w:rPr>
            </w:pPr>
            <w:r>
              <w:rPr>
                <w:rFonts w:ascii="Arial" w:cs="Arial" w:eastAsia="Arial" w:hAnsi="Arial"/>
                <w:sz w:val="18"/>
                <w:szCs w:val="18"/>
                <w:color w:val="auto"/>
              </w:rPr>
              <w:t>Thousand barrels of crude oil or other liquid hydrocarbons.</w:t>
            </w: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MBOE</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One thousand barrels of crude oil equivalent, determined using a ratio of six Mcf of natural gas to one Bbl of crude</w:t>
            </w:r>
          </w:p>
        </w:tc>
      </w:tr>
      <w:tr>
        <w:trPr>
          <w:trHeight w:val="230"/>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oil, condensate or natural gas liquids.</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Mcf</w:t>
            </w:r>
          </w:p>
        </w:tc>
        <w:tc>
          <w:tcPr>
            <w:tcW w:w="8780" w:type="dxa"/>
            <w:vAlign w:val="bottom"/>
          </w:tcPr>
          <w:p>
            <w:pPr>
              <w:ind w:left="280"/>
              <w:spacing w:after="0"/>
              <w:rPr>
                <w:sz w:val="20"/>
                <w:szCs w:val="20"/>
                <w:color w:val="auto"/>
              </w:rPr>
            </w:pPr>
            <w:r>
              <w:rPr>
                <w:rFonts w:ascii="Arial" w:cs="Arial" w:eastAsia="Arial" w:hAnsi="Arial"/>
                <w:sz w:val="18"/>
                <w:szCs w:val="18"/>
                <w:color w:val="auto"/>
              </w:rPr>
              <w:t>One thousand cubic feet of natural gas.</w:t>
            </w: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Mineral interests</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The interests in ownership of the resource and mineral rights, giving an owner the right to profit from the extracted</w:t>
            </w:r>
          </w:p>
        </w:tc>
      </w:tr>
      <w:tr>
        <w:trPr>
          <w:trHeight w:val="229"/>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resources.</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MMBtu</w:t>
            </w:r>
          </w:p>
        </w:tc>
        <w:tc>
          <w:tcPr>
            <w:tcW w:w="8780" w:type="dxa"/>
            <w:vAlign w:val="bottom"/>
          </w:tcPr>
          <w:p>
            <w:pPr>
              <w:ind w:left="280"/>
              <w:spacing w:after="0"/>
              <w:rPr>
                <w:sz w:val="20"/>
                <w:szCs w:val="20"/>
                <w:color w:val="auto"/>
              </w:rPr>
            </w:pPr>
            <w:r>
              <w:rPr>
                <w:rFonts w:ascii="Arial" w:cs="Arial" w:eastAsia="Arial" w:hAnsi="Arial"/>
                <w:sz w:val="18"/>
                <w:szCs w:val="18"/>
                <w:color w:val="auto"/>
              </w:rPr>
              <w:t>One million British Thermal Units.</w:t>
            </w: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royalty acres</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acreage multiplied by the average royalty interest.</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Oil and natural gas properties</w:t>
            </w:r>
          </w:p>
        </w:tc>
        <w:tc>
          <w:tcPr>
            <w:tcW w:w="8780" w:type="dxa"/>
            <w:vAlign w:val="bottom"/>
          </w:tcPr>
          <w:p>
            <w:pPr>
              <w:ind w:left="28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Operator</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The individual or company responsible for the exploration and/or production of an oil or natural gas well or lease.</w:t>
            </w:r>
          </w:p>
        </w:tc>
      </w:tr>
      <w:tr>
        <w:trPr>
          <w:trHeight w:val="175"/>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Prospect</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4"/>
              </w:rPr>
              <w:t>A specific geographic area which, based on supporting geological, geophysical or other data and also preliminary</w:t>
            </w:r>
          </w:p>
        </w:tc>
      </w:tr>
      <w:tr>
        <w:trPr>
          <w:trHeight w:val="176"/>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3"/>
              </w:rPr>
              <w:t>economic analysis using reasonably anticipated prices and costs, is deemed to have potential for the discovery of</w:t>
            </w:r>
          </w:p>
        </w:tc>
      </w:tr>
      <w:tr>
        <w:trPr>
          <w:trHeight w:val="229"/>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commercial hydrocarbons.</w:t>
            </w: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Proved reserves</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0"/>
              </w:rPr>
              <w:t>The estimated quantities of oil, natural gas and natural gas liquids which geological and engineering data demonstrate</w:t>
            </w:r>
          </w:p>
        </w:tc>
      </w:tr>
      <w:tr>
        <w:trPr>
          <w:trHeight w:val="175"/>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7"/>
              </w:rPr>
              <w:t>with reasonable certainty to be commercially recoverable in future years from known reservoirs under existing</w:t>
            </w:r>
          </w:p>
        </w:tc>
      </w:tr>
      <w:tr>
        <w:trPr>
          <w:trHeight w:val="229"/>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economic and operating conditions.</w:t>
            </w: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Reserves</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5"/>
              </w:rPr>
              <w:t>The estimated remaining quantities of oil and natural gas and related substances anticipated to be economically</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5"/>
              </w:rPr>
              <w:t>producible, as of a given date, by application of development projects to known accumulations. In addition, there</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4"/>
              </w:rPr>
              <w:t>must exist, or there must be a reasonable expectation that there will exist, the legal right to produce or a revenue</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1"/>
              </w:rPr>
              <w:t>interest in the production, installed means of delivering oil and natural gas or related substances to the market and all</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1"/>
              </w:rPr>
              <w:t>permits and financing required to implement the project. Reserves are not assigned to adjacent reservoirs isolated by</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5"/>
              </w:rPr>
              <w:t>major, potentially sealing, faults until those reservoirs are penetrated and evaluated as economically producible.</w:t>
            </w:r>
          </w:p>
        </w:tc>
      </w:tr>
      <w:tr>
        <w:trPr>
          <w:trHeight w:val="176"/>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1"/>
              </w:rPr>
              <w:t>Reserves should not be assigned to areas that are clearly separated from a known accumulation by a non-productive</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6"/>
              </w:rPr>
              <w:t>reservoir (i.e., absence of reservoir, structurally low reservoir or negative test results). Such areas may contain</w:t>
            </w:r>
          </w:p>
        </w:tc>
      </w:tr>
      <w:tr>
        <w:trPr>
          <w:trHeight w:val="230"/>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prospective resources (i.e., potentially recoverable resources from undiscovered accumulations).</w:t>
            </w: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Reservoir</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2"/>
              </w:rPr>
              <w:t>A porous and permeable underground formation containing a natural accumulation of producible natural gas and/or</w:t>
            </w:r>
          </w:p>
        </w:tc>
      </w:tr>
      <w:tr>
        <w:trPr>
          <w:trHeight w:val="229"/>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crude oil that is confined by impermeable rock or water barriers and is separate from other reservoirs.</w:t>
            </w: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Royalty interest</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1"/>
              </w:rPr>
              <w:t>An interest that gives an owner the right to receive a portion of the resources or revenues without having to carry any</w:t>
            </w:r>
          </w:p>
        </w:tc>
      </w:tr>
      <w:tr>
        <w:trPr>
          <w:trHeight w:val="229"/>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costs of development, which may be subject to expiration.</w:t>
            </w: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Spud</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Commencement of actual drilling operations.</w:t>
            </w:r>
          </w:p>
        </w:tc>
      </w:tr>
      <w:tr>
        <w:trPr>
          <w:trHeight w:val="230"/>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WTI</w:t>
            </w:r>
          </w:p>
        </w:tc>
        <w:tc>
          <w:tcPr>
            <w:tcW w:w="87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West Texas Intermediate.</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9120" w:type="dxa"/>
            <w:vAlign w:val="bottom"/>
          </w:tcPr>
          <w:p>
            <w:pPr>
              <w:ind w:left="176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08"/>
        </w:trPr>
        <w:tc>
          <w:tcPr>
            <w:tcW w:w="2100" w:type="dxa"/>
            <w:vAlign w:val="bottom"/>
            <w:tcBorders>
              <w:bottom w:val="single" w:sz="8" w:color="auto"/>
            </w:tcBorders>
          </w:tcPr>
          <w:p>
            <w:pPr>
              <w:spacing w:after="0"/>
              <w:rPr>
                <w:sz w:val="9"/>
                <w:szCs w:val="9"/>
                <w:color w:val="auto"/>
              </w:rPr>
            </w:pPr>
          </w:p>
        </w:tc>
        <w:tc>
          <w:tcPr>
            <w:tcW w:w="9120" w:type="dxa"/>
            <w:vAlign w:val="bottom"/>
            <w:tcBorders>
              <w:bottom w:val="single" w:sz="8" w:color="auto"/>
            </w:tcBorders>
          </w:tcPr>
          <w:p>
            <w:pPr>
              <w:spacing w:after="0"/>
              <w:rPr>
                <w:sz w:val="9"/>
                <w:szCs w:val="9"/>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Diamondback</w:t>
            </w:r>
          </w:p>
        </w:tc>
        <w:tc>
          <w:tcPr>
            <w:tcW w:w="9120" w:type="dxa"/>
            <w:vAlign w:val="bottom"/>
          </w:tcPr>
          <w:p>
            <w:pPr>
              <w:ind w:left="620"/>
              <w:spacing w:after="0"/>
              <w:rPr>
                <w:sz w:val="20"/>
                <w:szCs w:val="20"/>
                <w:color w:val="auto"/>
              </w:rPr>
            </w:pPr>
            <w:r>
              <w:rPr>
                <w:rFonts w:ascii="Arial" w:cs="Arial" w:eastAsia="Arial" w:hAnsi="Arial"/>
                <w:sz w:val="18"/>
                <w:szCs w:val="18"/>
                <w:color w:val="auto"/>
              </w:rPr>
              <w:t>Diamondback Energy, Inc., a Delaware corporation.</w:t>
            </w:r>
          </w:p>
        </w:tc>
      </w:tr>
      <w:tr>
        <w:trPr>
          <w:trHeight w:val="230"/>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Act</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The Securities Exchange Act of 1934, as amended.</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GAAP</w:t>
            </w:r>
          </w:p>
        </w:tc>
        <w:tc>
          <w:tcPr>
            <w:tcW w:w="9120" w:type="dxa"/>
            <w:vAlign w:val="bottom"/>
          </w:tcPr>
          <w:p>
            <w:pPr>
              <w:ind w:left="62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Partner</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4"/>
              </w:rPr>
              <w:t>Viper Energy Partners GP LLC, a Delaware limited liability company, and the General Partner of the Partnership.</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LIBOR</w:t>
            </w:r>
          </w:p>
        </w:tc>
        <w:tc>
          <w:tcPr>
            <w:tcW w:w="9120" w:type="dxa"/>
            <w:vAlign w:val="bottom"/>
          </w:tcPr>
          <w:p>
            <w:pPr>
              <w:ind w:left="620"/>
              <w:spacing w:after="0"/>
              <w:rPr>
                <w:sz w:val="20"/>
                <w:szCs w:val="20"/>
                <w:color w:val="auto"/>
              </w:rPr>
            </w:pPr>
            <w:r>
              <w:rPr>
                <w:rFonts w:ascii="Arial" w:cs="Arial" w:eastAsia="Arial" w:hAnsi="Arial"/>
                <w:sz w:val="18"/>
                <w:szCs w:val="18"/>
                <w:color w:val="auto"/>
              </w:rPr>
              <w:t>The London interbank offered rate.</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LTIP</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Viper Energy Partners LP Long Term Incentive Plan.</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NYMEX</w:t>
            </w:r>
          </w:p>
        </w:tc>
        <w:tc>
          <w:tcPr>
            <w:tcW w:w="9120" w:type="dxa"/>
            <w:vAlign w:val="bottom"/>
          </w:tcPr>
          <w:p>
            <w:pPr>
              <w:ind w:left="62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OPEC</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Organization of the Petroleum Exporting Countries.</w:t>
            </w:r>
          </w:p>
        </w:tc>
      </w:tr>
      <w:tr>
        <w:trPr>
          <w:trHeight w:val="175"/>
        </w:trPr>
        <w:tc>
          <w:tcPr>
            <w:tcW w:w="2100" w:type="dxa"/>
            <w:vAlign w:val="bottom"/>
          </w:tcPr>
          <w:p>
            <w:pPr>
              <w:ind w:left="20"/>
              <w:spacing w:after="0" w:line="176" w:lineRule="exact"/>
              <w:rPr>
                <w:sz w:val="20"/>
                <w:szCs w:val="20"/>
                <w:color w:val="auto"/>
              </w:rPr>
            </w:pPr>
            <w:r>
              <w:rPr>
                <w:rFonts w:ascii="Arial" w:cs="Arial" w:eastAsia="Arial" w:hAnsi="Arial"/>
                <w:sz w:val="18"/>
                <w:szCs w:val="18"/>
                <w:color w:val="auto"/>
              </w:rPr>
              <w:t>Operating Company</w:t>
            </w:r>
          </w:p>
        </w:tc>
        <w:tc>
          <w:tcPr>
            <w:tcW w:w="9120" w:type="dxa"/>
            <w:vAlign w:val="bottom"/>
          </w:tcPr>
          <w:p>
            <w:pPr>
              <w:ind w:left="620"/>
              <w:spacing w:after="0" w:line="176" w:lineRule="exact"/>
              <w:rPr>
                <w:sz w:val="20"/>
                <w:szCs w:val="20"/>
                <w:color w:val="auto"/>
              </w:rPr>
            </w:pPr>
            <w:r>
              <w:rPr>
                <w:rFonts w:ascii="Arial" w:cs="Arial" w:eastAsia="Arial" w:hAnsi="Arial"/>
                <w:sz w:val="18"/>
                <w:szCs w:val="18"/>
                <w:color w:val="auto"/>
                <w:w w:val="96"/>
              </w:rPr>
              <w:t>Viper Energy Partners LLC, a Delaware limited liability company and a consolidated subsidiary of Viper Energy</w:t>
            </w:r>
          </w:p>
        </w:tc>
      </w:tr>
      <w:tr>
        <w:trPr>
          <w:trHeight w:val="230"/>
        </w:trPr>
        <w:tc>
          <w:tcPr>
            <w:tcW w:w="2100" w:type="dxa"/>
            <w:vAlign w:val="bottom"/>
          </w:tcPr>
          <w:p>
            <w:pPr>
              <w:spacing w:after="0"/>
              <w:rPr>
                <w:sz w:val="19"/>
                <w:szCs w:val="19"/>
                <w:color w:val="auto"/>
              </w:rPr>
            </w:pPr>
          </w:p>
        </w:tc>
        <w:tc>
          <w:tcPr>
            <w:tcW w:w="9120" w:type="dxa"/>
            <w:vAlign w:val="bottom"/>
          </w:tcPr>
          <w:p>
            <w:pPr>
              <w:ind w:left="620"/>
              <w:spacing w:after="0"/>
              <w:rPr>
                <w:sz w:val="20"/>
                <w:szCs w:val="20"/>
                <w:color w:val="auto"/>
              </w:rPr>
            </w:pPr>
            <w:r>
              <w:rPr>
                <w:rFonts w:ascii="Arial" w:cs="Arial" w:eastAsia="Arial" w:hAnsi="Arial"/>
                <w:sz w:val="18"/>
                <w:szCs w:val="18"/>
                <w:color w:val="auto"/>
              </w:rPr>
              <w:t>Partners LP.</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SEC</w:t>
            </w:r>
          </w:p>
        </w:tc>
        <w:tc>
          <w:tcPr>
            <w:tcW w:w="9120" w:type="dxa"/>
            <w:vAlign w:val="bottom"/>
          </w:tcPr>
          <w:p>
            <w:pPr>
              <w:ind w:left="62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2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The Notes</w:t>
            </w:r>
          </w:p>
        </w:tc>
        <w:tc>
          <w:tcPr>
            <w:tcW w:w="91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The 5.375% Senior Notes due 2027 issued on October 16,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46" w:lineRule="exact"/>
        <w:rPr>
          <w:sz w:val="20"/>
          <w:szCs w:val="20"/>
          <w:color w:val="auto"/>
        </w:rPr>
      </w:pPr>
    </w:p>
    <w:p>
      <w:pPr>
        <w:jc w:val="both"/>
        <w:ind w:firstLine="648"/>
        <w:spacing w:after="0" w:line="253" w:lineRule="auto"/>
        <w:rPr>
          <w:rFonts w:ascii="Arial" w:cs="Arial" w:eastAsia="Arial" w:hAnsi="Arial"/>
          <w:sz w:val="17"/>
          <w:szCs w:val="17"/>
          <w:color w:val="auto"/>
        </w:rPr>
      </w:pPr>
      <w:r>
        <w:rPr>
          <w:rFonts w:ascii="Arial" w:cs="Arial" w:eastAsia="Arial" w:hAnsi="Arial"/>
          <w:sz w:val="17"/>
          <w:szCs w:val="17"/>
          <w:color w:val="auto"/>
        </w:rPr>
        <w:t xml:space="preserve">Various statements contained in this report are “forward-looking statements” as defined by the SEC. These forward-looking statements are subject to a number of risks, uncertainties and assumptions,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and our </w:t>
      </w:r>
      <w:hyperlink r:id="rId16">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2020 could affect our actual results and cause our actual results to differ materially from expectations, estimates or assumptions expressed, forecasted or implied in such forward-looking statements. Unless the context requires otherwise, references to “we,” “us,” “our” or “the Partnership” are intended to mean the business and operations of the Partnership and the Operating Company.</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w:t>
      </w:r>
    </w:p>
    <w:p>
      <w:pPr>
        <w:spacing w:after="0" w:line="117" w:lineRule="exact"/>
        <w:rPr>
          <w:sz w:val="20"/>
          <w:szCs w:val="20"/>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or volatility of realized oil and natural gas prices;</w:t>
      </w:r>
    </w:p>
    <w:p>
      <w:pPr>
        <w:spacing w:after="0" w:line="117"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implications and logistical challenges of epidemic or pandemic diseases, including the COVID-19 pandemic and its impact on the oil and natural gas industry, pricing and demand for oil and natural gas and the supply chain disruptions;</w:t>
      </w:r>
    </w:p>
    <w:p>
      <w:pPr>
        <w:spacing w:after="0" w:line="62"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conditions of the U.S. oil and natural gas industry and the effect of U.S. energy, environmental, monetary and trade policies on our industry and business;</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 and our ability to obtain capital on favorable terms or at all;</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business and financial strategies;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production on our properties;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reduced drilling activity on our exploration and development drilling prospects, inventories, projects and programs;</w:t>
      </w:r>
    </w:p>
    <w:p>
      <w:pPr>
        <w:spacing w:after="0" w:line="128" w:lineRule="exact"/>
        <w:rPr>
          <w:rFonts w:ascii="Arial" w:cs="Arial" w:eastAsia="Arial" w:hAnsi="Arial"/>
          <w:sz w:val="17"/>
          <w:szCs w:val="17"/>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any delays, curtailments or interruptions of production, and any government order, rule or regulation that may impose production limits on properties in which we have mineral and royalty interest;</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third party operators on our mineral and royalty acreage;</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our oil and natural gas reserves;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effectively integrate acquisitions of properties or businesses;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oil and natural gas industry;</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operators to obtain capital or financing needed for development and exploration operations;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with respect to identified drilling locations and estimates of reserves;</w:t>
      </w:r>
    </w:p>
    <w:p>
      <w:pPr>
        <w:spacing w:after="0" w:line="117"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extreme weather conditions, including the February 2021 winter storms in the Permian Basin, on production volumes on our mineral and royalty acreage;</w:t>
      </w:r>
    </w:p>
    <w:p>
      <w:pPr>
        <w:spacing w:after="0" w:line="62"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operators to comply with applicable governmental laws and regulations and to obtain permits and governmental approvals;</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results;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distributions to eligible unitholders;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of potential impairment charges;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future litigation;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other factors discussed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500" w:type="dxa"/>
            <w:vAlign w:val="bottom"/>
          </w:tcPr>
          <w:p>
            <w:pPr>
              <w:jc w:val="right"/>
              <w:ind w:right="33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76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w w:val="97"/>
              </w:rPr>
              <w:t>(In thousands, except unit amounts)</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19,121</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Royalty income receivable (net of allowance for credit losses)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42,011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32,210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receivable—related party</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88,770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53,994</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8"/>
                <w:szCs w:val="18"/>
                <w:color w:val="auto"/>
              </w:rPr>
              <w:t>Property:</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Oil and natural gas interests, full cost method of accounting ($1,319,256 and $1,364,906 excluded</w:t>
            </w:r>
          </w:p>
        </w:tc>
        <w:tc>
          <w:tcPr>
            <w:tcW w:w="3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2,896,361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2,895,542</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depletion at June 30, 2021 and December 31, 2020, respectively)</w:t>
            </w:r>
          </w:p>
        </w:tc>
        <w:tc>
          <w:tcPr>
            <w:tcW w:w="3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Land</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depletion and impairment</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(496,176)</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Property, net</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2,357,009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2,405,054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2,450,162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2,461,375</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600"/>
              <w:spacing w:after="0"/>
              <w:rPr>
                <w:sz w:val="20"/>
                <w:szCs w:val="20"/>
                <w:color w:val="auto"/>
              </w:rPr>
            </w:pPr>
            <w:r>
              <w:rPr>
                <w:rFonts w:ascii="Arial" w:cs="Arial" w:eastAsia="Arial" w:hAnsi="Arial"/>
                <w:sz w:val="16"/>
                <w:szCs w:val="16"/>
                <w:b w:val="1"/>
                <w:bCs w:val="1"/>
                <w:color w:val="auto"/>
              </w:rPr>
              <w:t>Liabilities and Unitholders’ Equity</w:t>
            </w: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17,159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18,262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instruments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26,593</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68,960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44,898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534,180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555,644</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603,140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600,542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Unitholders’ equity:</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partner</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175"/>
        </w:trPr>
        <w:tc>
          <w:tcPr>
            <w:tcW w:w="7600" w:type="dxa"/>
            <w:vAlign w:val="bottom"/>
          </w:tcPr>
          <w:p>
            <w:pPr>
              <w:ind w:left="360"/>
              <w:spacing w:after="0" w:line="176" w:lineRule="exact"/>
              <w:rPr>
                <w:sz w:val="20"/>
                <w:szCs w:val="20"/>
                <w:color w:val="auto"/>
              </w:rPr>
            </w:pPr>
            <w:r>
              <w:rPr>
                <w:rFonts w:ascii="Arial" w:cs="Arial" w:eastAsia="Arial" w:hAnsi="Arial"/>
                <w:sz w:val="18"/>
                <w:szCs w:val="18"/>
                <w:color w:val="auto"/>
                <w:w w:val="91"/>
              </w:rPr>
              <w:t>Common units (64,546,377 units issued and outstanding as of June 30, 2021 and 65,817,281 units</w:t>
            </w:r>
          </w:p>
        </w:tc>
        <w:tc>
          <w:tcPr>
            <w:tcW w:w="3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594,777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633,415</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issued and outstanding as of December 31, 2020)</w:t>
            </w:r>
          </w:p>
        </w:tc>
        <w:tc>
          <w:tcPr>
            <w:tcW w:w="3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Class B units (90,709,946 units issued and outstanding as of June 30, 2021 and December 31, 2020)</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Total Viper Energy Partners LP unitholders’ equity</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596,527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635,255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1,250,495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1,225,578</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1,860,833</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unitholders’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2,450,162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2,461,375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480" w:type="dxa"/>
            <w:vAlign w:val="bottom"/>
            <w:gridSpan w:val="4"/>
          </w:tcPr>
          <w:p>
            <w:pPr>
              <w:jc w:val="right"/>
              <w:ind w:right="330"/>
              <w:spacing w:after="0"/>
              <w:rPr>
                <w:sz w:val="20"/>
                <w:szCs w:val="20"/>
                <w:color w:val="auto"/>
              </w:rPr>
            </w:pPr>
            <w:r>
              <w:rPr>
                <w:rFonts w:ascii="Arial" w:cs="Arial" w:eastAsia="Arial" w:hAnsi="Arial"/>
                <w:sz w:val="16"/>
                <w:szCs w:val="16"/>
                <w:b w:val="1"/>
                <w:bCs w:val="1"/>
                <w:color w:val="auto"/>
                <w:w w:val="98"/>
              </w:rPr>
              <w:t>Six Months Ended June 30,</w:t>
            </w:r>
          </w:p>
        </w:tc>
      </w:tr>
      <w:tr>
        <w:trPr>
          <w:trHeight w:val="210"/>
        </w:trPr>
        <w:tc>
          <w:tcPr>
            <w:tcW w:w="56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r>
      <w:tr>
        <w:trPr>
          <w:trHeight w:val="210"/>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6"/>
          </w:tcPr>
          <w:p>
            <w:pPr>
              <w:spacing w:after="0"/>
              <w:rPr>
                <w:sz w:val="20"/>
                <w:szCs w:val="20"/>
                <w:color w:val="auto"/>
              </w:rPr>
            </w:pPr>
            <w:r>
              <w:rPr>
                <w:rFonts w:ascii="Arial" w:cs="Arial" w:eastAsia="Arial" w:hAnsi="Arial"/>
                <w:sz w:val="16"/>
                <w:szCs w:val="16"/>
                <w:b w:val="1"/>
                <w:bCs w:val="1"/>
                <w:color w:val="auto"/>
                <w:w w:val="93"/>
              </w:rPr>
              <w:t>(In thousands, except per unit amounts)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Royalty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113,458</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32,444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209,970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109,273</w:t>
            </w: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bonus income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r>
      <w:tr>
        <w:trPr>
          <w:trHeight w:val="229"/>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income</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r>
      <w:tr>
        <w:trPr>
          <w:trHeight w:val="223"/>
        </w:trPr>
        <w:tc>
          <w:tcPr>
            <w:tcW w:w="5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111,361</w:t>
            </w:r>
          </w:p>
        </w:tc>
      </w:tr>
      <w:tr>
        <w:trPr>
          <w:trHeight w:val="19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2"/>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and ad valorem taxes</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9,257</w:t>
            </w:r>
          </w:p>
        </w:tc>
      </w:tr>
      <w:tr>
        <w:trPr>
          <w:trHeight w:val="230"/>
        </w:trPr>
        <w:tc>
          <w:tcPr>
            <w:tcW w:w="5640" w:type="dxa"/>
            <w:vAlign w:val="bottom"/>
          </w:tcPr>
          <w:p>
            <w:pPr>
              <w:ind w:left="360"/>
              <w:spacing w:after="0"/>
              <w:rPr>
                <w:sz w:val="20"/>
                <w:szCs w:val="20"/>
                <w:color w:val="auto"/>
              </w:rPr>
            </w:pPr>
            <w:r>
              <w:rPr>
                <w:rFonts w:ascii="Arial" w:cs="Arial" w:eastAsia="Arial" w:hAnsi="Arial"/>
                <w:sz w:val="18"/>
                <w:szCs w:val="18"/>
                <w:color w:val="auto"/>
              </w:rPr>
              <w:t>Depletion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47,424</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w:t>
            </w:r>
          </w:p>
        </w:tc>
      </w:tr>
      <w:tr>
        <w:trPr>
          <w:trHeight w:val="223"/>
        </w:trPr>
        <w:tc>
          <w:tcPr>
            <w:tcW w:w="5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61,030</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50,331</w:t>
            </w:r>
          </w:p>
        </w:tc>
      </w:tr>
      <w:tr>
        <w:trPr>
          <w:trHeight w:val="21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(16,632)</w:t>
            </w: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(42,385)</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revaluation of investment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w:t>
            </w:r>
          </w:p>
        </w:tc>
      </w:tr>
      <w:tr>
        <w:trPr>
          <w:trHeight w:val="230"/>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r>
      <w:tr>
        <w:trPr>
          <w:trHeight w:val="223"/>
        </w:trPr>
        <w:tc>
          <w:tcPr>
            <w:tcW w:w="5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(64,771)</w:t>
            </w:r>
          </w:p>
        </w:tc>
      </w:tr>
      <w:tr>
        <w:trPr>
          <w:trHeight w:val="22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66,272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(14,440)</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142,466</w:t>
            </w:r>
          </w:p>
        </w:tc>
      </w:tr>
      <w:tr>
        <w:trPr>
          <w:trHeight w:val="22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42,378</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66,237</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(156,906)</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w:t>
            </w:r>
          </w:p>
        </w:tc>
      </w:tr>
      <w:tr>
        <w:trPr>
          <w:trHeight w:val="22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w:t>
            </w:r>
          </w:p>
        </w:tc>
        <w:tc>
          <w:tcPr>
            <w:tcW w:w="12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(163,921)</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5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common limited partner units: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56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common limited partner units outstanding:</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64,672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67,827</w:t>
            </w:r>
          </w:p>
        </w:tc>
      </w:tr>
      <w:tr>
        <w:trPr>
          <w:trHeight w:val="230"/>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to Unitholders'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vMerge w:val="restart"/>
          </w:tcPr>
          <w:p>
            <w:pPr>
              <w:ind w:left="280"/>
              <w:spacing w:after="0"/>
              <w:rPr>
                <w:sz w:val="20"/>
                <w:szCs w:val="20"/>
                <w:color w:val="auto"/>
              </w:rPr>
            </w:pPr>
            <w:r>
              <w:rPr>
                <w:rFonts w:ascii="Arial" w:cs="Arial" w:eastAsia="Arial" w:hAnsi="Arial"/>
                <w:sz w:val="16"/>
                <w:szCs w:val="16"/>
                <w:b w:val="1"/>
                <w:bCs w:val="1"/>
                <w:color w:val="auto"/>
              </w:rPr>
              <w:t>Limited Partners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General</w:t>
            </w:r>
          </w:p>
        </w:tc>
        <w:tc>
          <w:tcPr>
            <w:tcW w:w="1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Partner</w:t>
            </w:r>
          </w:p>
        </w:tc>
        <w:tc>
          <w:tcPr>
            <w:tcW w:w="2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60" w:type="dxa"/>
            <w:vAlign w:val="bottom"/>
          </w:tcPr>
          <w:p>
            <w:pPr>
              <w:spacing w:after="0"/>
              <w:rPr>
                <w:sz w:val="20"/>
                <w:szCs w:val="20"/>
                <w:color w:val="auto"/>
              </w:rPr>
            </w:pPr>
          </w:p>
        </w:tc>
        <w:tc>
          <w:tcPr>
            <w:tcW w:w="11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8"/>
              </w:rPr>
              <w:t>Class B</w:t>
            </w: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2"/>
                <w:szCs w:val="22"/>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Units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Units</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30"/>
              <w:spacing w:after="0"/>
              <w:rPr>
                <w:sz w:val="20"/>
                <w:szCs w:val="20"/>
                <w:color w:val="auto"/>
              </w:rPr>
            </w:pPr>
            <w:r>
              <w:rPr>
                <w:rFonts w:ascii="Arial" w:cs="Arial" w:eastAsia="Arial" w:hAnsi="Arial"/>
                <w:sz w:val="16"/>
                <w:szCs w:val="16"/>
                <w:b w:val="1"/>
                <w:bCs w:val="1"/>
                <w:color w:val="auto"/>
                <w:w w:val="99"/>
              </w:rPr>
              <w:t>(In thousands)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633,415</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1,225,578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1,860,833</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units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(12,826)</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3160" w:type="dxa"/>
            <w:vAlign w:val="bottom"/>
          </w:tcPr>
          <w:p>
            <w:pPr>
              <w:ind w:left="200"/>
              <w:spacing w:after="0" w:line="176" w:lineRule="exact"/>
              <w:rPr>
                <w:sz w:val="20"/>
                <w:szCs w:val="20"/>
                <w:color w:val="auto"/>
              </w:rPr>
            </w:pPr>
            <w:r>
              <w:rPr>
                <w:rFonts w:ascii="Arial" w:cs="Arial" w:eastAsia="Arial" w:hAnsi="Arial"/>
                <w:sz w:val="18"/>
                <w:szCs w:val="18"/>
                <w:color w:val="auto"/>
                <w:w w:val="99"/>
              </w:rPr>
              <w:t>Change in ownership of consolidated</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3"/>
              </w:rPr>
              <w:t>Cash paid for tax withholding on vested</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units</w:t>
            </w: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200"/>
              <w:spacing w:after="0" w:line="176" w:lineRule="exact"/>
              <w:rPr>
                <w:sz w:val="20"/>
                <w:szCs w:val="20"/>
                <w:color w:val="auto"/>
              </w:rPr>
            </w:pPr>
            <w:r>
              <w:rPr>
                <w:rFonts w:ascii="Arial" w:cs="Arial" w:eastAsia="Arial" w:hAnsi="Arial"/>
                <w:sz w:val="18"/>
                <w:szCs w:val="18"/>
                <w:color w:val="auto"/>
              </w:rPr>
              <w:t>Repurchased units as part of unit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(13,043)</w:t>
            </w:r>
          </w:p>
        </w:tc>
        <w:tc>
          <w:tcPr>
            <w:tcW w:w="10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(13,043)</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buyback</w:t>
            </w: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23,859</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6"/>
                <w:szCs w:val="16"/>
                <w:b w:val="1"/>
                <w:bCs w:val="1"/>
                <w:color w:val="auto"/>
              </w:rPr>
              <w:t>Balance at March 31, 2021</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64,950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611,172</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1,237,071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1,850,038</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(22,886)</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3160" w:type="dxa"/>
            <w:vAlign w:val="bottom"/>
          </w:tcPr>
          <w:p>
            <w:pPr>
              <w:ind w:left="200"/>
              <w:spacing w:after="0" w:line="176" w:lineRule="exact"/>
              <w:rPr>
                <w:sz w:val="20"/>
                <w:szCs w:val="20"/>
                <w:color w:val="auto"/>
              </w:rPr>
            </w:pPr>
            <w:r>
              <w:rPr>
                <w:rFonts w:ascii="Arial" w:cs="Arial" w:eastAsia="Arial" w:hAnsi="Arial"/>
                <w:sz w:val="18"/>
                <w:szCs w:val="18"/>
                <w:color w:val="auto"/>
                <w:w w:val="99"/>
              </w:rPr>
              <w:t>Change in ownership of consolidated</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Repurchased units as part of unit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buyback</w:t>
            </w: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42,378</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June 30,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1,847,022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to Unitholders' Equity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4"/>
            <w:vMerge w:val="restart"/>
          </w:tcPr>
          <w:p>
            <w:pPr>
              <w:ind w:left="300"/>
              <w:spacing w:after="0"/>
              <w:rPr>
                <w:sz w:val="20"/>
                <w:szCs w:val="20"/>
                <w:color w:val="auto"/>
              </w:rPr>
            </w:pPr>
            <w:r>
              <w:rPr>
                <w:rFonts w:ascii="Arial" w:cs="Arial" w:eastAsia="Arial" w:hAnsi="Arial"/>
                <w:sz w:val="16"/>
                <w:szCs w:val="16"/>
                <w:b w:val="1"/>
                <w:bCs w:val="1"/>
                <w:color w:val="auto"/>
              </w:rPr>
              <w:t>Limited Partners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General</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Partner</w:t>
            </w: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p>
        </w:tc>
        <w:tc>
          <w:tcPr>
            <w:tcW w:w="11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8"/>
              </w:rPr>
              <w:t>Class B</w:t>
            </w: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80" w:type="dxa"/>
            <w:vAlign w:val="bottom"/>
          </w:tcPr>
          <w:p>
            <w:pPr>
              <w:spacing w:after="0"/>
              <w:rPr>
                <w:sz w:val="22"/>
                <w:szCs w:val="22"/>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Units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Units</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30"/>
              <w:spacing w:after="0"/>
              <w:rPr>
                <w:sz w:val="20"/>
                <w:szCs w:val="20"/>
                <w:color w:val="auto"/>
              </w:rPr>
            </w:pPr>
            <w:r>
              <w:rPr>
                <w:rFonts w:ascii="Arial" w:cs="Arial" w:eastAsia="Arial" w:hAnsi="Arial"/>
                <w:sz w:val="16"/>
                <w:szCs w:val="16"/>
                <w:b w:val="1"/>
                <w:bCs w:val="1"/>
                <w:color w:val="auto"/>
                <w:w w:val="99"/>
              </w:rPr>
              <w:t>(In 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929,116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1,254,285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2,185,420</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Issuance of common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(30,194)</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(30,194)</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(41,173)</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3180" w:type="dxa"/>
            <w:vAlign w:val="bottom"/>
          </w:tcPr>
          <w:p>
            <w:pPr>
              <w:ind w:left="220"/>
              <w:spacing w:after="0" w:line="176" w:lineRule="exact"/>
              <w:rPr>
                <w:sz w:val="20"/>
                <w:szCs w:val="20"/>
                <w:color w:val="auto"/>
              </w:rPr>
            </w:pPr>
            <w:r>
              <w:rPr>
                <w:rFonts w:ascii="Arial" w:cs="Arial" w:eastAsia="Arial" w:hAnsi="Arial"/>
                <w:sz w:val="18"/>
                <w:szCs w:val="18"/>
                <w:color w:val="auto"/>
                <w:w w:val="93"/>
              </w:rPr>
              <w:t>Cash paid for tax withholding on vested</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Arial" w:cs="Arial" w:eastAsia="Arial" w:hAnsi="Arial"/>
                <w:sz w:val="18"/>
                <w:szCs w:val="18"/>
                <w:color w:val="auto"/>
              </w:rPr>
              <w:t>common units</w:t>
            </w: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(142,169)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(123,850)</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67,831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756,408</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1,231,785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1,990,167</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(21,752)</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(33,056)</w:t>
            </w:r>
          </w:p>
        </w:tc>
        <w:tc>
          <w:tcPr>
            <w:tcW w:w="0" w:type="dxa"/>
            <w:vAlign w:val="bottom"/>
          </w:tcPr>
          <w:p>
            <w:pPr>
              <w:spacing w:after="0"/>
              <w:rPr>
                <w:sz w:val="1"/>
                <w:szCs w:val="1"/>
                <w:color w:val="auto"/>
              </w:rPr>
            </w:pPr>
          </w:p>
        </w:tc>
      </w:tr>
      <w:tr>
        <w:trPr>
          <w:trHeight w:val="248"/>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1,941,485</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2020</w:t>
            </w:r>
          </w:p>
        </w:tc>
      </w:tr>
      <w:tr>
        <w:trPr>
          <w:trHeight w:val="210"/>
        </w:trPr>
        <w:tc>
          <w:tcPr>
            <w:tcW w:w="7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thousands)</w:t>
            </w:r>
          </w:p>
        </w:tc>
        <w:tc>
          <w:tcPr>
            <w:tcW w:w="1100" w:type="dxa"/>
            <w:vAlign w:val="bottom"/>
          </w:tcPr>
          <w:p>
            <w:pPr>
              <w:spacing w:after="0"/>
              <w:rPr>
                <w:sz w:val="18"/>
                <w:szCs w:val="18"/>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66,237</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(156,906)</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820" w:type="dxa"/>
            <w:vAlign w:val="bottom"/>
          </w:tcPr>
          <w:p>
            <w:pPr>
              <w:ind w:left="680"/>
              <w:spacing w:after="0"/>
              <w:rPr>
                <w:sz w:val="20"/>
                <w:szCs w:val="20"/>
                <w:color w:val="auto"/>
              </w:rPr>
            </w:pPr>
            <w:r>
              <w:rPr>
                <w:rFonts w:ascii="Arial" w:cs="Arial" w:eastAsia="Arial" w:hAnsi="Arial"/>
                <w:sz w:val="18"/>
                <w:szCs w:val="18"/>
                <w:color w:val="auto"/>
              </w:rPr>
              <w:t>Deferred income tax expense (benefit)</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142,466</w:t>
            </w:r>
          </w:p>
        </w:tc>
      </w:tr>
      <w:tr>
        <w:trPr>
          <w:trHeight w:val="229"/>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Depletion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47,424</w:t>
            </w:r>
          </w:p>
        </w:tc>
      </w:tr>
      <w:tr>
        <w:trPr>
          <w:trHeight w:val="230"/>
        </w:trPr>
        <w:tc>
          <w:tcPr>
            <w:tcW w:w="7820" w:type="dxa"/>
            <w:vAlign w:val="bottom"/>
          </w:tcPr>
          <w:p>
            <w:pPr>
              <w:ind w:left="680"/>
              <w:spacing w:after="0"/>
              <w:rPr>
                <w:sz w:val="20"/>
                <w:szCs w:val="20"/>
                <w:color w:val="auto"/>
              </w:rPr>
            </w:pPr>
            <w:r>
              <w:rPr>
                <w:rFonts w:ascii="Arial" w:cs="Arial" w:eastAsia="Arial" w:hAnsi="Arial"/>
                <w:sz w:val="18"/>
                <w:szCs w:val="18"/>
                <w:color w:val="auto"/>
              </w:rPr>
              <w:t>(Gain) loss on derivative instruments, net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61,050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42,385</w:t>
            </w:r>
          </w:p>
        </w:tc>
      </w:tr>
      <w:tr>
        <w:trPr>
          <w:trHeight w:val="229"/>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receipts (payments) on derivatives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30"/>
        </w:trPr>
        <w:tc>
          <w:tcPr>
            <w:tcW w:w="7820" w:type="dxa"/>
            <w:vAlign w:val="bottom"/>
          </w:tcPr>
          <w:p>
            <w:pPr>
              <w:ind w:left="680"/>
              <w:spacing w:after="0"/>
              <w:rPr>
                <w:sz w:val="20"/>
                <w:szCs w:val="20"/>
                <w:color w:val="auto"/>
              </w:rPr>
            </w:pPr>
            <w:r>
              <w:rPr>
                <w:rFonts w:ascii="Arial" w:cs="Arial" w:eastAsia="Arial" w:hAnsi="Arial"/>
                <w:sz w:val="18"/>
                <w:szCs w:val="18"/>
                <w:color w:val="auto"/>
              </w:rPr>
              <w:t>(Gain) loss on revaluation of investment</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6,677</w:t>
            </w:r>
          </w:p>
        </w:tc>
      </w:tr>
      <w:tr>
        <w:trPr>
          <w:trHeight w:val="229"/>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Royalty income receivable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w:t>
            </w:r>
          </w:p>
        </w:tc>
      </w:tr>
      <w:tr>
        <w:trPr>
          <w:trHeight w:val="229"/>
        </w:trPr>
        <w:tc>
          <w:tcPr>
            <w:tcW w:w="7820" w:type="dxa"/>
            <w:vAlign w:val="bottom"/>
          </w:tcPr>
          <w:p>
            <w:pPr>
              <w:ind w:left="680"/>
              <w:spacing w:after="0"/>
              <w:rPr>
                <w:sz w:val="20"/>
                <w:szCs w:val="20"/>
                <w:color w:val="auto"/>
              </w:rPr>
            </w:pPr>
            <w:r>
              <w:rPr>
                <w:rFonts w:ascii="Arial" w:cs="Arial" w:eastAsia="Arial" w:hAnsi="Arial"/>
                <w:sz w:val="18"/>
                <w:szCs w:val="18"/>
                <w:color w:val="auto"/>
              </w:rPr>
              <w:t>Royalty income receivable—related party</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9,659</w:t>
            </w:r>
          </w:p>
        </w:tc>
      </w:tr>
      <w:tr>
        <w:trPr>
          <w:trHeight w:val="230"/>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129,680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115,863</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Acquisitions of oil and natural gas interests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(65,272)</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(65,272)</w:t>
            </w:r>
          </w:p>
        </w:tc>
      </w:tr>
      <w:tr>
        <w:trPr>
          <w:trHeight w:val="210"/>
        </w:trPr>
        <w:tc>
          <w:tcPr>
            <w:tcW w:w="78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borrowings under credit facility</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92,000</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Repayment on credit facility</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senior notes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(13,787)</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Repurchased units as part of unit buyback</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public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(36,928)</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Distributions to Diamondback</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(35,712)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(50,348)</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(44,530)</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Viper Energy Partners LP (the “Partnership”) is a publicly traded Delaware limited partnership focused on owning and acquiring mineral interests and royalty interests in oil and natural gas properties primarily in the Permian Basin.</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2021, Viper Energy Partners GP LLC (the “General Partner”) held a 100% general partner interest in the Partnership and Diamondback Energy, Inc. (“Diamondback”) beneficially owned an approximate 59% of the Partnership’s total limited partner units outstanding. Diamondback owns and controls the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accompanying condensed consolidated financial statements and related notes thereto were prepared in accordance with GAAP. All material intercompany balances and transactions have been eliminated upon consolidation. We report our operations in one reportable segment.</w:t>
      </w:r>
    </w:p>
    <w:p>
      <w:pPr>
        <w:spacing w:after="0" w:line="173" w:lineRule="exact"/>
        <w:rPr>
          <w:sz w:val="20"/>
          <w:szCs w:val="20"/>
          <w:color w:val="auto"/>
        </w:rPr>
      </w:pPr>
    </w:p>
    <w:p>
      <w:pPr>
        <w:jc w:val="both"/>
        <w:ind w:firstLine="648"/>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These condensed consolidated financial statements have been prepared by the Partnership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Partnership believes the disclosures are adequate to make the information presented not misleading. This report should be read in conjunction with the Partnership’s most recent </w:t>
      </w:r>
      <w:hyperlink r:id="rId16">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2020, which contains a summary of the Partnership’s significant accounting policies and other disclosures.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financial statement presentation. These reclassifications had no effect on the previously reported total assets, total liabilities, unitholders’ equity, results of operations or cash flows.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amounts included in or affecting the Partnership’s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as of the date of the financial statements.</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Making accurate estimates and assumptions is particularly difficult in the oil and natural gas industry given the challenges resulting from volatility in oil and natural gas prices. For instance, in 2020, the effects of COVID-19 and actions by OPEC members and other exporting nations on the supply and demand in global oil and natural gas markets resulted in significant negative pricing pressure in the first half of 2020, followed by a recovery in pricing and an increase in demand in the second half of 2020 and into 2021. The financial results of companies in the oil and natural gas industry have been impacted materially as a result of changing market conditions. Such circumstances generally increase uncertainty in the Partnership’s accounting estimates, particularly those involving financial forecasts.</w:t>
      </w:r>
    </w:p>
    <w:p>
      <w:pPr>
        <w:spacing w:after="0" w:line="21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Partnership evaluates these estimates on an ongoing basis, using historical experience, consultation with experts and other methods the Partnership considers reasonable in each particular circumstance.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interests, the recoverability of costs of unevaluated properties, the fair value determination of assets and liabilities, fair value estimates of commodity derivatives and estimates of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80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r>
      <w:tr>
        <w:trPr>
          <w:trHeight w:val="210"/>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4"/>
          </w:tcPr>
          <w:p>
            <w:pPr>
              <w:jc w:val="right"/>
              <w:ind w:right="103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Ad valorem taxes payable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6,501</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instruments payable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48"/>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December 2019, the FASB issued ASU 2019-12, “Income Taxes (Topic 740) - Simplifying the Accounting for Income Taxes”. This update is intended to simplify the accounting for income taxes by removing certain exceptions and by clarifying and amending existing guidance and is effective for public business entities beginning after December 15, 2020 with early adoption permitted. The Partnership adopted this update effective January 1, 2021. The adoption of this update did not have a material impact on its financial position, results of operations or liquidity.</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Partnership considers the applicability and impact of all ASUs. ASUs not discussed above were assessed and determined to be either not applicable, previously disclosed, or not material upon adoption.</w:t>
      </w:r>
    </w:p>
    <w:p>
      <w:pPr>
        <w:spacing w:after="0" w:line="2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at the wellhead or at the gas processing facility based on the Partnership’s percentage ownership share of the revenue, net of any deductions for gathering and transportation. Virtually all of the pricing provisions in the Partnership’s contracts are tied to a market index.</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disaggregates the Partnership’s total royalty income by product type: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Pr>
          <w:p>
            <w:pPr>
              <w:spacing w:after="0"/>
              <w:rPr>
                <w:sz w:val="18"/>
                <w:szCs w:val="18"/>
                <w:color w:val="auto"/>
              </w:rPr>
            </w:pPr>
          </w:p>
        </w:tc>
        <w:tc>
          <w:tcPr>
            <w:tcW w:w="240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w w:val="90"/>
              </w:rPr>
              <w:t>Six Months Ended June 30,</w:t>
            </w:r>
          </w:p>
        </w:tc>
      </w:tr>
      <w:tr>
        <w:trPr>
          <w:trHeight w:val="210"/>
        </w:trPr>
        <w:tc>
          <w:tcPr>
            <w:tcW w:w="54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10"/>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2"/>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93,952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172,296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99,817</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Natural gas income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1,578</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income</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color w:val="auto"/>
              </w:rPr>
              <w:t>Total royalty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109,273</w:t>
            </w: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Partnership had no significant acquisition or divestiture activity during the six months ended June 30, 2021.</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Activity</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six months ended June 30, 2020, the Partnership acquired, from unrelated third-party sellers, mineral and royalty interests representing 4,948 gross (410 net royalty) acres in the Permian Basin for an aggregate purchase price of approximately $63.4 million, including post-closing adjustments. The Partnership funded these acquisitions with cash on hand and borrowings under the Operating Company’s revolving credit facility.</w:t>
      </w:r>
    </w:p>
    <w:p>
      <w:pPr>
        <w:spacing w:after="0" w:line="17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OIL AND NATURAL GAS INTERESTS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Oil and natural gas interests include the following:</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36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80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10"/>
        </w:trPr>
        <w:tc>
          <w:tcPr>
            <w:tcW w:w="8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20" w:type="dxa"/>
            <w:vAlign w:val="bottom"/>
            <w:gridSpan w:val="4"/>
          </w:tcPr>
          <w:p>
            <w:pPr>
              <w:jc w:val="right"/>
              <w:ind w:right="1032"/>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interests: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9"/>
        </w:trPr>
        <w:tc>
          <w:tcPr>
            <w:tcW w:w="802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1,577,105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1,530,636</w:t>
            </w: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1,319,256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1,364,906</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Gross oil and natural gas interests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2,896,361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2,895,542</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depletion and impairment</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(496,176)</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Oil and natural gas interests, net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2,351,321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2,399,366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Property, net of accumulated depletion and impairment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2,357,009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2,405,054</w:t>
            </w: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2021 and December 31, 2020, the Partnership had mineral and royalty interests representing 24,341 and 24,350 net royalty acres, respectively.</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impairment expense was recorded on the Partnership’s oil and gas properties for the three and six months ended June 30, 2021 and 2020 based on the results of the respective quarterly ceiling tests. In addition to commodity prices, the Partnership’s production rates, levels of proved reserves, transfers of unevaluated properties and other factors will determine its actual ceiling test limitations and impairment analysis in future periods. If the trailing 12-month commodity prices decline as compared to the commodity prices used in prior quarters, the Partnership will have write-downs in subsequent quarters, which may be material.</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80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r>
      <w:tr>
        <w:trPr>
          <w:trHeight w:val="210"/>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4"/>
          </w:tcPr>
          <w:p>
            <w:pPr>
              <w:jc w:val="right"/>
              <w:ind w:right="103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senior notes due 2027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479,938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479,938</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84,000</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w:t>
            </w:r>
          </w:p>
        </w:tc>
      </w:tr>
      <w:tr>
        <w:trPr>
          <w:trHeight w:val="248"/>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555,644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Operating Company’s Revolving Credit Facility</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On June 2, 2021, the Operating Company entered into the seventh amendment to the existing credit agreement, which maintained the maximum amount of the revolving credit facility at $2.0 billion and reaffirmed the borrowing base of $580.0 million based on the Operating Company’s oil and natural gas reserves and other factors, and added new provisions that allow the Operating Company to elect a commitment amount that is less than its borrowing base as determined by the lenders. The borrowing base is scheduled to be redetermined semi-annually in May and November. As of June 30, 2021, the Operating Company had elected a commitment amount of $500.0 million, with $62.0 million of outstanding borrowings and $438.0 million available for future borrowings under the Operating Company’s revolving credit facility. The revolving credit facility will mature on June 2, 2025.</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outstanding borrowings under the credit agreement bear interest at a rate elected by the Operating Company that is equal to an alternative base rate (which is equal to the greatest of the prime rate, the Federal Funds effective rate plus 0.50% and 3-month LIBOR plus 1.0%) or LIBOR, in each case plus the applicable margin. The applicable margin ranges from 1.00% to 2.00% per annum in the case of the alternative base rate and from 2.00% to 3.00% per annum in the case of LIBOR, in each case depending on the amount of the loans outstanding in relation to the commitment, which is calculated using the least of the maximum credit amount, the aggregate elected commitment amount and the borrowing base. The Operating Company is obligated to pay a quarterly commitment fee ranging from 0.375% to 0.500% per year on the unused portion of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The loan is secured by substantially all the assets of the Partnership and the Operating Company. During the three and six months ended June 30, 2021 and 2020, the weighted average interest rate on the Operating Company’s revolving credit facility was 1.93%, 1.90%, 2.41% and 2.82%, respectively.</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excess cash and entering into certain swap agreements and require the maintenance of the financial ratios described below. The amendment to the credit agreement added a financial covenant requirement for the ratio of secured debt to EBITDAX as included below.</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Covenant</w:t>
            </w:r>
          </w:p>
        </w:tc>
        <w:tc>
          <w:tcPr>
            <w:tcW w:w="4140" w:type="dxa"/>
            <w:vAlign w:val="bottom"/>
            <w:tcBorders>
              <w:bottom w:val="single" w:sz="8" w:color="auto"/>
            </w:tcBorders>
          </w:tcPr>
          <w:p>
            <w:pPr>
              <w:jc w:val="center"/>
              <w:ind w:left="1575"/>
              <w:spacing w:after="0"/>
              <w:rPr>
                <w:sz w:val="20"/>
                <w:szCs w:val="20"/>
                <w:color w:val="auto"/>
              </w:rPr>
            </w:pPr>
            <w:r>
              <w:rPr>
                <w:rFonts w:ascii="Arial" w:cs="Arial" w:eastAsia="Arial" w:hAnsi="Arial"/>
                <w:sz w:val="14"/>
                <w:szCs w:val="14"/>
                <w:b w:val="1"/>
                <w:bCs w:val="1"/>
                <w:color w:val="auto"/>
                <w:w w:val="96"/>
              </w:rPr>
              <w:t>Required Ratio</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140" w:type="dxa"/>
            <w:vAlign w:val="bottom"/>
            <w:shd w:val="clear" w:color="auto" w:fill="CCEEFF"/>
          </w:tcPr>
          <w:p>
            <w:pPr>
              <w:jc w:val="center"/>
              <w:ind w:left="1575"/>
              <w:spacing w:after="0"/>
              <w:rPr>
                <w:sz w:val="20"/>
                <w:szCs w:val="20"/>
                <w:color w:val="auto"/>
              </w:rPr>
            </w:pPr>
            <w:r>
              <w:rPr>
                <w:rFonts w:ascii="Arial" w:cs="Arial" w:eastAsia="Arial" w:hAnsi="Arial"/>
                <w:sz w:val="18"/>
                <w:szCs w:val="18"/>
                <w:color w:val="auto"/>
                <w:w w:val="89"/>
              </w:rPr>
              <w:t>Not greater than 4.0 to 1.0</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140" w:type="dxa"/>
            <w:vAlign w:val="bottom"/>
          </w:tcPr>
          <w:p>
            <w:pPr>
              <w:jc w:val="center"/>
              <w:ind w:left="1575"/>
              <w:spacing w:after="0"/>
              <w:rPr>
                <w:sz w:val="20"/>
                <w:szCs w:val="20"/>
                <w:color w:val="auto"/>
              </w:rPr>
            </w:pPr>
            <w:r>
              <w:rPr>
                <w:rFonts w:ascii="Arial" w:cs="Arial" w:eastAsia="Arial" w:hAnsi="Arial"/>
                <w:sz w:val="18"/>
                <w:szCs w:val="18"/>
                <w:color w:val="auto"/>
                <w:w w:val="90"/>
              </w:rPr>
              <w:t>Not less than 1.0 to 1.0</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secured debt to EBITDAX, as defined in the credit agreement</w:t>
            </w:r>
          </w:p>
        </w:tc>
        <w:tc>
          <w:tcPr>
            <w:tcW w:w="4140" w:type="dxa"/>
            <w:vAlign w:val="bottom"/>
            <w:shd w:val="clear" w:color="auto" w:fill="CCEEFF"/>
          </w:tcPr>
          <w:p>
            <w:pPr>
              <w:jc w:val="center"/>
              <w:ind w:left="1575"/>
              <w:spacing w:after="0"/>
              <w:rPr>
                <w:sz w:val="20"/>
                <w:szCs w:val="20"/>
                <w:color w:val="auto"/>
              </w:rPr>
            </w:pPr>
            <w:r>
              <w:rPr>
                <w:rFonts w:ascii="Arial" w:cs="Arial" w:eastAsia="Arial" w:hAnsi="Arial"/>
                <w:sz w:val="18"/>
                <w:szCs w:val="18"/>
                <w:color w:val="auto"/>
                <w:w w:val="89"/>
              </w:rPr>
              <w:t>Not greater than 2.5 to 1.0</w:t>
            </w:r>
          </w:p>
        </w:tc>
      </w:tr>
    </w:tbl>
    <w:p>
      <w:pPr>
        <w:spacing w:after="0" w:line="31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$1.0 billion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June 30, 2021, the Operating Company was in compliance with the financial maintenance covenants under its credit agreement. The lenders may accelerate all of the indebtedness under the Operating Company’s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With certain specified exceptions, the terms and provisions of the credit agreement generally may be amended with the consent of the lenders holding a majority of the outstanding loans or commitments to lend.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2027 Senior Notes</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Partnership’s 5.375% senior notes due 2027 (the “Notes”) are senior unsecured obligations of the Partnership and are initially guaranteed on a senior unsecured basis by the Operating Company and pay interest semi-annually. Neither Diamondback nor the General Partner guarantees the Notes. In the future, each of the Partnership’s restricted subsidiaries that either (i) guarantees any of its or a guarantor’s other indebtedness or (ii) is a domestic restricted subsidiary and is an obligor with respect to any indebtedness under any credit facility will be required to guarantee the Notes. The Notes will mature on November 1, 2027. As of June 30, 2021, $479.9 million in aggregate principal amount of the Notes was outstanding. The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Partnership did not repurchase any Notes during the three or six months ended June 30, 2021, but may do so opportunistically from time to time in future periods.</w:t>
      </w:r>
    </w:p>
    <w:p>
      <w:pPr>
        <w:spacing w:after="0" w:line="2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UNITHOLDERS’ EQUITY AND DISTRIBUTIONS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Partnership has general partner and limited partner units. At June 30, 2021, the Partnership had a total of 64,546,377 common units issued and outstanding and 90,709,946 Class B units issued and outstanding, of which 731,500 common units and 90,709,946 Class B units were beneficially owned by Diamondback, representing approximately 59% of the Partnership’s total units outstanding. At June 30, 2021, Diamondback also beneficially owns 90,709,946 Operating Company units, representing a 58% non-controlling ownership interest in the Operating Company. The Operating Company units and the Partnership’s Class B units beneficially owned by Diamondback are exchangeable from time to time for the Partnership’s common units (that is, one Operating Company unit and one Partnership Class B unit, together, will be exchangeable for one Partnership common unit).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 Repurchase Program</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On November 6, 2020, the board of directors of the General Partner approved an expansion of the Partnership’s return of capital program with the implementation of a common unit repurchase program to acquire up to $100.0 million of the Partnership’s outstanding common units. During the three and six months ended June 30, 2021, the Partnership repurchased approximately $6.8 million and $19.8 million, respectively, of common units under the repurchase program. As of June 30, 2021, $56.2 million remains available for use under the repurchase program. The common unit repurchase program is authorized to extend through December 31, 2021 and the Partnership intends to purchase common units under the repurchase program opportunistically with funds from cash on hand, free cash flow from operations and potential liquidity events, such as the sale of assets. The repurchase program may be suspended from time to time, modified, extended or discontinued by the board of directors of the General Partner at any time.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on Common Units</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board of directors of the General Partner has established a distribution policy whereby the Operating Company distributes all or a portion of its available cash on a quarterly basis to its unitholders (including Diamondback and the Partnership). The Partnership in turn distributes all of the available cash it receives from the Operating Company to its common unitholders. The Partnership’s available cash and the available cash of the Operating Company for each quarter is determined by the board of directors of the General Partner following the end of such quarter. The Operating Company’s available cash generally equals its Adjusted EBITDA for the quarter, less cash needed for debt service and other contractual obligations, fixed charges and reserves for future operating or capital needs that the board of directors of the General Partner deems necessary or appropriate, if any. The Partnership’s available cash for each quarter generally equals the Partnership’s proportional share of the Operating Company’s available cash for the quarter, less cash needed for the payment of income taxes, if any, and the preferred distribution. The percentage of available cash distributed pursuant to the distribution policy discussed above may change quarterly to enable the Operating Company to retain cash flow to help strengthen the Partnership’s balance sheet while also expanding the return of capital program through the Partnership’s common unit repurchase program. The Partnership is not required to pay distributions to its common unitholders on a quarterly or other basis.</w:t>
      </w:r>
    </w:p>
    <w:p>
      <w:pPr>
        <w:spacing w:after="0" w:line="2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information regarding cash distributions approved by the board of directors of the General Partner for the periods presented: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6"/>
                <w:szCs w:val="16"/>
                <w:b w:val="1"/>
                <w:bCs w:val="1"/>
                <w:color w:val="auto"/>
              </w:rPr>
              <w:t>Distributions</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3"/>
          </w:tcPr>
          <w:p>
            <w:pPr>
              <w:jc w:val="right"/>
              <w:ind w:right="273"/>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220"/>
              <w:spacing w:after="0" w:line="168" w:lineRule="exact"/>
              <w:rPr>
                <w:sz w:val="20"/>
                <w:szCs w:val="20"/>
                <w:color w:val="auto"/>
              </w:rPr>
            </w:pPr>
            <w:r>
              <w:rPr>
                <w:rFonts w:ascii="Arial" w:cs="Arial" w:eastAsia="Arial" w:hAnsi="Arial"/>
                <w:sz w:val="16"/>
                <w:szCs w:val="16"/>
                <w:b w:val="1"/>
                <w:bCs w:val="1"/>
                <w:color w:val="auto"/>
                <w:w w:val="92"/>
              </w:rPr>
              <w:t>Operating Company</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Unitholder Record</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Period</w:t>
            </w:r>
          </w:p>
        </w:tc>
        <w:tc>
          <w:tcPr>
            <w:tcW w:w="100" w:type="dxa"/>
            <w:vAlign w:val="bottom"/>
          </w:tcPr>
          <w:p>
            <w:pPr>
              <w:spacing w:after="0"/>
              <w:rPr>
                <w:sz w:val="14"/>
                <w:szCs w:val="14"/>
                <w:color w:val="auto"/>
              </w:rPr>
            </w:pPr>
          </w:p>
        </w:tc>
        <w:tc>
          <w:tcPr>
            <w:tcW w:w="1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Amount per Unit</w:t>
            </w:r>
          </w:p>
        </w:tc>
        <w:tc>
          <w:tcPr>
            <w:tcW w:w="120" w:type="dxa"/>
            <w:vAlign w:val="bottom"/>
          </w:tcPr>
          <w:p>
            <w:pPr>
              <w:spacing w:after="0"/>
              <w:rPr>
                <w:sz w:val="14"/>
                <w:szCs w:val="14"/>
                <w:color w:val="auto"/>
              </w:rPr>
            </w:pPr>
          </w:p>
        </w:tc>
        <w:tc>
          <w:tcPr>
            <w:tcW w:w="16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Distributions to</w:t>
            </w:r>
          </w:p>
        </w:tc>
        <w:tc>
          <w:tcPr>
            <w:tcW w:w="19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Common Unitholders</w:t>
            </w:r>
            <w:r>
              <w:rPr>
                <w:rFonts w:ascii="Arial" w:cs="Arial" w:eastAsia="Arial" w:hAnsi="Arial"/>
                <w:sz w:val="21"/>
                <w:szCs w:val="21"/>
                <w:b w:val="1"/>
                <w:bCs w:val="1"/>
                <w:color w:val="auto"/>
                <w:vertAlign w:val="superscript"/>
              </w:rPr>
              <w:t>(1)</w:t>
            </w:r>
          </w:p>
        </w:tc>
        <w:tc>
          <w:tcPr>
            <w:tcW w:w="18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Declaration Date</w:t>
            </w:r>
          </w:p>
        </w:tc>
        <w:tc>
          <w:tcPr>
            <w:tcW w:w="1620" w:type="dxa"/>
            <w:vAlign w:val="bottom"/>
            <w:gridSpan w:val="2"/>
            <w:vMerge w:val="continue"/>
          </w:tcPr>
          <w:p>
            <w:pPr>
              <w:spacing w:after="0"/>
              <w:rPr>
                <w:sz w:val="14"/>
                <w:szCs w:val="14"/>
                <w:color w:val="auto"/>
              </w:rPr>
            </w:pPr>
          </w:p>
        </w:tc>
        <w:tc>
          <w:tcPr>
            <w:tcW w:w="160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216"/>
        </w:trPr>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Diamondback</w:t>
            </w:r>
          </w:p>
        </w:tc>
        <w:tc>
          <w:tcPr>
            <w:tcW w:w="1920" w:type="dxa"/>
            <w:vAlign w:val="bottom"/>
            <w:gridSpan w:val="3"/>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Q4 2020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19, 2021</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4, 2021</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11, 2021</w:t>
            </w:r>
          </w:p>
        </w:tc>
        <w:tc>
          <w:tcPr>
            <w:tcW w:w="0" w:type="dxa"/>
            <w:vAlign w:val="bottom"/>
          </w:tcPr>
          <w:p>
            <w:pPr>
              <w:spacing w:after="0"/>
              <w:rPr>
                <w:sz w:val="1"/>
                <w:szCs w:val="1"/>
                <w:color w:val="auto"/>
              </w:rPr>
            </w:pPr>
          </w:p>
        </w:tc>
      </w:tr>
      <w:tr>
        <w:trPr>
          <w:trHeight w:val="230"/>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Q1 2021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22,678</w:t>
            </w:r>
          </w:p>
        </w:tc>
        <w:tc>
          <w:tcPr>
            <w:tcW w:w="100" w:type="dxa"/>
            <w:vAlign w:val="bottom"/>
          </w:tcPr>
          <w:p>
            <w:pPr>
              <w:spacing w:after="0"/>
              <w:rPr>
                <w:sz w:val="20"/>
                <w:szCs w:val="20"/>
                <w:color w:val="auto"/>
              </w:rPr>
            </w:pPr>
          </w:p>
        </w:tc>
        <w:tc>
          <w:tcPr>
            <w:tcW w:w="880" w:type="dxa"/>
            <w:vAlign w:val="bottom"/>
          </w:tcPr>
          <w:p>
            <w:pPr>
              <w:jc w:val="right"/>
              <w:ind w:right="67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16,230</w:t>
            </w:r>
          </w:p>
        </w:tc>
        <w:tc>
          <w:tcPr>
            <w:tcW w:w="12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April 27, 2021</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May 13, 2021</w:t>
            </w:r>
          </w:p>
        </w:tc>
        <w:tc>
          <w:tcPr>
            <w:tcW w:w="1600" w:type="dxa"/>
            <w:vAlign w:val="bottom"/>
          </w:tcPr>
          <w:p>
            <w:pPr>
              <w:jc w:val="right"/>
              <w:spacing w:after="0"/>
              <w:rPr>
                <w:sz w:val="20"/>
                <w:szCs w:val="20"/>
                <w:color w:val="auto"/>
              </w:rPr>
            </w:pPr>
            <w:r>
              <w:rPr>
                <w:rFonts w:ascii="Arial" w:cs="Arial" w:eastAsia="Arial" w:hAnsi="Arial"/>
                <w:sz w:val="18"/>
                <w:szCs w:val="18"/>
                <w:color w:val="auto"/>
              </w:rPr>
              <w:t>May 20, 2021</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$0.1 million and $0.2 million paid to Diamondback for the fourth quarter of 2020 and the first quarter of 2021 distributions, respectively.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distributions will be made to the common unitholders of record on the applicable record date, generally within 60 days after the end of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quarter.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Ownership of Consolidated Subsidiaries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Non-controlling interest in the accompanying condensed consolidated financial statements represents Diamondback’s ownership in the net assets of the Operating Company. Diamondback’s relative ownership interest in the Operating Company can change due to the Partnership’s public offerings, issuance of units for acquisitions, issuance of unit-based compensation, repurchases of common units and distribution equivalent rights paid on the Partnership’s units. These changes in ownership percentage and the disproportionate allocation of net income (loss) to Diamondback discussed below result in adjustments to non-controlling interest and common unitholder equity, tax effected. The following table summarizes the changes in common unitholder equity due to changes in ownership interest during the period: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2080" w:type="dxa"/>
            <w:vAlign w:val="bottom"/>
            <w:gridSpan w:val="3"/>
          </w:tcPr>
          <w:p>
            <w:pPr>
              <w:ind w:left="80"/>
              <w:spacing w:after="0"/>
              <w:rPr>
                <w:sz w:val="20"/>
                <w:szCs w:val="20"/>
                <w:color w:val="auto"/>
              </w:rPr>
            </w:pPr>
            <w:r>
              <w:rPr>
                <w:rFonts w:ascii="Arial" w:cs="Arial" w:eastAsia="Arial" w:hAnsi="Arial"/>
                <w:sz w:val="16"/>
                <w:szCs w:val="16"/>
                <w:b w:val="1"/>
                <w:bCs w:val="1"/>
                <w:color w:val="auto"/>
                <w:w w:val="98"/>
              </w:rPr>
              <w:t>Three Months Ended June</w:t>
            </w:r>
          </w:p>
        </w:tc>
        <w:tc>
          <w:tcPr>
            <w:tcW w:w="198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Six Months Ended June 30,</w:t>
            </w:r>
          </w:p>
        </w:tc>
        <w:tc>
          <w:tcPr>
            <w:tcW w:w="0" w:type="dxa"/>
            <w:vAlign w:val="bottom"/>
          </w:tcPr>
          <w:p>
            <w:pPr>
              <w:spacing w:after="0"/>
              <w:rPr>
                <w:sz w:val="1"/>
                <w:szCs w:val="1"/>
                <w:color w:val="auto"/>
              </w:rPr>
            </w:pPr>
          </w:p>
        </w:tc>
      </w:tr>
      <w:tr>
        <w:trPr>
          <w:trHeight w:val="213"/>
        </w:trPr>
        <w:tc>
          <w:tcPr>
            <w:tcW w:w="7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30, 2021</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3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7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gridSpan w:val="3"/>
          </w:tcPr>
          <w:p>
            <w:pPr>
              <w:ind w:left="1120"/>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Partnership</w:t>
            </w: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ownership of consolidated subsidiaries</w:t>
            </w:r>
          </w:p>
        </w:tc>
        <w:tc>
          <w:tcPr>
            <w:tcW w:w="4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155"/>
        </w:trPr>
        <w:tc>
          <w:tcPr>
            <w:tcW w:w="71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Change from net income (loss) attributable to the Partnership's unitholders and transfers to non-</w:t>
            </w:r>
          </w:p>
        </w:tc>
        <w:tc>
          <w:tcPr>
            <w:tcW w:w="420" w:type="dxa"/>
            <w:vAlign w:val="bottom"/>
            <w:vMerge w:val="restart"/>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controlling interest</w:t>
            </w: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changes in ownership of consolidated subsidiaries during the three and six months ended June 30,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Net Income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 as managing member of the Operating Company, has entered into an agreement whereby special allocations of the Operating Company’s income and gains over losses and deductions (but before depletion) are to be made to Diamondback through 2023. These special income allocations will reduce the taxable income allocated to the Partnership’s common unitholders.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EARNINGS PER COMMON UNIT</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net income (loss) per common unit on the condensed consolidated statements of operations is based on the net income (loss) of the Partnership for the three and six months ended June 30, 2021 and 2020, which is the amount of net income (loss) attributable to the Partnership’s common units.</w:t>
      </w:r>
    </w:p>
    <w:p>
      <w:pPr>
        <w:spacing w:after="0" w:line="211" w:lineRule="exact"/>
        <w:rPr>
          <w:sz w:val="20"/>
          <w:szCs w:val="20"/>
          <w:color w:val="auto"/>
        </w:rPr>
      </w:pPr>
    </w:p>
    <w:p>
      <w:pPr>
        <w:jc w:val="both"/>
        <w:ind w:firstLine="648"/>
        <w:spacing w:after="0" w:line="248" w:lineRule="auto"/>
        <w:rPr>
          <w:rFonts w:ascii="Arial" w:cs="Arial" w:eastAsia="Arial" w:hAnsi="Arial"/>
          <w:sz w:val="18"/>
          <w:szCs w:val="18"/>
          <w:color w:val="0000FF"/>
        </w:rPr>
      </w:pPr>
      <w:r>
        <w:rPr>
          <w:rFonts w:ascii="Arial" w:cs="Arial" w:eastAsia="Arial" w:hAnsi="Arial"/>
          <w:sz w:val="18"/>
          <w:szCs w:val="18"/>
          <w:color w:val="auto"/>
        </w:rPr>
        <w:t xml:space="preserve">The Partnership’s net income (loss) is allocated wholly to the common units, as the General Partner does not have an economic interest. Payments </w:t>
      </w:r>
      <w:hyperlink w:anchor="page16">
        <w:r>
          <w:rPr>
            <w:rFonts w:ascii="Arial" w:cs="Arial" w:eastAsia="Arial" w:hAnsi="Arial"/>
            <w:sz w:val="18"/>
            <w:szCs w:val="18"/>
            <w:color w:val="auto"/>
          </w:rPr>
          <w:t>made to the Partnership’s unitholders are determined in relation to the cash distribution policy described in Note 7—</w:t>
        </w:r>
        <w:r>
          <w:rPr>
            <w:rFonts w:ascii="Arial" w:cs="Arial" w:eastAsia="Arial" w:hAnsi="Arial"/>
            <w:sz w:val="18"/>
            <w:szCs w:val="18"/>
            <w:u w:val="single" w:color="auto"/>
            <w:color w:val="0000FF"/>
          </w:rPr>
          <w:t>Unitholders' Equity and Partnership</w:t>
        </w:r>
      </w:hyperlink>
      <w:r>
        <w:rPr>
          <w:rFonts w:ascii="Arial" w:cs="Arial" w:eastAsia="Arial" w:hAnsi="Arial"/>
          <w:sz w:val="18"/>
          <w:szCs w:val="18"/>
          <w:color w:val="auto"/>
        </w:rPr>
        <w:t xml:space="preserve"> </w:t>
      </w:r>
      <w:hyperlink w:anchor="page16">
        <w:r>
          <w:rPr>
            <w:rFonts w:ascii="Arial" w:cs="Arial" w:eastAsia="Arial" w:hAnsi="Arial"/>
            <w:sz w:val="18"/>
            <w:szCs w:val="18"/>
            <w:u w:val="single" w:color="auto"/>
            <w:color w:val="0000FF"/>
          </w:rPr>
          <w:t>Distributions</w:t>
        </w:r>
        <w:r>
          <w:rPr>
            <w:rFonts w:ascii="Arial" w:cs="Arial" w:eastAsia="Arial" w:hAnsi="Arial"/>
            <w:sz w:val="18"/>
            <w:szCs w:val="18"/>
            <w:color w:val="000000"/>
          </w:rPr>
          <w:t>.</w:t>
        </w:r>
      </w:hyperlink>
    </w:p>
    <w:p>
      <w:pPr>
        <w:spacing w:after="0" w:line="20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Basic net income (loss) per common unit is calculated by dividing net income (loss) by the weighted-average number of common units outstanding during the period. Diluted net income (loss) per common unit gives effect, when applicable, to unvested common units granted under the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unit is presented in the table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64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6"/>
                <w:szCs w:val="16"/>
                <w:b w:val="1"/>
                <w:bCs w:val="1"/>
                <w:color w:val="auto"/>
                <w:w w:val="96"/>
              </w:rPr>
              <w:t>(In thousands, except per unit amounts)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period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(163,921)</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net income (loss) allocated to participating securities</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attributable to common unitholders</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(21,756)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(163,945)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67,827</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Potential common units issuable</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20"/>
              <w:spacing w:after="0"/>
              <w:rPr>
                <w:sz w:val="20"/>
                <w:szCs w:val="20"/>
                <w:color w:val="auto"/>
              </w:rPr>
            </w:pPr>
            <w:r>
              <w:rPr>
                <w:rFonts w:ascii="Arial" w:cs="Arial" w:eastAsia="Arial" w:hAnsi="Arial"/>
                <w:sz w:val="18"/>
                <w:szCs w:val="18"/>
                <w:color w:val="auto"/>
              </w:rPr>
              <w:t>Diluted weighted average common units outstanding</w:t>
            </w: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64,795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67,831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65,151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67,827</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common unit, 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Net income (loss) per common unit,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 equivalent rights granted to employees are considered participating securities.</w:t>
      </w:r>
    </w:p>
    <w:p>
      <w:pPr>
        <w:spacing w:after="0" w:line="23" w:lineRule="exact"/>
        <w:rPr>
          <w:rFonts w:ascii="Arial" w:cs="Arial" w:eastAsia="Arial" w:hAnsi="Arial"/>
          <w:sz w:val="18"/>
          <w:szCs w:val="18"/>
          <w:color w:val="auto"/>
        </w:rPr>
      </w:pPr>
    </w:p>
    <w:p>
      <w:pPr>
        <w:ind w:left="340" w:hanging="332"/>
        <w:spacing w:after="0" w:line="253" w:lineRule="auto"/>
        <w:tabs>
          <w:tab w:leader="none" w:pos="271"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three and six months ended June 30, 2021, 39 and 4,974 potential common units, respectively, were excluded from the computation of diluted earnings per common unit because their inclusion would have been anti-dilutive. For the three and six months ended June 30, 2020, no potential common units were included in the computation of diluted earnings per common unit because their inclusion would have been anti-dilutive as a result of recording a net loss attributable to the common unitholders for the period.</w:t>
      </w:r>
    </w:p>
    <w:p>
      <w:pPr>
        <w:spacing w:after="0" w:line="21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INCOME TAXES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the Partnership’s provision for (benefit from) income taxes and the effective income tax rate for the dates indicated: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8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r>
      <w:tr>
        <w:trPr>
          <w:trHeight w:val="210"/>
        </w:trPr>
        <w:tc>
          <w:tcPr>
            <w:tcW w:w="4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0" w:type="dxa"/>
            <w:vAlign w:val="bottom"/>
            <w:gridSpan w:val="5"/>
          </w:tcPr>
          <w:p>
            <w:pPr>
              <w:jc w:val="right"/>
              <w:ind w:right="315"/>
              <w:spacing w:after="0"/>
              <w:rPr>
                <w:sz w:val="20"/>
                <w:szCs w:val="20"/>
                <w:color w:val="auto"/>
              </w:rPr>
            </w:pPr>
            <w:r>
              <w:rPr>
                <w:rFonts w:ascii="Arial" w:cs="Arial" w:eastAsia="Arial" w:hAnsi="Arial"/>
                <w:sz w:val="16"/>
                <w:szCs w:val="16"/>
                <w:b w:val="1"/>
                <w:bCs w:val="1"/>
                <w:color w:val="auto"/>
              </w:rPr>
              <w:t>(In thousands, except for tax rate)</w:t>
            </w: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2"/>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142,466</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000" w:type="dxa"/>
            <w:vAlign w:val="bottom"/>
          </w:tcPr>
          <w:p>
            <w:pPr>
              <w:spacing w:after="0"/>
              <w:rPr>
                <w:sz w:val="20"/>
                <w:szCs w:val="20"/>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 %</w:t>
            </w:r>
          </w:p>
        </w:tc>
        <w:tc>
          <w:tcPr>
            <w:tcW w:w="1100" w:type="dxa"/>
            <w:vAlign w:val="bottom"/>
          </w:tcPr>
          <w:p>
            <w:pPr>
              <w:spacing w:after="0"/>
              <w:rPr>
                <w:sz w:val="20"/>
                <w:szCs w:val="20"/>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0.1 %</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(986.6)%</w:t>
            </w:r>
          </w:p>
        </w:tc>
      </w:tr>
    </w:tbl>
    <w:p>
      <w:pPr>
        <w:spacing w:after="0" w:line="29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The Partnership’s effective income tax rates for the three and six months ended June 30, 2021 and 2020 differed from amounts computed by applying the United States federal statutory tax rate to pre-tax income for the period primarily due to net income attributable to the non-controlling interest and the impact of maintaining a valuation allowance on the Partnership’s deferred tax assets. For the six months ended June 30, 2020, the Partnership also recorded discrete income tax expense of approximately $142.5 million related to application of a valuation allowance on the Partnership’s beginning-of-year deferred tax assets.</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As of June 30, 2021 and 2020, the Partnership maintained a full valuation allowance against its deferred tax assets, based on its assessment of all available evidence, both positive and negative, supporting realizability of the Partnership’s deferred tax assets.</w:t>
      </w:r>
    </w:p>
    <w:p>
      <w:pPr>
        <w:spacing w:after="0" w:line="2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DERIVATIVES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derivative financial instruments are recorded at fair value. The Partnership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Contracts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Partnership historically has used fixed price swap contracts, fixed price basis swap contracts and costless collars with corresponding put and call options to reduce price volatility associated with certain of its royalty income. Under the Partnership’s costless collar contracts, each collar has an established floor price and ceiling price. When the settlement price is below the floor price, the counterparty is required to make a payment to the Partnership and when the settlement price is above the ceiling price, the Partnership is required to make a payment to the counterparty. When the settlement price is between the floor and the ceiling, there is no payment required.</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Partnership’s derivative contracts are based upon reported settlement prices on commodity exchanges, with crude oil derivative settlements based on New York Mercantile Exchange West Texas Intermediate pricing (Cushing) and with natural gas derivative settlements based on the New York Mercantile Exchange Henry Hub pricing.</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By using derivative instruments to economically hedge exposure to changes in commodity prices, the Partnership exposes itself to credit risk and market risk. Credit risk is the failure of the counterparty to perform under the terms of the derivative contract. When the fair value of a derivative contract is positive, the counterparty owes the Partnership, which creates credit risk. The Partnership’s counterparties are all participants in the amended and restated credit agreement, which is secured by substantially all of the assets of the guarantor subsidiaries; therefore, the Partnership is not required to post any collateral. The Partnership’s counterparties have been determined to have an acceptable credit risk; therefore, the Partnership does not require collateral from its counterparties.</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2021, the Partnership had the following outstanding derivative contracts. When aggregating multiple contracts, the weighted average contract price is disclosed.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60" w:type="dxa"/>
            <w:vAlign w:val="bottom"/>
            <w:gridSpan w:val="3"/>
          </w:tcPr>
          <w:p>
            <w:pPr>
              <w:ind w:left="920"/>
              <w:spacing w:after="0"/>
              <w:rPr>
                <w:sz w:val="20"/>
                <w:szCs w:val="20"/>
                <w:color w:val="auto"/>
              </w:rPr>
            </w:pPr>
            <w:r>
              <w:rPr>
                <w:rFonts w:ascii="Arial" w:cs="Arial" w:eastAsia="Arial" w:hAnsi="Arial"/>
                <w:sz w:val="16"/>
                <w:szCs w:val="16"/>
                <w:b w:val="1"/>
                <w:bCs w:val="1"/>
                <w:color w:val="auto"/>
              </w:rPr>
              <w:t>Swaps</w:t>
            </w:r>
          </w:p>
        </w:tc>
        <w:tc>
          <w:tcPr>
            <w:tcW w:w="2200" w:type="dxa"/>
            <w:vAlign w:val="bottom"/>
            <w:gridSpan w:val="3"/>
          </w:tcPr>
          <w:p>
            <w:pPr>
              <w:ind w:left="800"/>
              <w:spacing w:after="0"/>
              <w:rPr>
                <w:sz w:val="20"/>
                <w:szCs w:val="20"/>
                <w:color w:val="auto"/>
              </w:rPr>
            </w:pPr>
            <w:r>
              <w:rPr>
                <w:rFonts w:ascii="Arial" w:cs="Arial" w:eastAsia="Arial" w:hAnsi="Arial"/>
                <w:sz w:val="16"/>
                <w:szCs w:val="16"/>
                <w:b w:val="1"/>
                <w:bCs w:val="1"/>
                <w:color w:val="auto"/>
              </w:rPr>
              <w:t>Collars</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6"/>
              </w:rPr>
              <w:t>Puts</w:t>
            </w: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Type of</w:t>
            </w: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Bbls/Mcf</w:t>
            </w:r>
          </w:p>
        </w:tc>
        <w:tc>
          <w:tcPr>
            <w:tcW w:w="1280" w:type="dxa"/>
            <w:vAlign w:val="bottom"/>
          </w:tcPr>
          <w:p>
            <w:pPr>
              <w:spacing w:after="0"/>
              <w:rPr>
                <w:sz w:val="13"/>
                <w:szCs w:val="13"/>
                <w:color w:val="auto"/>
              </w:rPr>
            </w:pPr>
          </w:p>
        </w:tc>
        <w:tc>
          <w:tcPr>
            <w:tcW w:w="1120" w:type="dxa"/>
            <w:vAlign w:val="bottom"/>
            <w:tcBorders>
              <w:top w:val="single" w:sz="8" w:color="auto"/>
            </w:tcBorders>
          </w:tcPr>
          <w:p>
            <w:pPr>
              <w:jc w:val="center"/>
              <w:ind w:left="15"/>
              <w:spacing w:after="0" w:line="158" w:lineRule="exact"/>
              <w:rPr>
                <w:sz w:val="20"/>
                <w:szCs w:val="20"/>
                <w:color w:val="auto"/>
              </w:rPr>
            </w:pPr>
            <w:r>
              <w:rPr>
                <w:rFonts w:ascii="Arial" w:cs="Arial" w:eastAsia="Arial" w:hAnsi="Arial"/>
                <w:sz w:val="16"/>
                <w:szCs w:val="16"/>
                <w:b w:val="1"/>
                <w:bCs w:val="1"/>
                <w:color w:val="auto"/>
                <w:w w:val="91"/>
              </w:rPr>
              <w:t>Weighted</w:t>
            </w:r>
          </w:p>
        </w:tc>
        <w:tc>
          <w:tcPr>
            <w:tcW w:w="1160" w:type="dxa"/>
            <w:vAlign w:val="bottom"/>
            <w:tcBorders>
              <w:top w:val="single" w:sz="8" w:color="auto"/>
            </w:tcBorders>
          </w:tcPr>
          <w:p>
            <w:pPr>
              <w:jc w:val="center"/>
              <w:ind w:left="14"/>
              <w:spacing w:after="0" w:line="158" w:lineRule="exact"/>
              <w:rPr>
                <w:sz w:val="20"/>
                <w:szCs w:val="20"/>
                <w:color w:val="auto"/>
              </w:rPr>
            </w:pPr>
            <w:r>
              <w:rPr>
                <w:rFonts w:ascii="Arial" w:cs="Arial" w:eastAsia="Arial" w:hAnsi="Arial"/>
                <w:sz w:val="16"/>
                <w:szCs w:val="16"/>
                <w:b w:val="1"/>
                <w:bCs w:val="1"/>
                <w:color w:val="auto"/>
                <w:w w:val="91"/>
              </w:rPr>
              <w:t>Weighted</w:t>
            </w:r>
          </w:p>
        </w:tc>
        <w:tc>
          <w:tcPr>
            <w:tcW w:w="8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0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gridSpan w:val="2"/>
            <w:vMerge w:val="restart"/>
          </w:tcPr>
          <w:p>
            <w:pPr>
              <w:jc w:val="right"/>
              <w:ind w:right="70"/>
              <w:spacing w:after="0"/>
              <w:rPr>
                <w:sz w:val="20"/>
                <w:szCs w:val="20"/>
                <w:color w:val="auto"/>
              </w:rPr>
            </w:pPr>
            <w:r>
              <w:rPr>
                <w:rFonts w:ascii="Arial" w:cs="Arial" w:eastAsia="Arial" w:hAnsi="Arial"/>
                <w:sz w:val="16"/>
                <w:szCs w:val="16"/>
                <w:b w:val="1"/>
                <w:bCs w:val="1"/>
                <w:color w:val="auto"/>
                <w:w w:val="93"/>
              </w:rPr>
              <w:t>Settlement Month Settlement Year</w:t>
            </w: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Index</w:t>
            </w: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1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Average Fixed</w:t>
            </w:r>
          </w:p>
        </w:tc>
        <w:tc>
          <w:tcPr>
            <w:tcW w:w="1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Average Floor</w:t>
            </w:r>
          </w:p>
        </w:tc>
        <w:tc>
          <w:tcPr>
            <w:tcW w:w="11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Average</w:t>
            </w: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Strike Price</w:t>
            </w:r>
          </w:p>
        </w:tc>
        <w:tc>
          <w:tcPr>
            <w:tcW w:w="0" w:type="dxa"/>
            <w:vAlign w:val="bottom"/>
          </w:tcPr>
          <w:p>
            <w:pPr>
              <w:spacing w:after="0"/>
              <w:rPr>
                <w:sz w:val="1"/>
                <w:szCs w:val="1"/>
                <w:color w:val="auto"/>
              </w:rPr>
            </w:pPr>
          </w:p>
        </w:tc>
      </w:tr>
      <w:tr>
        <w:trPr>
          <w:trHeight w:val="213"/>
        </w:trPr>
        <w:tc>
          <w:tcPr>
            <w:tcW w:w="2620" w:type="dxa"/>
            <w:vAlign w:val="bottom"/>
            <w:gridSpan w:val="2"/>
            <w:vMerge w:val="continue"/>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3"/>
              </w:rPr>
              <w:t>Per Day</w:t>
            </w:r>
          </w:p>
        </w:tc>
        <w:tc>
          <w:tcPr>
            <w:tcW w:w="1280" w:type="dxa"/>
            <w:vAlign w:val="bottom"/>
            <w:vMerge w:val="continue"/>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5"/>
              </w:rPr>
              <w:t>Differential</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Price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Price</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Ceiling Price</w:t>
            </w: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Borders>
              <w:top w:val="single" w:sz="8" w:color="auto"/>
            </w:tcBorders>
          </w:tcPr>
          <w:p>
            <w:pPr>
              <w:jc w:val="center"/>
              <w:ind w:right="54"/>
              <w:spacing w:after="0"/>
              <w:rPr>
                <w:sz w:val="20"/>
                <w:szCs w:val="20"/>
                <w:color w:val="auto"/>
              </w:rPr>
            </w:pPr>
            <w:r>
              <w:rPr>
                <w:rFonts w:ascii="Arial" w:cs="Arial" w:eastAsia="Arial" w:hAnsi="Arial"/>
                <w:sz w:val="16"/>
                <w:szCs w:val="16"/>
                <w:b w:val="1"/>
                <w:bCs w:val="1"/>
                <w:color w:val="auto"/>
              </w:rPr>
              <w:t>OIL</w:t>
            </w:r>
          </w:p>
        </w:tc>
        <w:tc>
          <w:tcPr>
            <w:tcW w:w="1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48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1"/>
              </w:rPr>
              <w:t>Jul. - Dec.</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2021</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Collars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WTI Cushing</w:t>
            </w:r>
          </w:p>
        </w:tc>
        <w:tc>
          <w:tcPr>
            <w:tcW w:w="112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2"/>
              </w:rPr>
              <w:t>$—</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$43.05</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480" w:type="dxa"/>
            <w:vAlign w:val="bottom"/>
          </w:tcPr>
          <w:p>
            <w:pPr>
              <w:jc w:val="center"/>
              <w:ind w:right="74"/>
              <w:spacing w:after="0"/>
              <w:rPr>
                <w:sz w:val="20"/>
                <w:szCs w:val="20"/>
                <w:color w:val="auto"/>
              </w:rPr>
            </w:pPr>
            <w:r>
              <w:rPr>
                <w:rFonts w:ascii="Arial" w:cs="Arial" w:eastAsia="Arial" w:hAnsi="Arial"/>
                <w:sz w:val="18"/>
                <w:szCs w:val="18"/>
                <w:color w:val="auto"/>
                <w:w w:val="88"/>
              </w:rPr>
              <w:t>Jan. - Mar.</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Collars</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2,500</w:t>
            </w: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WTI Cushing</w:t>
            </w:r>
          </w:p>
        </w:tc>
        <w:tc>
          <w:tcPr>
            <w:tcW w:w="1120" w:type="dxa"/>
            <w:vAlign w:val="bottom"/>
          </w:tcPr>
          <w:p>
            <w:pPr>
              <w:jc w:val="center"/>
              <w:ind w:left="15"/>
              <w:spacing w:after="0"/>
              <w:rPr>
                <w:sz w:val="20"/>
                <w:szCs w:val="20"/>
                <w:color w:val="auto"/>
              </w:rPr>
            </w:pPr>
            <w:r>
              <w:rPr>
                <w:rFonts w:ascii="Arial" w:cs="Arial" w:eastAsia="Arial" w:hAnsi="Arial"/>
                <w:sz w:val="18"/>
                <w:szCs w:val="18"/>
                <w:color w:val="auto"/>
                <w:w w:val="92"/>
              </w:rPr>
              <w:t>$—</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$45.00</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$79.55</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88"/>
              </w:rPr>
              <w:t>Jan. - Mar.</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2022</w:t>
            </w:r>
          </w:p>
        </w:tc>
        <w:tc>
          <w:tcPr>
            <w:tcW w:w="94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0"/>
              </w:rPr>
              <w:t>Puts</w:t>
            </w:r>
            <w:r>
              <w:rPr>
                <w:rFonts w:ascii="Arial" w:cs="Arial" w:eastAsia="Arial" w:hAnsi="Arial"/>
                <w:sz w:val="23"/>
                <w:szCs w:val="23"/>
                <w:color w:val="auto"/>
                <w:w w:val="80"/>
                <w:vertAlign w:val="superscript"/>
              </w:rPr>
              <w:t>(1)</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WTI Cushing</w:t>
            </w:r>
          </w:p>
        </w:tc>
        <w:tc>
          <w:tcPr>
            <w:tcW w:w="112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2"/>
              </w:rPr>
              <w:t>$—</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$47.52</w:t>
            </w:r>
          </w:p>
        </w:tc>
        <w:tc>
          <w:tcPr>
            <w:tcW w:w="0" w:type="dxa"/>
            <w:vAlign w:val="bottom"/>
          </w:tcPr>
          <w:p>
            <w:pPr>
              <w:spacing w:after="0"/>
              <w:rPr>
                <w:sz w:val="1"/>
                <w:szCs w:val="1"/>
                <w:color w:val="auto"/>
              </w:rPr>
            </w:pPr>
          </w:p>
        </w:tc>
      </w:tr>
      <w:tr>
        <w:trPr>
          <w:trHeight w:val="213"/>
        </w:trPr>
        <w:tc>
          <w:tcPr>
            <w:tcW w:w="1480" w:type="dxa"/>
            <w:vAlign w:val="bottom"/>
          </w:tcPr>
          <w:p>
            <w:pPr>
              <w:jc w:val="center"/>
              <w:ind w:right="74"/>
              <w:spacing w:after="0"/>
              <w:rPr>
                <w:sz w:val="20"/>
                <w:szCs w:val="20"/>
                <w:color w:val="auto"/>
              </w:rPr>
            </w:pPr>
            <w:r>
              <w:rPr>
                <w:rFonts w:ascii="Arial" w:cs="Arial" w:eastAsia="Arial" w:hAnsi="Arial"/>
                <w:sz w:val="16"/>
                <w:szCs w:val="16"/>
                <w:b w:val="1"/>
                <w:bCs w:val="1"/>
                <w:color w:val="auto"/>
                <w:w w:val="99"/>
              </w:rPr>
              <w:t>NATURAL GAS</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48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87"/>
              </w:rPr>
              <w:t>Jan. - Dec.</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2022</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Collars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Henry Hub</w:t>
            </w:r>
          </w:p>
        </w:tc>
        <w:tc>
          <w:tcPr>
            <w:tcW w:w="112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2"/>
              </w:rPr>
              <w:t>$—</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$4.62</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Includes immaterial deferred premiums.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hyperlink w:anchor="page20">
        <w:r>
          <w:rPr>
            <w:rFonts w:ascii="Arial" w:cs="Arial" w:eastAsia="Arial" w:hAnsi="Arial"/>
            <w:sz w:val="18"/>
            <w:szCs w:val="18"/>
            <w:u w:val="single" w:color="auto"/>
            <w:color w:val="0000FF"/>
          </w:rPr>
          <w:t>Fair Value Measurements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the gains and losses on derivative instruments included in the condensed consolidated statements of operations and the net cash receipts (payments) on derivatives for the periods presented: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4"/>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460" w:type="dxa"/>
            <w:vAlign w:val="bottom"/>
          </w:tcPr>
          <w:p>
            <w:pPr>
              <w:spacing w:after="0"/>
              <w:rPr>
                <w:sz w:val="18"/>
                <w:szCs w:val="18"/>
                <w:color w:val="auto"/>
              </w:rPr>
            </w:pPr>
          </w:p>
        </w:tc>
        <w:tc>
          <w:tcPr>
            <w:tcW w:w="2420" w:type="dxa"/>
            <w:vAlign w:val="bottom"/>
            <w:gridSpan w:val="3"/>
          </w:tcPr>
          <w:p>
            <w:pPr>
              <w:jc w:val="right"/>
              <w:ind w:right="413"/>
              <w:spacing w:after="0"/>
              <w:rPr>
                <w:sz w:val="20"/>
                <w:szCs w:val="20"/>
                <w:color w:val="auto"/>
              </w:rPr>
            </w:pPr>
            <w:r>
              <w:rPr>
                <w:rFonts w:ascii="Arial" w:cs="Arial" w:eastAsia="Arial" w:hAnsi="Arial"/>
                <w:sz w:val="16"/>
                <w:szCs w:val="16"/>
                <w:b w:val="1"/>
                <w:bCs w:val="1"/>
                <w:color w:val="auto"/>
                <w:w w:val="91"/>
              </w:rPr>
              <w:t>Six Months Ended June 30,</w:t>
            </w:r>
          </w:p>
        </w:tc>
      </w:tr>
      <w:tr>
        <w:trPr>
          <w:trHeight w:val="210"/>
        </w:trPr>
        <w:tc>
          <w:tcPr>
            <w:tcW w:w="53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r>
      <w:tr>
        <w:trPr>
          <w:trHeight w:val="209"/>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2"/>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(42,385)</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(20,940)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(2,101)</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(35,882)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(2,554)</w:t>
            </w:r>
          </w:p>
        </w:tc>
      </w:tr>
    </w:tbl>
    <w:p>
      <w:pPr>
        <w:spacing w:after="0" w:line="305"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Partnership’s assessment of the significance of a particular input to the fair value measurements requires judgment and may affect the valuation of the assets and liabilities being measured and their placement within the fair value hierarchy. The Partnership uses appropriate valuation techniques based on available inputs to measure the fair values of its assets and liabilities.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4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assets and liabilities are reported at fair value on a recurring basis, including the Partnership’s derivative instruments. The fair values of the Partnership’s derivative contracts are measured internally using established commodity futures price strips for the underlying commodity provided by a reputable third party, the contracted notional volumes, and time to maturity. These valuations are Level 2 inputs.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6" w:lineRule="exact"/>
        <w:rPr>
          <w:sz w:val="20"/>
          <w:szCs w:val="20"/>
          <w:color w:val="auto"/>
        </w:rPr>
      </w:pPr>
    </w:p>
    <w:p>
      <w:pPr>
        <w:jc w:val="both"/>
        <w:ind w:firstLine="8"/>
        <w:spacing w:after="0" w:line="255"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gross amounts of recognized derivative assets and liabilities, (iii) the amounts offset under master netting arrangements with counterparties, and (iv) the resulting net amounts presented in the Partnership’s condensed consolidated balance sheets as of June 30, 2021 and December 31, 2020. The net amounts are classified as current or noncurrent based on their anticipated settlement dates.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ind w:left="596"/>
              <w:spacing w:after="0"/>
              <w:rPr>
                <w:sz w:val="20"/>
                <w:szCs w:val="20"/>
                <w:color w:val="auto"/>
              </w:rPr>
            </w:pPr>
            <w:r>
              <w:rPr>
                <w:rFonts w:ascii="Arial" w:cs="Arial" w:eastAsia="Arial" w:hAnsi="Arial"/>
                <w:sz w:val="16"/>
                <w:szCs w:val="16"/>
                <w:b w:val="1"/>
                <w:bCs w:val="1"/>
                <w:color w:val="auto"/>
                <w:w w:val="90"/>
              </w:rPr>
              <w:t>As of June 30, 2021</w:t>
            </w:r>
          </w:p>
        </w:tc>
        <w:tc>
          <w:tcPr>
            <w:tcW w:w="1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2"/>
            <w:vMerge w:val="restart"/>
          </w:tcPr>
          <w:p>
            <w:pPr>
              <w:jc w:val="center"/>
              <w:ind w:left="756"/>
              <w:spacing w:after="0"/>
              <w:rPr>
                <w:sz w:val="20"/>
                <w:szCs w:val="20"/>
                <w:color w:val="auto"/>
              </w:rPr>
            </w:pPr>
            <w:r>
              <w:rPr>
                <w:rFonts w:ascii="Arial" w:cs="Arial" w:eastAsia="Arial" w:hAnsi="Arial"/>
                <w:sz w:val="16"/>
                <w:szCs w:val="16"/>
                <w:b w:val="1"/>
                <w:bCs w:val="1"/>
                <w:color w:val="auto"/>
                <w:w w:val="92"/>
              </w:rPr>
              <w:t>Total Gross Fair</w:t>
            </w:r>
          </w:p>
        </w:tc>
        <w:tc>
          <w:tcPr>
            <w:tcW w:w="160" w:type="dxa"/>
            <w:vAlign w:val="bottom"/>
          </w:tcPr>
          <w:p>
            <w:pPr>
              <w:spacing w:after="0"/>
              <w:rPr>
                <w:sz w:val="13"/>
                <w:szCs w:val="13"/>
                <w:color w:val="auto"/>
              </w:rPr>
            </w:pPr>
          </w:p>
        </w:tc>
        <w:tc>
          <w:tcPr>
            <w:tcW w:w="1380" w:type="dxa"/>
            <w:vAlign w:val="bottom"/>
          </w:tcPr>
          <w:p>
            <w:pPr>
              <w:jc w:val="center"/>
              <w:ind w:right="75"/>
              <w:spacing w:after="0" w:line="158" w:lineRule="exact"/>
              <w:rPr>
                <w:sz w:val="20"/>
                <w:szCs w:val="20"/>
                <w:color w:val="auto"/>
              </w:rPr>
            </w:pPr>
            <w:r>
              <w:rPr>
                <w:rFonts w:ascii="Arial" w:cs="Arial" w:eastAsia="Arial" w:hAnsi="Arial"/>
                <w:sz w:val="16"/>
                <w:szCs w:val="16"/>
                <w:b w:val="1"/>
                <w:bCs w:val="1"/>
                <w:color w:val="auto"/>
                <w:w w:val="88"/>
              </w:rPr>
              <w:t>Gross Amounts</w:t>
            </w:r>
          </w:p>
        </w:tc>
        <w:tc>
          <w:tcPr>
            <w:tcW w:w="180" w:type="dxa"/>
            <w:vAlign w:val="bottom"/>
          </w:tcPr>
          <w:p>
            <w:pPr>
              <w:spacing w:after="0"/>
              <w:rPr>
                <w:sz w:val="13"/>
                <w:szCs w:val="13"/>
                <w:color w:val="auto"/>
              </w:rPr>
            </w:pPr>
          </w:p>
        </w:tc>
        <w:tc>
          <w:tcPr>
            <w:tcW w:w="1340" w:type="dxa"/>
            <w:vAlign w:val="bottom"/>
          </w:tcPr>
          <w:p>
            <w:pPr>
              <w:jc w:val="center"/>
              <w:ind w:right="95"/>
              <w:spacing w:after="0" w:line="158" w:lineRule="exact"/>
              <w:rPr>
                <w:sz w:val="20"/>
                <w:szCs w:val="20"/>
                <w:color w:val="auto"/>
              </w:rPr>
            </w:pPr>
            <w:r>
              <w:rPr>
                <w:rFonts w:ascii="Arial" w:cs="Arial" w:eastAsia="Arial" w:hAnsi="Arial"/>
                <w:sz w:val="16"/>
                <w:szCs w:val="16"/>
                <w:b w:val="1"/>
                <w:bCs w:val="1"/>
                <w:color w:val="auto"/>
                <w:w w:val="93"/>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5"/>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92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left="776"/>
              <w:spacing w:after="0"/>
              <w:rPr>
                <w:sz w:val="20"/>
                <w:szCs w:val="20"/>
                <w:color w:val="auto"/>
              </w:rPr>
            </w:pPr>
            <w:r>
              <w:rPr>
                <w:rFonts w:ascii="Arial" w:cs="Arial" w:eastAsia="Arial" w:hAnsi="Arial"/>
                <w:sz w:val="16"/>
                <w:szCs w:val="16"/>
                <w:b w:val="1"/>
                <w:bCs w:val="1"/>
                <w:color w:val="auto"/>
                <w:w w:val="90"/>
              </w:rPr>
              <w:t>(In thousands)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52,520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58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52,520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(758)</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51,762</w:t>
            </w:r>
          </w:p>
        </w:tc>
        <w:tc>
          <w:tcPr>
            <w:tcW w:w="0" w:type="dxa"/>
            <w:vAlign w:val="bottom"/>
          </w:tcPr>
          <w:p>
            <w:pPr>
              <w:spacing w:after="0"/>
              <w:rPr>
                <w:sz w:val="1"/>
                <w:szCs w:val="1"/>
                <w:color w:val="auto"/>
              </w:rPr>
            </w:pPr>
          </w:p>
        </w:tc>
      </w:tr>
      <w:tr>
        <w:trPr>
          <w:trHeight w:val="577"/>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center"/>
              <w:ind w:right="595"/>
              <w:spacing w:after="0"/>
              <w:rPr>
                <w:sz w:val="20"/>
                <w:szCs w:val="20"/>
                <w:color w:val="auto"/>
              </w:rPr>
            </w:pPr>
            <w:r>
              <w:rPr>
                <w:rFonts w:ascii="Arial" w:cs="Arial" w:eastAsia="Arial" w:hAnsi="Arial"/>
                <w:sz w:val="16"/>
                <w:szCs w:val="16"/>
                <w:b w:val="1"/>
                <w:bCs w:val="1"/>
                <w:color w:val="auto"/>
                <w:w w:val="91"/>
              </w:rPr>
              <w:t>As of December 31, 2020</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20" w:type="dxa"/>
            <w:vAlign w:val="bottom"/>
            <w:gridSpan w:val="2"/>
            <w:vMerge w:val="restart"/>
          </w:tcPr>
          <w:p>
            <w:pPr>
              <w:jc w:val="center"/>
              <w:ind w:left="776"/>
              <w:spacing w:after="0"/>
              <w:rPr>
                <w:sz w:val="20"/>
                <w:szCs w:val="20"/>
                <w:color w:val="auto"/>
              </w:rPr>
            </w:pPr>
            <w:r>
              <w:rPr>
                <w:rFonts w:ascii="Arial" w:cs="Arial" w:eastAsia="Arial" w:hAnsi="Arial"/>
                <w:sz w:val="16"/>
                <w:szCs w:val="16"/>
                <w:b w:val="1"/>
                <w:bCs w:val="1"/>
                <w:color w:val="auto"/>
                <w:w w:val="91"/>
              </w:rPr>
              <w:t>Total Gross Fair</w:t>
            </w:r>
          </w:p>
        </w:tc>
        <w:tc>
          <w:tcPr>
            <w:tcW w:w="160" w:type="dxa"/>
            <w:vAlign w:val="bottom"/>
          </w:tcPr>
          <w:p>
            <w:pPr>
              <w:spacing w:after="0"/>
              <w:rPr>
                <w:sz w:val="13"/>
                <w:szCs w:val="13"/>
                <w:color w:val="auto"/>
              </w:rPr>
            </w:pPr>
          </w:p>
        </w:tc>
        <w:tc>
          <w:tcPr>
            <w:tcW w:w="1380" w:type="dxa"/>
            <w:vAlign w:val="bottom"/>
          </w:tcPr>
          <w:p>
            <w:pPr>
              <w:jc w:val="center"/>
              <w:ind w:right="55"/>
              <w:spacing w:after="0" w:line="158" w:lineRule="exact"/>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3"/>
                <w:szCs w:val="13"/>
                <w:color w:val="auto"/>
              </w:rPr>
            </w:pPr>
          </w:p>
        </w:tc>
        <w:tc>
          <w:tcPr>
            <w:tcW w:w="1340" w:type="dxa"/>
            <w:vAlign w:val="bottom"/>
          </w:tcPr>
          <w:p>
            <w:pPr>
              <w:jc w:val="center"/>
              <w:ind w:right="95"/>
              <w:spacing w:after="0" w:line="158" w:lineRule="exact"/>
              <w:rPr>
                <w:sz w:val="20"/>
                <w:szCs w:val="20"/>
                <w:color w:val="auto"/>
              </w:rPr>
            </w:pPr>
            <w:r>
              <w:rPr>
                <w:rFonts w:ascii="Arial" w:cs="Arial" w:eastAsia="Arial" w:hAnsi="Arial"/>
                <w:sz w:val="16"/>
                <w:szCs w:val="16"/>
                <w:b w:val="1"/>
                <w:bCs w:val="1"/>
                <w:color w:val="auto"/>
                <w:w w:val="93"/>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3"/>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35"/>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92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left="776"/>
              <w:spacing w:after="0"/>
              <w:rPr>
                <w:sz w:val="20"/>
                <w:szCs w:val="20"/>
                <w:color w:val="auto"/>
              </w:rPr>
            </w:pPr>
            <w:r>
              <w:rPr>
                <w:rFonts w:ascii="Arial" w:cs="Arial" w:eastAsia="Arial" w:hAnsi="Arial"/>
                <w:sz w:val="16"/>
                <w:szCs w:val="16"/>
                <w:b w:val="1"/>
                <w:bCs w:val="1"/>
                <w:color w:val="auto"/>
                <w:w w:val="90"/>
              </w:rPr>
              <w:t>(In thousands)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28,933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58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28,933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(2,340)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26,593</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condensed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June 30, 2021</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3"/>
          </w:tcPr>
          <w:p>
            <w:pPr>
              <w:jc w:val="right"/>
              <w:ind w:right="933"/>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4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9"/>
              </w:rPr>
              <w:t>Carrying Value</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w w:val="94"/>
              </w:rPr>
              <w:t>Fair Value</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9"/>
              </w:rPr>
              <w:t>Carrying Value</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40" w:type="dxa"/>
            <w:vAlign w:val="bottom"/>
            <w:gridSpan w:val="4"/>
          </w:tcPr>
          <w:p>
            <w:pPr>
              <w:jc w:val="right"/>
              <w:ind w:right="1095"/>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2"/>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62,000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84,000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84,000</w:t>
            </w:r>
          </w:p>
        </w:tc>
      </w:tr>
      <w:tr>
        <w:trPr>
          <w:trHeight w:val="230"/>
        </w:trPr>
        <w:tc>
          <w:tcPr>
            <w:tcW w:w="4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5.375% senior notes due 2027</w:t>
            </w:r>
            <w:r>
              <w:rPr>
                <w:rFonts w:ascii="Arial" w:cs="Arial" w:eastAsia="Arial" w:hAnsi="Arial"/>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472,180</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471,644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501,439</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The carrying value includes associated deferred loan costs and any discount.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Operating Company’s revolving credit facility approximates the carrying value based on borrowing rates available to the Partnership for bank loans with similar terms and maturities and is classified as Level 2 in the fair value hierarchy. The fair value of the Notes was determined using the June 30, 2021 quoted market price, a Level 1 classification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Partnership has other financial instruments consisting of cash and cash equivalents, royalty income receivable, other current assets, accounts payable and accrued liabilities. The carrying value of these instruments approximate their fair value because of the short-term nature of the instruments.</w:t>
      </w:r>
    </w:p>
    <w:p>
      <w:pPr>
        <w:spacing w:after="0" w:line="14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COMMITMENTS AND CONTINGENCIES</w:t>
      </w:r>
    </w:p>
    <w:p>
      <w:pPr>
        <w:spacing w:after="0" w:line="256" w:lineRule="exact"/>
        <w:rPr>
          <w:sz w:val="20"/>
          <w:szCs w:val="20"/>
          <w:color w:val="auto"/>
        </w:rPr>
      </w:pPr>
    </w:p>
    <w:p>
      <w:pPr>
        <w:jc w:val="both"/>
        <w:ind w:right="80" w:firstLine="648"/>
        <w:spacing w:after="0" w:line="269" w:lineRule="auto"/>
        <w:rPr>
          <w:sz w:val="20"/>
          <w:szCs w:val="20"/>
          <w:color w:val="auto"/>
        </w:rPr>
      </w:pPr>
      <w:r>
        <w:rPr>
          <w:rFonts w:ascii="Arial" w:cs="Arial" w:eastAsia="Arial" w:hAnsi="Arial"/>
          <w:sz w:val="17"/>
          <w:szCs w:val="17"/>
          <w:color w:val="auto"/>
        </w:rPr>
        <w:t>The Partnership is a party to various routine legal proceedings, disputes and claims from time to time arising in the ordinary course of its business, including those that arise from interpretation of federal and state laws and regulations affecting the crude oil and natural gas industry. These proceedings, disputes and claims may include differing interpretations as to the prices at which crude oil and natural gas sales may be made, the prices at which royalty owners may be paid for production from their leases, title claims, environmental issues and other matters. While the ultimate outcome of the pending proceedings, disputes or claims, and any resulting impact on the Partnership, cannot be predicted with certainty, the Partnership’s management believes that none of these matters, if ultimately decided adversely, will have a material adverse effect on the Partnership’s financial condition, results of operations or cash flows. The Partnership’s assessment is based on information known about the pending matters and its experience in contesting, litigating and settling similar matters. Actual outcomes could differ materially from the Partnership’s assessment. The Partnership records reserves for contingencies related to outstanding legal proceedings, disputes or claims when information available indicates that a loss is probable and the amount of the loss can be reasonably estimated.</w:t>
      </w:r>
    </w:p>
    <w:p>
      <w:pPr>
        <w:spacing w:after="0" w:line="20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July 28, 2021, the board of directors of the General Partner approved a cash distribution for the second quarter of 2021 of $0.33 per common unit, payable on August 19, 2021, to eligible unitholders of record at the close of business on August 12,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16">
        <w:r>
          <w:rPr>
            <w:rFonts w:ascii="Arial" w:cs="Arial" w:eastAsia="Arial" w:hAnsi="Arial"/>
            <w:sz w:val="17"/>
            <w:szCs w:val="17"/>
            <w:i w:val="1"/>
            <w:iCs w:val="1"/>
            <w:u w:val="single" w:color="auto"/>
            <w:color w:val="0000FF"/>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for the year ended December 31, 2020.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page33">
        <w:r>
          <w:rPr>
            <w:rFonts w:ascii="Arial" w:cs="Arial" w:eastAsia="Arial" w:hAnsi="Arial"/>
            <w:sz w:val="17"/>
            <w:szCs w:val="17"/>
            <w:i w:val="1"/>
            <w:iCs w:val="1"/>
            <w:u w:val="single" w:color="auto"/>
            <w:color w:val="0000FF"/>
          </w:rPr>
          <w:t>Part II. Item 1A. Risk Factors</w:t>
        </w:r>
      </w:hyperlink>
      <w:r>
        <w:rPr>
          <w:rFonts w:ascii="Arial" w:cs="Arial" w:eastAsia="Arial" w:hAnsi="Arial"/>
          <w:sz w:val="17"/>
          <w:szCs w:val="17"/>
          <w:i w:val="1"/>
          <w:iCs w:val="1"/>
          <w:color w:val="auto"/>
        </w:rPr>
        <w:t>” and “</w:t>
      </w:r>
      <w:hyperlink w:anchor="page4">
        <w:r>
          <w:rPr>
            <w:rFonts w:ascii="Arial" w:cs="Arial" w:eastAsia="Arial" w:hAnsi="Arial"/>
            <w:sz w:val="17"/>
            <w:szCs w:val="17"/>
            <w:i w:val="1"/>
            <w:iCs w:val="1"/>
            <w:u w:val="single" w:color="auto"/>
            <w:color w:val="0000FF"/>
          </w:rPr>
          <w:t>Cautionary Statement Regarding Forward-Looking Statements</w:t>
        </w:r>
      </w:hyperlink>
      <w:r>
        <w:rPr>
          <w:rFonts w:ascii="Arial" w:cs="Arial" w:eastAsia="Arial" w:hAnsi="Arial"/>
          <w:sz w:val="17"/>
          <w:szCs w:val="17"/>
          <w:i w:val="1"/>
          <w:iCs w:val="1"/>
          <w:color w:val="auto"/>
        </w:rPr>
        <w:t>.”</w:t>
      </w:r>
    </w:p>
    <w:p>
      <w:pPr>
        <w:spacing w:after="0" w:line="199"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rFonts w:ascii="Arial" w:cs="Arial" w:eastAsia="Arial" w:hAnsi="Arial"/>
          <w:sz w:val="17"/>
          <w:szCs w:val="17"/>
          <w:i w:val="1"/>
          <w:iCs w:val="1"/>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publicly traded Delaware limited partnership formed by Diamondback to own and acquire mineral and royalty interests in oil and natural gas properties primarily in the Permian Basin. We operate in one reportable segment. Since May 10, 2018, we have been treated as a corporation for U.S. federal income tax purposes.</w:t>
      </w:r>
    </w:p>
    <w:p>
      <w:pPr>
        <w:spacing w:after="0" w:line="211" w:lineRule="exact"/>
        <w:rPr>
          <w:rFonts w:ascii="Arial" w:cs="Arial" w:eastAsia="Arial" w:hAnsi="Arial"/>
          <w:sz w:val="17"/>
          <w:szCs w:val="17"/>
          <w:i w:val="1"/>
          <w:iCs w:val="1"/>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30, 2021, our general partner held a 100% general partner interest in us, and Diamondback owned 731,500 of our common units and beneficially owned all of our 90,709,946 outstanding Class B units, representing approximately 59% of our total units outstanding. Diamondback also owns and controls our general partner.</w:t>
      </w:r>
    </w:p>
    <w:p>
      <w:pPr>
        <w:spacing w:after="0" w:line="207"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COVID-19 and Commodity Prices</w:t>
      </w:r>
    </w:p>
    <w:p>
      <w:pPr>
        <w:spacing w:after="0" w:line="252" w:lineRule="exact"/>
        <w:rPr>
          <w:rFonts w:ascii="Arial" w:cs="Arial" w:eastAsia="Arial" w:hAnsi="Arial"/>
          <w:sz w:val="17"/>
          <w:szCs w:val="17"/>
          <w:i w:val="1"/>
          <w:iCs w:val="1"/>
          <w:color w:val="auto"/>
        </w:rPr>
      </w:pPr>
    </w:p>
    <w:p>
      <w:pPr>
        <w:jc w:val="both"/>
        <w:ind w:firstLine="648"/>
        <w:spacing w:after="0" w:line="253" w:lineRule="auto"/>
        <w:rPr>
          <w:sz w:val="20"/>
          <w:szCs w:val="20"/>
          <w:color w:val="auto"/>
        </w:rPr>
      </w:pPr>
      <w:r>
        <w:rPr>
          <w:rFonts w:ascii="Arial" w:cs="Arial" w:eastAsia="Arial" w:hAnsi="Arial"/>
          <w:sz w:val="17"/>
          <w:szCs w:val="17"/>
          <w:color w:val="auto"/>
        </w:rPr>
        <w:t>In early March 2020, oil prices dropped sharply and continued to decline, briefly reaching negative levels, as a result of multiple factors affecting the supply and demand in global oil and natural gas markets, including (i) actions taken by OPEC members and other exporting nations impacting commodity price and production levels and (ii) a significant decrease in demand due to the COVID-19 pandemic. However, certain restrictions on conducting business that were implemented in response to the COVID-19 pandemic have been lifted as improved treatments and vaccinations for COVID-19 have been rolled-out globally since late 2020. As a result, oil and natural gas market prices have improved in response to the increase in demand. During 2020 and 2021, the posted price for West Texas intermediate light sweet crude oil, or NYMEX WTI, has ranged from $(37.63) to $75.25 Bbl, and the NYMEX Henry Hub price of natural gas has ranged from $1.48 to $3.75 per MMBtu. On July 16, 2021, the closing NYMEX WTI price for crude oil was $71.81 per Bbl and the closing NYMEX Henry Hub price of natural gas was $3.67 per MMBtu. Commodity prices have historically been volatile and we cannot predict events which may lead to future fluctuations in these prices.</w:t>
      </w:r>
    </w:p>
    <w:p>
      <w:pPr>
        <w:spacing w:after="0" w:line="197" w:lineRule="exact"/>
        <w:rPr>
          <w:rFonts w:ascii="Arial" w:cs="Arial" w:eastAsia="Arial" w:hAnsi="Arial"/>
          <w:sz w:val="17"/>
          <w:szCs w:val="17"/>
          <w:i w:val="1"/>
          <w:iCs w:val="1"/>
          <w:color w:val="auto"/>
        </w:rPr>
      </w:pPr>
    </w:p>
    <w:p>
      <w:pPr>
        <w:jc w:val="both"/>
        <w:ind w:firstLine="648"/>
        <w:spacing w:after="0" w:line="258" w:lineRule="auto"/>
        <w:rPr>
          <w:sz w:val="20"/>
          <w:szCs w:val="20"/>
          <w:color w:val="auto"/>
        </w:rPr>
      </w:pPr>
      <w:r>
        <w:rPr>
          <w:rFonts w:ascii="Arial" w:cs="Arial" w:eastAsia="Arial" w:hAnsi="Arial"/>
          <w:sz w:val="16"/>
          <w:szCs w:val="16"/>
          <w:color w:val="auto"/>
        </w:rPr>
        <w:t>As a result of the reduction in crude oil demand caused by factors discussed above, Diamondback and other operators on properties in which we have mineral and royalty interests lowered their 2020 capital budgets and production guidance, however, Diamondback and certain of our other operators have since restored curtailed production. Although demand for oil and natural gas and commodity prices have recently increased, Diamondback and certain of our other operators have kept production on our acreage relatively flat during the first six months of 2021, using excess cash flow for debt repayment and/or return to their stockholders rather than expanding their drilling programs. We cannot reasonably predict whether production levels will remain at current levels or the impact the full extent of the events above and subsequent recovery may have on our industry and our business.</w:t>
      </w:r>
    </w:p>
    <w:p>
      <w:pPr>
        <w:spacing w:after="0" w:line="204" w:lineRule="exact"/>
        <w:rPr>
          <w:rFonts w:ascii="Arial" w:cs="Arial" w:eastAsia="Arial" w:hAnsi="Arial"/>
          <w:sz w:val="17"/>
          <w:szCs w:val="17"/>
          <w:i w:val="1"/>
          <w:iCs w:val="1"/>
          <w:color w:val="auto"/>
        </w:rPr>
      </w:pPr>
    </w:p>
    <w:p>
      <w:pPr>
        <w:jc w:val="both"/>
        <w:ind w:firstLine="648"/>
        <w:spacing w:after="0" w:line="262" w:lineRule="auto"/>
        <w:rPr>
          <w:sz w:val="20"/>
          <w:szCs w:val="20"/>
          <w:color w:val="auto"/>
        </w:rPr>
      </w:pPr>
      <w:r>
        <w:rPr>
          <w:rFonts w:ascii="Arial" w:cs="Arial" w:eastAsia="Arial" w:hAnsi="Arial"/>
          <w:sz w:val="17"/>
          <w:szCs w:val="17"/>
          <w:color w:val="auto"/>
        </w:rPr>
        <w:t>Based on the results of the quarterly ceiling test, we were not required to record an impairment on our proved oil and natural gas interests for the quarter ended June 30, 2021. If commodity prices fall below current levels, we may be required to record impairments in future periods and such impairments could be material. Further, if commodity prices fail to stabilize or decrease further, our production, proved reserves and cash flows will be adversely impacted. Our business may be also further adversely impacted by any pipeline capacity and storage constraints.</w:t>
      </w:r>
    </w:p>
    <w:p>
      <w:pPr>
        <w:spacing w:after="0" w:line="199"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Divestitures Update</w:t>
      </w:r>
    </w:p>
    <w:p>
      <w:pPr>
        <w:spacing w:after="0" w:line="252" w:lineRule="exact"/>
        <w:rPr>
          <w:rFonts w:ascii="Arial" w:cs="Arial" w:eastAsia="Arial" w:hAnsi="Arial"/>
          <w:sz w:val="17"/>
          <w:szCs w:val="17"/>
          <w:i w:val="1"/>
          <w:iCs w:val="1"/>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We had immaterial acquisitions and divestitures of mineral and royalty interests during the second quarter of 2021, bringing our footprint of mineral and royalty interests to a total of 24,341 net royalty acres at June 30, 2021.</w:t>
      </w: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392" w:lineRule="exact"/>
        <w:rPr>
          <w:rFonts w:ascii="Arial" w:cs="Arial" w:eastAsia="Arial" w:hAnsi="Arial"/>
          <w:sz w:val="17"/>
          <w:szCs w:val="17"/>
          <w:i w:val="1"/>
          <w:iCs w:val="1"/>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on Common Units</w:t>
      </w:r>
    </w:p>
    <w:p>
      <w:pPr>
        <w:spacing w:after="0" w:line="252" w:lineRule="exact"/>
        <w:rPr>
          <w:sz w:val="20"/>
          <w:szCs w:val="20"/>
          <w:color w:val="auto"/>
        </w:rPr>
      </w:pPr>
    </w:p>
    <w:p>
      <w:pPr>
        <w:jc w:val="both"/>
        <w:ind w:left="40" w:firstLine="608"/>
        <w:spacing w:after="0"/>
        <w:rPr>
          <w:sz w:val="20"/>
          <w:szCs w:val="20"/>
          <w:color w:val="auto"/>
        </w:rPr>
      </w:pPr>
      <w:r>
        <w:rPr>
          <w:rFonts w:ascii="Arial" w:cs="Arial" w:eastAsia="Arial" w:hAnsi="Arial"/>
          <w:sz w:val="18"/>
          <w:szCs w:val="18"/>
          <w:color w:val="auto"/>
        </w:rPr>
        <w:t>On July 28, 2021, the board of directors of our general partner declared a cash distribution for the three months ended June 30, 2021 of $0.33 per common unit, increasing our distribution for the second quarter of 2021 to 70% of cash available for distribution. The distribution is payable on August 19, 2021 to eligible common unitholders of record at the close of business on August 12, 2021. With net debt decreasing in the third quarter of 2020 from peak levels due to strong free cash flow generation, as well as an improved forward outlook for production, realized pricing and free cash flow yield, driven primarily by Diamondback’s anticipated development plan and benefiting from our hedging arrangements rolling off in 2021, we expect to continue to increase our return on capital to unitholders in future quarters.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Operational Update</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Our business has rebounded strongly from the unprecedented volatility experienced throughout 2020 as commodity prices increased and activity has returned to our acreage. There are currently 36 rigs operating on our mineral and royalty acreage, five of which are operated by Diamondback. Our production and free cash flow outlook is expected to be driven by Diamondback’s continued focus on developing our acreage, as well as our exposure to other well-capitalized operators in the Permian Basin. We have increased our production outlook for 2021 and continue to maintain visibility into Diamondback’s expected forward development plan that includes several large pads where Viper will own a significant royalty interest.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gross well information as of the dates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Diamondback</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Third Party</w:t>
            </w:r>
          </w:p>
        </w:tc>
        <w:tc>
          <w:tcPr>
            <w:tcW w:w="110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Operated</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Operated</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940" w:type="dxa"/>
            <w:vAlign w:val="bottom"/>
            <w:tcBorders>
              <w:top w:val="single" w:sz="8" w:color="CCEEFF"/>
            </w:tcBorders>
            <w:shd w:val="clear" w:color="auto" w:fill="CCEEFF"/>
          </w:tcPr>
          <w:p>
            <w:pPr>
              <w:ind w:left="20"/>
              <w:spacing w:after="0" w:line="199" w:lineRule="exact"/>
              <w:rPr>
                <w:sz w:val="20"/>
                <w:szCs w:val="20"/>
                <w:color w:val="auto"/>
              </w:rPr>
            </w:pPr>
            <w:r>
              <w:rPr>
                <w:rFonts w:ascii="Arial" w:cs="Arial" w:eastAsia="Arial" w:hAnsi="Arial"/>
                <w:sz w:val="16"/>
                <w:szCs w:val="16"/>
                <w:b w:val="1"/>
                <w:bCs w:val="1"/>
                <w:color w:val="auto"/>
              </w:rPr>
              <w:t>Horizontal wells turned to production (second quarter 2021)</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10.9 %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Horizontal producing well count (as of July 12, 2021):</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92.8</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Horizontal active development well count (as of July 12, 2021)</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7.5 %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Line of sight wells (as of July 12, 2021)</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lateral length of 8,638.</w:t>
      </w:r>
    </w:p>
    <w:p>
      <w:pPr>
        <w:spacing w:after="0" w:line="11" w:lineRule="exact"/>
        <w:rPr>
          <w:rFonts w:ascii="Arial" w:cs="Arial" w:eastAsia="Arial" w:hAnsi="Arial"/>
          <w:sz w:val="18"/>
          <w:szCs w:val="18"/>
          <w:color w:val="auto"/>
        </w:rPr>
      </w:pPr>
    </w:p>
    <w:p>
      <w:pPr>
        <w:ind w:left="260" w:hanging="252"/>
        <w:spacing w:after="0" w:line="234" w:lineRule="auto"/>
        <w:tabs>
          <w:tab w:leader="none" w:pos="27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total 467 gross wells currently in the process of active development are those wells that have been spud and are expected to be turned to production within approximately the next six to eight months.</w:t>
      </w:r>
    </w:p>
    <w:p>
      <w:pPr>
        <w:spacing w:after="0" w:line="1" w:lineRule="exact"/>
        <w:rPr>
          <w:rFonts w:ascii="Arial" w:cs="Arial" w:eastAsia="Arial" w:hAnsi="Arial"/>
          <w:sz w:val="18"/>
          <w:szCs w:val="18"/>
          <w:color w:val="auto"/>
        </w:rPr>
      </w:pPr>
    </w:p>
    <w:p>
      <w:pPr>
        <w:jc w:val="both"/>
        <w:ind w:left="260" w:hanging="252"/>
        <w:spacing w:after="0" w:line="238" w:lineRule="auto"/>
        <w:tabs>
          <w:tab w:leader="none" w:pos="27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total 496 gross line-of-sight wells are those that are not currently in the process of active development, but for which we have reason to believe that they will be turned to production within approximately the next 15 to 18 months. The expected timing of these line-of-sight wells is based primarily on permitting by third party operators or Diamondback’s current expected completion schedule. Existing permits or active development of our royalty acreage does not ensure that those wells will be turned to production given the volatility in oil prices.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income and expenses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460" w:type="dxa"/>
            <w:vAlign w:val="bottom"/>
          </w:tcPr>
          <w:p>
            <w:pPr>
              <w:spacing w:after="0"/>
              <w:rPr>
                <w:sz w:val="18"/>
                <w:szCs w:val="18"/>
                <w:color w:val="auto"/>
              </w:rPr>
            </w:pPr>
          </w:p>
        </w:tc>
        <w:tc>
          <w:tcPr>
            <w:tcW w:w="2380" w:type="dxa"/>
            <w:vAlign w:val="bottom"/>
            <w:gridSpan w:val="4"/>
          </w:tcPr>
          <w:p>
            <w:pPr>
              <w:jc w:val="right"/>
              <w:ind w:right="390"/>
              <w:spacing w:after="0"/>
              <w:rPr>
                <w:sz w:val="20"/>
                <w:szCs w:val="20"/>
                <w:color w:val="auto"/>
              </w:rPr>
            </w:pPr>
            <w:r>
              <w:rPr>
                <w:rFonts w:ascii="Arial" w:cs="Arial" w:eastAsia="Arial" w:hAnsi="Arial"/>
                <w:sz w:val="16"/>
                <w:szCs w:val="16"/>
                <w:b w:val="1"/>
                <w:bCs w:val="1"/>
                <w:color w:val="auto"/>
                <w:w w:val="90"/>
              </w:rPr>
              <w:t>Six Months Ended June 30,</w:t>
            </w:r>
          </w:p>
        </w:tc>
      </w:tr>
      <w:tr>
        <w:trPr>
          <w:trHeight w:val="210"/>
        </w:trPr>
        <w:tc>
          <w:tcPr>
            <w:tcW w:w="54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2020</w:t>
            </w:r>
          </w:p>
        </w:tc>
      </w:tr>
      <w:tr>
        <w:trPr>
          <w:trHeight w:val="209"/>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Oil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93,952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27,617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172,296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99,817</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 liquids income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7,878</w:t>
            </w:r>
          </w:p>
        </w:tc>
      </w:tr>
      <w:tr>
        <w:trPr>
          <w:trHeight w:val="223"/>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109,273</w:t>
            </w:r>
          </w:p>
        </w:tc>
      </w:tr>
      <w:tr>
        <w:trPr>
          <w:trHeight w:val="229"/>
        </w:trPr>
        <w:tc>
          <w:tcPr>
            <w:tcW w:w="5460" w:type="dxa"/>
            <w:vAlign w:val="bottom"/>
          </w:tcPr>
          <w:p>
            <w:pPr>
              <w:ind w:left="360"/>
              <w:spacing w:after="0"/>
              <w:rPr>
                <w:sz w:val="20"/>
                <w:szCs w:val="20"/>
                <w:color w:val="auto"/>
              </w:rPr>
            </w:pPr>
            <w:r>
              <w:rPr>
                <w:rFonts w:ascii="Arial" w:cs="Arial" w:eastAsia="Arial" w:hAnsi="Arial"/>
                <w:sz w:val="18"/>
                <w:szCs w:val="18"/>
                <w:color w:val="auto"/>
              </w:rPr>
              <w:t>Lease bonus income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1,645</w:t>
            </w:r>
          </w:p>
        </w:tc>
      </w:tr>
      <w:tr>
        <w:trPr>
          <w:trHeight w:val="230"/>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23"/>
        </w:trPr>
        <w:tc>
          <w:tcPr>
            <w:tcW w:w="54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income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111,361</w:t>
            </w:r>
          </w:p>
        </w:tc>
      </w:tr>
      <w:tr>
        <w:trPr>
          <w:trHeight w:val="19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5460" w:type="dxa"/>
            <w:vAlign w:val="bottom"/>
          </w:tcPr>
          <w:p>
            <w:pPr>
              <w:ind w:left="360"/>
              <w:spacing w:after="0"/>
              <w:rPr>
                <w:sz w:val="20"/>
                <w:szCs w:val="20"/>
                <w:color w:val="auto"/>
              </w:rPr>
            </w:pPr>
            <w:r>
              <w:rPr>
                <w:rFonts w:ascii="Arial" w:cs="Arial" w:eastAsia="Arial" w:hAnsi="Arial"/>
                <w:sz w:val="18"/>
                <w:szCs w:val="18"/>
                <w:color w:val="auto"/>
              </w:rPr>
              <w:t>Production and ad valorem taxes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9,257</w:t>
            </w: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Depletion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47,424</w:t>
            </w:r>
          </w:p>
        </w:tc>
      </w:tr>
      <w:tr>
        <w:trPr>
          <w:trHeight w:val="230"/>
        </w:trPr>
        <w:tc>
          <w:tcPr>
            <w:tcW w:w="5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w:t>
            </w:r>
          </w:p>
        </w:tc>
      </w:tr>
      <w:tr>
        <w:trPr>
          <w:trHeight w:val="223"/>
        </w:trPr>
        <w:tc>
          <w:tcPr>
            <w:tcW w:w="54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61,030</w:t>
            </w:r>
          </w:p>
        </w:tc>
      </w:tr>
      <w:tr>
        <w:trPr>
          <w:trHeight w:val="223"/>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79,858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50,331</w:t>
            </w: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46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(16,632)</w:t>
            </w:r>
          </w:p>
        </w:tc>
      </w:tr>
      <w:tr>
        <w:trPr>
          <w:trHeight w:val="230"/>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(42,385)</w:t>
            </w:r>
          </w:p>
        </w:tc>
      </w:tr>
      <w:tr>
        <w:trPr>
          <w:trHeight w:val="229"/>
        </w:trPr>
        <w:tc>
          <w:tcPr>
            <w:tcW w:w="5460" w:type="dxa"/>
            <w:vAlign w:val="bottom"/>
          </w:tcPr>
          <w:p>
            <w:pPr>
              <w:ind w:left="360"/>
              <w:spacing w:after="0"/>
              <w:rPr>
                <w:sz w:val="20"/>
                <w:szCs w:val="20"/>
                <w:color w:val="auto"/>
              </w:rPr>
            </w:pPr>
            <w:r>
              <w:rPr>
                <w:rFonts w:ascii="Arial" w:cs="Arial" w:eastAsia="Arial" w:hAnsi="Arial"/>
                <w:sz w:val="18"/>
                <w:szCs w:val="18"/>
                <w:color w:val="auto"/>
              </w:rPr>
              <w:t>Gain (loss) on revaluation of investment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(6,677)</w:t>
            </w:r>
          </w:p>
        </w:tc>
      </w:tr>
      <w:tr>
        <w:trPr>
          <w:trHeight w:val="230"/>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23"/>
        </w:trPr>
        <w:tc>
          <w:tcPr>
            <w:tcW w:w="54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(64,771)</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142,466</w:t>
            </w:r>
          </w:p>
        </w:tc>
      </w:tr>
      <w:tr>
        <w:trPr>
          <w:trHeight w:val="22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66,237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(156,906)</w:t>
            </w:r>
          </w:p>
        </w:tc>
      </w:tr>
      <w:tr>
        <w:trPr>
          <w:trHeight w:val="23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7,015</w:t>
            </w: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(163,921)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production data, average sales prices and average costs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440" w:type="dxa"/>
            <w:vAlign w:val="bottom"/>
            <w:gridSpan w:val="4"/>
          </w:tcPr>
          <w:p>
            <w:pPr>
              <w:jc w:val="right"/>
              <w:ind w:right="310"/>
              <w:spacing w:after="0"/>
              <w:rPr>
                <w:sz w:val="20"/>
                <w:szCs w:val="20"/>
                <w:color w:val="auto"/>
              </w:rPr>
            </w:pPr>
            <w:r>
              <w:rPr>
                <w:rFonts w:ascii="Arial" w:cs="Arial" w:eastAsia="Arial" w:hAnsi="Arial"/>
                <w:sz w:val="16"/>
                <w:szCs w:val="16"/>
                <w:b w:val="1"/>
                <w:bCs w:val="1"/>
                <w:color w:val="auto"/>
                <w:w w:val="97"/>
              </w:rPr>
              <w:t>Six Months Ended June 30,</w:t>
            </w:r>
          </w:p>
        </w:tc>
      </w:tr>
      <w:tr>
        <w:trPr>
          <w:trHeight w:val="210"/>
        </w:trPr>
        <w:tc>
          <w:tcPr>
            <w:tcW w:w="57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2020</w:t>
            </w:r>
          </w:p>
        </w:tc>
      </w:tr>
      <w:tr>
        <w:trPr>
          <w:trHeight w:val="19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Oil (MBbls)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2,902</w:t>
            </w: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(MMcf)</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w:t>
            </w: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Natural gas liquids (MBbls)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30"/>
        </w:trPr>
        <w:tc>
          <w:tcPr>
            <w:tcW w:w="57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r>
      <w:tr>
        <w:trPr>
          <w:trHeight w:val="270"/>
        </w:trPr>
        <w:tc>
          <w:tcPr>
            <w:tcW w:w="5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57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Average daily oil volumes (BO/d)</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15,947</w:t>
            </w:r>
          </w:p>
        </w:tc>
      </w:tr>
      <w:tr>
        <w:trPr>
          <w:trHeight w:val="229"/>
        </w:trPr>
        <w:tc>
          <w:tcPr>
            <w:tcW w:w="5740" w:type="dxa"/>
            <w:vAlign w:val="bottom"/>
          </w:tcPr>
          <w:p>
            <w:pPr>
              <w:ind w:left="180"/>
              <w:spacing w:after="0" w:line="230" w:lineRule="exact"/>
              <w:rPr>
                <w:sz w:val="20"/>
                <w:szCs w:val="20"/>
                <w:color w:val="auto"/>
              </w:rPr>
            </w:pPr>
            <w:r>
              <w:rPr>
                <w:rFonts w:ascii="Arial" w:cs="Arial" w:eastAsia="Arial" w:hAnsi="Arial"/>
                <w:sz w:val="18"/>
                <w:szCs w:val="18"/>
                <w:color w:val="auto"/>
              </w:rPr>
              <w:t>Average daily combined volumes (BOE/d)</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26,041</w:t>
            </w:r>
          </w:p>
        </w:tc>
      </w:tr>
      <w:tr>
        <w:trPr>
          <w:trHeight w:val="270"/>
        </w:trPr>
        <w:tc>
          <w:tcPr>
            <w:tcW w:w="57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16"/>
        </w:trPr>
        <w:tc>
          <w:tcPr>
            <w:tcW w:w="57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Average sales prices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 ($/Bbl)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w:t>
            </w: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Natural gas ($/Mcf)</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liquids ($/Bbl)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Combined ($/BOE)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45.58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23.06</w:t>
            </w:r>
          </w:p>
        </w:tc>
      </w:tr>
      <w:tr>
        <w:trPr>
          <w:trHeight w:val="270"/>
        </w:trPr>
        <w:tc>
          <w:tcPr>
            <w:tcW w:w="57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29"/>
        </w:trPr>
        <w:tc>
          <w:tcPr>
            <w:tcW w:w="5740" w:type="dxa"/>
            <w:vAlign w:val="bottom"/>
          </w:tcPr>
          <w:p>
            <w:pPr>
              <w:ind w:left="180"/>
              <w:spacing w:after="0" w:line="230" w:lineRule="exact"/>
              <w:rPr>
                <w:sz w:val="20"/>
                <w:szCs w:val="20"/>
                <w:color w:val="auto"/>
              </w:rPr>
            </w:pPr>
            <w:r>
              <w:rPr>
                <w:rFonts w:ascii="Arial" w:cs="Arial" w:eastAsia="Arial" w:hAnsi="Arial"/>
                <w:sz w:val="18"/>
                <w:szCs w:val="18"/>
                <w:color w:val="auto"/>
              </w:rPr>
              <w:t>Oil, hedged ($/Bbl)</w:t>
            </w:r>
            <w:r>
              <w:rPr>
                <w:rFonts w:ascii="Arial" w:cs="Arial" w:eastAsia="Arial" w:hAnsi="Arial"/>
                <w:sz w:val="23"/>
                <w:szCs w:val="23"/>
                <w:color w:val="auto"/>
                <w:vertAlign w:val="superscript"/>
              </w:rPr>
              <w:t>(3)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48.58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35.03</w:t>
            </w:r>
          </w:p>
        </w:tc>
      </w:tr>
      <w:tr>
        <w:trPr>
          <w:trHeight w:val="230"/>
        </w:trPr>
        <w:tc>
          <w:tcPr>
            <w:tcW w:w="57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Natural gas, hedged ($/Mcf)</w:t>
            </w:r>
            <w:r>
              <w:rPr>
                <w:rFonts w:ascii="Arial" w:cs="Arial" w:eastAsia="Arial" w:hAnsi="Arial"/>
                <w:sz w:val="23"/>
                <w:szCs w:val="23"/>
                <w:color w:val="auto"/>
                <w:vertAlign w:val="superscript"/>
              </w:rPr>
              <w:t>(3)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r>
      <w:tr>
        <w:trPr>
          <w:trHeight w:val="229"/>
        </w:trPr>
        <w:tc>
          <w:tcPr>
            <w:tcW w:w="5740" w:type="dxa"/>
            <w:vAlign w:val="bottom"/>
          </w:tcPr>
          <w:p>
            <w:pPr>
              <w:ind w:left="180"/>
              <w:spacing w:after="0" w:line="230" w:lineRule="exact"/>
              <w:rPr>
                <w:sz w:val="20"/>
                <w:szCs w:val="20"/>
                <w:color w:val="auto"/>
              </w:rPr>
            </w:pPr>
            <w:r>
              <w:rPr>
                <w:rFonts w:ascii="Arial" w:cs="Arial" w:eastAsia="Arial" w:hAnsi="Arial"/>
                <w:sz w:val="18"/>
                <w:szCs w:val="18"/>
                <w:color w:val="auto"/>
              </w:rPr>
              <w:t>Natural gas liquids ($/Bbl)</w:t>
            </w:r>
            <w:r>
              <w:rPr>
                <w:rFonts w:ascii="Arial" w:cs="Arial" w:eastAsia="Arial" w:hAnsi="Arial"/>
                <w:sz w:val="23"/>
                <w:szCs w:val="23"/>
                <w:color w:val="auto"/>
                <w:vertAlign w:val="superscript"/>
              </w:rPr>
              <w:t>(3)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30"/>
        </w:trPr>
        <w:tc>
          <w:tcPr>
            <w:tcW w:w="57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price, hedged ($/BOE)</w:t>
            </w:r>
            <w:r>
              <w:rPr>
                <w:rFonts w:ascii="Arial" w:cs="Arial" w:eastAsia="Arial" w:hAnsi="Arial"/>
                <w:sz w:val="23"/>
                <w:szCs w:val="23"/>
                <w:color w:val="auto"/>
                <w:vertAlign w:val="superscript"/>
              </w:rPr>
              <w:t>(3)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r>
      <w:tr>
        <w:trPr>
          <w:trHeight w:val="270"/>
        </w:trPr>
        <w:tc>
          <w:tcPr>
            <w:tcW w:w="5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costs ($/BOE):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Production and ad valorem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57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General and administrative - cash component</w:t>
            </w:r>
            <w:r>
              <w:rPr>
                <w:rFonts w:ascii="Arial" w:cs="Arial" w:eastAsia="Arial" w:hAnsi="Arial"/>
                <w:sz w:val="23"/>
                <w:szCs w:val="23"/>
                <w:color w:val="auto"/>
                <w:vertAlign w:val="superscript"/>
              </w:rPr>
              <w:t>(4)</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r>
      <w:tr>
        <w:trPr>
          <w:trHeight w:val="223"/>
        </w:trPr>
        <w:tc>
          <w:tcPr>
            <w:tcW w:w="5740" w:type="dxa"/>
            <w:vAlign w:val="bottom"/>
          </w:tcPr>
          <w:p>
            <w:pPr>
              <w:ind w:left="220"/>
              <w:spacing w:after="0"/>
              <w:rPr>
                <w:sz w:val="20"/>
                <w:szCs w:val="20"/>
                <w:color w:val="auto"/>
              </w:rPr>
            </w:pPr>
            <w:r>
              <w:rPr>
                <w:rFonts w:ascii="Arial" w:cs="Arial" w:eastAsia="Arial" w:hAnsi="Arial"/>
                <w:sz w:val="18"/>
                <w:szCs w:val="18"/>
                <w:color w:val="auto"/>
              </w:rPr>
              <w:t>Total operating expense - cash</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5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General and administrative - non-cash unit compensation expense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Depletion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10.01</w:t>
            </w:r>
          </w:p>
        </w:tc>
      </w:tr>
    </w:tbl>
    <w:p>
      <w:pPr>
        <w:spacing w:after="0" w:line="79"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daily volumes and average sales prices presented are based on actual production volumes and not calculated utilizing the rounded production volumes presented in the table above.</w:t>
      </w: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Hedged prices reflect the impact of cash settlements of our matured commodity derivative transactions on our average sales prices.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non-cash unit-based compensation expense for the respective periods presented.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2021 and 2020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Royalty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royalty income is a function of oil, natural gas liquids and natural gas production volumes sold and average prices received for those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firstLine="648"/>
        <w:spacing w:after="0" w:line="231" w:lineRule="auto"/>
        <w:rPr>
          <w:rFonts w:ascii="Arial" w:cs="Arial" w:eastAsia="Arial" w:hAnsi="Arial"/>
          <w:sz w:val="18"/>
          <w:szCs w:val="18"/>
          <w:color w:val="auto"/>
        </w:rPr>
      </w:pPr>
      <w:r>
        <w:rPr>
          <w:rFonts w:ascii="Arial" w:cs="Arial" w:eastAsia="Arial" w:hAnsi="Arial"/>
          <w:sz w:val="18"/>
          <w:szCs w:val="18"/>
          <w:color w:val="auto"/>
        </w:rPr>
        <w:t xml:space="preserve">Royalty income increased $81.0 million and $100.7 million during the three and six months ended June 30, 2021, respectively, compared to the same periods in 2020. Higher average prices contributed approximately $77.0 million and $101.3 million of the total increases, respectively, due largely to the recovery in oil prices, and to a lesser extent, natural gas and natural gas liquids prices from historic lows experienced in the 2020 periods as discussed in “— </w:t>
      </w:r>
      <w:hyperlink w:anchor="page23">
        <w:r>
          <w:rPr>
            <w:rFonts w:ascii="Arial" w:cs="Arial" w:eastAsia="Arial" w:hAnsi="Arial"/>
            <w:sz w:val="18"/>
            <w:szCs w:val="18"/>
            <w:i w:val="1"/>
            <w:iCs w:val="1"/>
            <w:u w:val="single" w:color="auto"/>
            <w:color w:val="0000FF"/>
          </w:rPr>
          <w:t>Overview</w:t>
        </w:r>
      </w:hyperlink>
      <w:r>
        <w:rPr>
          <w:rFonts w:ascii="Arial" w:cs="Arial" w:eastAsia="Arial" w:hAnsi="Arial"/>
          <w:sz w:val="18"/>
          <w:szCs w:val="18"/>
          <w:i w:val="1"/>
          <w:iCs w:val="1"/>
          <w:color w:val="auto"/>
        </w:rPr>
        <w:t>.”</w:t>
      </w:r>
    </w:p>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12% increase in production volumes during the second quarter of 2021 compared to the same period in 2020 contributed approximately $4.0 million of the total increase in royalty income and is primarily attributable to the make-up of lost production due to winter storms in the Permian Basin during the first quarter of 2021. Production volumes were relatively flat for the six months ended June 30, 2021 compared to the same period in 2020.</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production and ad valorem taxes for the three and six months ended June 30, 2021 and 2020: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 thousands)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Royalty Income</w:t>
            </w: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Royalty Income</w:t>
            </w:r>
          </w:p>
        </w:tc>
        <w:tc>
          <w:tcPr>
            <w:tcW w:w="0" w:type="dxa"/>
            <w:vAlign w:val="bottom"/>
          </w:tcPr>
          <w:p>
            <w:pPr>
              <w:spacing w:after="0"/>
              <w:rPr>
                <w:sz w:val="1"/>
                <w:szCs w:val="1"/>
                <w:color w:val="auto"/>
              </w:rPr>
            </w:pP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5.2 %</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9.6 %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3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500"/>
              <w:spacing w:after="0"/>
              <w:rPr>
                <w:sz w:val="20"/>
                <w:szCs w:val="20"/>
                <w:color w:val="auto"/>
              </w:rPr>
            </w:pPr>
            <w:r>
              <w:rPr>
                <w:rFonts w:ascii="Arial" w:cs="Arial" w:eastAsia="Arial" w:hAnsi="Arial"/>
                <w:sz w:val="16"/>
                <w:szCs w:val="16"/>
                <w:b w:val="1"/>
                <w:bCs w:val="1"/>
                <w:color w:val="auto"/>
              </w:rPr>
              <w:t>Six Months Ended June 30,</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 thousands)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Royalty Income</w:t>
            </w: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Royalty Income</w:t>
            </w:r>
          </w:p>
        </w:tc>
        <w:tc>
          <w:tcPr>
            <w:tcW w:w="0" w:type="dxa"/>
            <w:vAlign w:val="bottom"/>
          </w:tcPr>
          <w:p>
            <w:pPr>
              <w:spacing w:after="0"/>
              <w:rPr>
                <w:sz w:val="1"/>
                <w:szCs w:val="1"/>
                <w:color w:val="auto"/>
              </w:rPr>
            </w:pP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4.8 %</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7.0 %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8.5 %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In general, production taxes are directly related to production revenues and are based upon current year commodity prices. Production taxes as a percentage of royalty income for the three and six months ended June 30, 2021 remained consistent with the three and six months ended June 30, 2020. Ad valorem taxes are based, among other factors, on property values driven by prior year commodity prices. Ad valorem taxes as a percentage of royalty income for these same periods in 2021 compared to 2020 decreased primarily due to improved average sales prices, while the tax valuation of oil and natural gas interest remained fairly flat.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Depletion</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Depletion expense increased $1.2 million, or 5%, for the three months ended June 30, 2021 compared to the same period in 2020, primarily due to the 12% increase in production, which was partially offset by a decrease in the average depletion rate to $9.63 per BOE for the second quarter of 2021 compared to $10.21 per BOE for the second quarter of 2020. The rate decrease largely resulted from higher SEC oil prices utilized in the reserve calculations in the 2021 period, lengthening the economic life of the reserve base and resulting in higher projected remaining reserve volumes on our wells.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Depletion expense and the depletion rate for the six months ended June 30, 2021 compared to 2020 were relatively flat.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significant changes in net interest expense for the three months ended June 30, 2021 compared to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interest expense for the six months ended June 30, 2021 and 2020 was $15.8 million and $16.6 million, respectively. The decrease of $0.8 million was due primarily to our repayment of borrowings under the Operating Company’s revolving credit facility and our repurchase of $20.1 million of the Notes during the second and third quarters of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net gain (loss) on derivative instruments and the net cash receipts (payments) on derivatives for the periods presented: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4"/>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460" w:type="dxa"/>
            <w:vAlign w:val="bottom"/>
          </w:tcPr>
          <w:p>
            <w:pPr>
              <w:spacing w:after="0"/>
              <w:rPr>
                <w:sz w:val="18"/>
                <w:szCs w:val="18"/>
                <w:color w:val="auto"/>
              </w:rPr>
            </w:pPr>
          </w:p>
        </w:tc>
        <w:tc>
          <w:tcPr>
            <w:tcW w:w="2420" w:type="dxa"/>
            <w:vAlign w:val="bottom"/>
            <w:gridSpan w:val="3"/>
          </w:tcPr>
          <w:p>
            <w:pPr>
              <w:jc w:val="right"/>
              <w:ind w:right="413"/>
              <w:spacing w:after="0"/>
              <w:rPr>
                <w:sz w:val="20"/>
                <w:szCs w:val="20"/>
                <w:color w:val="auto"/>
              </w:rPr>
            </w:pPr>
            <w:r>
              <w:rPr>
                <w:rFonts w:ascii="Arial" w:cs="Arial" w:eastAsia="Arial" w:hAnsi="Arial"/>
                <w:sz w:val="16"/>
                <w:szCs w:val="16"/>
                <w:b w:val="1"/>
                <w:bCs w:val="1"/>
                <w:color w:val="auto"/>
                <w:w w:val="91"/>
              </w:rPr>
              <w:t>Six Months Ended June 30,</w:t>
            </w:r>
          </w:p>
        </w:tc>
      </w:tr>
      <w:tr>
        <w:trPr>
          <w:trHeight w:val="210"/>
        </w:trPr>
        <w:tc>
          <w:tcPr>
            <w:tcW w:w="53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r>
      <w:tr>
        <w:trPr>
          <w:trHeight w:val="210"/>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2"/>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(42,385)</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(20,940)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(2,101)</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(35,882)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(2,554)</w:t>
            </w:r>
          </w:p>
        </w:tc>
      </w:tr>
    </w:tbl>
    <w:p>
      <w:pPr>
        <w:spacing w:after="0" w:line="30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recorded losses on our derivative instruments for the three and six months ended June 30, 2021 and 2020 primarily due to market prices being higher than the strike prices on our derivative contracts. We are required to recognize all derivative instruments on our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Gain (Loss) on Revaluation of Investment</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did not record a gain or loss on revaluation of investment for the six months ended June 30, 2021, as we divested our equity interest in a limited partnership during the third and fourth quarters of 2020. We recorded a loss on revaluation of investment of $6.7 million for the six months ended June 30, 2020 to record the investment at its fair value during that period.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did not record an income tax benefit or expense for the three months ended June 30, 2021 and 2020 due to maintaining a valuation allowance against our deferred tax assets.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recorded an immaterial income tax expense for the six months ended June 30, 2021 and $142.5 million for the six months ended June 30, 2020. The change in our income tax provision was primarily due to the impact of recording a valuation allowance on our deferred tax assets during the six months ended June 30, 2020. The total income tax provision for the six months ended June 30, 2021 differed from amounts computed by applying the federal statutory tax rate to pre-tax income for the period primarily due to net income attributable to the non-controlling interest and the impact of maintaining a valuation allowance on our deferred tax assets.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Adjusted EBITDA</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Adjusted EBITDA is a supplemental non-GAAP financial measure used by management and external users of our financial statements, such as industry analysts, investors, lenders and rating agencies. We believe Adjusted EBITDA is useful because it allows us to more effectively evaluate our operating performance and compare the results of our operations period to period without regard to our financing methods or capital structure. In addition, management uses Adjusted EBITDA to evaluate cash flow available to pay distributions to our common unitholders.</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define Adjusted EBITDA as net income (loss) attributable to Viper Energy Partners LP plus net income (loss) attributable to non-controlling interest (“net income (loss)”) before interest expense, net, non-cash unit-based compensation expense, depletion expense, impairment expense, (gain) loss on revaluation of investment, non-cash (gain) loss on derivative instruments, (gain) loss on extinguishment of debt and provision for (benefit from) income taxes, if any. We exclude the items listed above from net income (loss) in arriving at Adjusted EBITDA because these amounts can vary substantially from company to company within our industry depending upon accounting methods and book values of assets, capital structures and the method by which the assets were acquired. Certain items excluded from Adjusted EBITDA are significant components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understanding and assessing a company’s financial performance, such as a company’s cost of capital and tax structure, as well as historic costs of depreciable assets, none of which are components of Adjusted EBITDA.</w:t>
      </w:r>
    </w:p>
    <w:p>
      <w:pPr>
        <w:spacing w:after="0" w:line="1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GAAP measure most directly comparable to Adjusted EBITDA is net income (loss). However, Adjusted EBITDA is not a measure of net income (loss) as determined by GAAP and should not be considered an alternative to, or more meaningful than, net income (loss), royalty income, cash flow from operating activities or any other measure of financial performance or liquidity presented as determined in accordance with GAAP. Our computation of Adjusted EBITDA excludes some, but not all, items that affect net income (loss), and these measures may vary from those of other companies. As a result, Adjusted EBITDA as presented below may not be comparable to other similarly titled measures of other companies.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reconciliation of the GAAP financial measure of net income (loss) to the non-GAAP financial measures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and cash available for distribution for the periods indicated: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440" w:type="dxa"/>
            <w:vAlign w:val="bottom"/>
            <w:gridSpan w:val="4"/>
          </w:tcPr>
          <w:p>
            <w:pPr>
              <w:jc w:val="right"/>
              <w:ind w:right="310"/>
              <w:spacing w:after="0"/>
              <w:rPr>
                <w:sz w:val="20"/>
                <w:szCs w:val="20"/>
                <w:color w:val="auto"/>
              </w:rPr>
            </w:pPr>
            <w:r>
              <w:rPr>
                <w:rFonts w:ascii="Arial" w:cs="Arial" w:eastAsia="Arial" w:hAnsi="Arial"/>
                <w:sz w:val="16"/>
                <w:szCs w:val="16"/>
                <w:b w:val="1"/>
                <w:bCs w:val="1"/>
                <w:color w:val="auto"/>
                <w:w w:val="97"/>
              </w:rPr>
              <w:t>Six Months Ended June 30,</w:t>
            </w:r>
          </w:p>
        </w:tc>
      </w:tr>
      <w:tr>
        <w:trPr>
          <w:trHeight w:val="210"/>
        </w:trPr>
        <w:tc>
          <w:tcPr>
            <w:tcW w:w="57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2020</w:t>
            </w:r>
          </w:p>
        </w:tc>
      </w:tr>
      <w:tr>
        <w:trPr>
          <w:trHeight w:val="209"/>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5"/>
          </w:tcPr>
          <w:p>
            <w:pPr>
              <w:ind w:left="56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2"/>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(163,921)</w:t>
            </w:r>
          </w:p>
        </w:tc>
      </w:tr>
      <w:tr>
        <w:trPr>
          <w:trHeight w:val="229"/>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7,015</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(156,906)</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16,632</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unit-based compensation expense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Depletion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47,424</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loss on revaluation of investment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Non-cash (gain) loss on derivative instruments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39,831</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loss on extinguishment of debt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142,466</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Adjusted EBITDA</w:t>
            </w: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156,790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96,780</w:t>
            </w:r>
          </w:p>
        </w:tc>
      </w:tr>
      <w:tr>
        <w:trPr>
          <w:trHeight w:val="230"/>
        </w:trPr>
        <w:tc>
          <w:tcPr>
            <w:tcW w:w="574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Less: Adjusted EBITDA attributable to non-controlling interest</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55,373</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attributable to Viper Energy Partners LP</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41,407</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7"/>
              </w:rPr>
              <w:t>Adjustments to reconcile Adjusted EBITDA to cash available for distribution:</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service, contractual obligations, fixed charges and reserves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Cash paid for tax withholding on vested common units</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 equivalent rights payments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Preferred distributions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available for distribution to Viper Energy Partners LP unitholders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limited partner units outstanding</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67,831</w:t>
            </w:r>
          </w:p>
        </w:tc>
      </w:tr>
      <w:tr>
        <w:trPr>
          <w:trHeight w:val="270"/>
        </w:trPr>
        <w:tc>
          <w:tcPr>
            <w:tcW w:w="5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available for distribution per limited partner unit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Cash per unit approved for distribution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0.13</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(1) Does not take into account special income allocation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Distributions</w:t>
      </w:r>
    </w:p>
    <w:p>
      <w:pPr>
        <w:spacing w:after="0" w:line="252" w:lineRule="exact"/>
        <w:rPr>
          <w:sz w:val="20"/>
          <w:szCs w:val="20"/>
          <w:color w:val="auto"/>
        </w:rPr>
      </w:pPr>
    </w:p>
    <w:p>
      <w:pPr>
        <w:jc w:val="both"/>
        <w:ind w:firstLine="648"/>
        <w:spacing w:after="0" w:line="291" w:lineRule="auto"/>
        <w:rPr>
          <w:rFonts w:ascii="Arial" w:cs="Arial" w:eastAsia="Arial" w:hAnsi="Arial"/>
          <w:sz w:val="17"/>
          <w:szCs w:val="17"/>
          <w:color w:val="auto"/>
        </w:rPr>
      </w:pPr>
      <w:r>
        <w:rPr>
          <w:rFonts w:ascii="Arial" w:cs="Arial" w:eastAsia="Arial" w:hAnsi="Arial"/>
          <w:sz w:val="17"/>
          <w:szCs w:val="17"/>
          <w:color w:val="auto"/>
        </w:rPr>
        <w:t>The distribution for the second quarter of 2021 of $0.33 per common unit is payable on August 19, 2021 to common unitholders of record at the close of business on August 12, 2021. See Note 7—</w:t>
      </w:r>
      <w:hyperlink w:anchor="page16">
        <w:r>
          <w:rPr>
            <w:rFonts w:ascii="Arial" w:cs="Arial" w:eastAsia="Arial" w:hAnsi="Arial"/>
            <w:sz w:val="17"/>
            <w:szCs w:val="17"/>
            <w:u w:val="single" w:color="auto"/>
            <w:color w:val="0000FF"/>
          </w:rPr>
          <w:t>Unitholders' Equity and Distributions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discussion of our distributions.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primary sources of liquidity have been cash flows from operations, proceeds from sales of non-core assets and investments, equity and debt offerings and borrowings under our credit agreement. Our primary uses of cash have been distributions to our unitholders, repayment of debt and capital expenditures for the acquisition of our mineral interests and royalty interests in oil and natural gas properties, and repurchases of our common units. We intend to finance future expenditures through a combination of cash on hand, borrowings under our credit agreement, issuance of common units and, subject to market conditions and other factors, proceeds from one or more capital market transactions, which may include debt or equity offerings.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ability to generate cash is subject to several factors, some of which are beyond our control, including commodity prices and general economic, financial, competitive, legislative, regulatory and other factors, including extreme weather conditions, such as the February 2021 winter storms in the Permian Basin that impacted production volumes on our mineral and royalty acreage. Continued prolonged volatility in the capital, financial and/or credit markets, commodity pricing environment and uncertain macroeconomic conditions may limit our access to, or increase our cost of, capital or make capital unavailable on terms acceptable to us or at all.</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for the periods indicated: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8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w w:val="95"/>
              </w:rPr>
              <w:t>2020</w:t>
            </w:r>
          </w:p>
        </w:tc>
      </w:tr>
      <w:tr>
        <w:trPr>
          <w:trHeight w:val="210"/>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r>
      <w:tr>
        <w:trPr>
          <w:trHeight w:val="219"/>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340" w:type="dxa"/>
            <w:vAlign w:val="bottom"/>
          </w:tcPr>
          <w:p>
            <w:pPr>
              <w:ind w:left="2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129,680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115,863</w:t>
            </w:r>
          </w:p>
        </w:tc>
      </w:tr>
      <w:tr>
        <w:trPr>
          <w:trHeight w:val="230"/>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(65,272)</w:t>
            </w:r>
          </w:p>
        </w:tc>
      </w:tr>
      <w:tr>
        <w:trPr>
          <w:trHeight w:val="229"/>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(44,530)</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jc w:val="both"/>
        <w:ind w:firstLine="648"/>
        <w:spacing w:after="0" w:line="272" w:lineRule="auto"/>
        <w:rPr>
          <w:rFonts w:ascii="Arial" w:cs="Arial" w:eastAsia="Arial" w:hAnsi="Arial"/>
          <w:sz w:val="16"/>
          <w:szCs w:val="16"/>
          <w:color w:val="auto"/>
        </w:rPr>
      </w:pPr>
      <w:r>
        <w:rPr>
          <w:rFonts w:ascii="Arial" w:cs="Arial" w:eastAsia="Arial" w:hAnsi="Arial"/>
          <w:sz w:val="16"/>
          <w:szCs w:val="16"/>
          <w:color w:val="auto"/>
        </w:rPr>
        <w:t>Our operating cash flow is sensitive to many variables, the most significant of which are the volatility of prices for oil and natural gas and the volume of oil and natural gas sold by our producers as discussed in “—</w:t>
      </w:r>
      <w:hyperlink w:anchor="page24">
        <w:r>
          <w:rPr>
            <w:rFonts w:ascii="Arial" w:cs="Arial" w:eastAsia="Arial" w:hAnsi="Arial"/>
            <w:sz w:val="16"/>
            <w:szCs w:val="16"/>
            <w:u w:val="single" w:color="auto"/>
            <w:color w:val="0000FF"/>
          </w:rPr>
          <w:t>Results of Operations</w:t>
        </w:r>
      </w:hyperlink>
      <w:r>
        <w:rPr>
          <w:rFonts w:ascii="Arial" w:cs="Arial" w:eastAsia="Arial" w:hAnsi="Arial"/>
          <w:sz w:val="16"/>
          <w:szCs w:val="16"/>
          <w:color w:val="auto"/>
        </w:rPr>
        <w:t>” above. Prices for these commodities are determined primarily by prevailing market conditions. Regional and worldwide economic activity, extreme weather conditions and other substantially variable factors influence market conditions for these products. These factors are beyond our control and are difficult to predict. The increase in net cash provided by operating activities during the six months ended June 30, 2021 compared to the same period in 2020 was primarily driven by higher royalty income in 2021, which was largely offset by (i) changes in our working capital accounts, most notably through a reduction in cash collections on our accounts receivable in 2021 compared to 2020 due to the timing of our receipt of royalty income payments from our operators, (ii) an increase in cash paid for derivative settlements and (iii) an increase in production and ad valorem expenses due to the corresponding increase in royalty income.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during the six months ended June 30, 2021 and 2020, was primarily related to acquisitions of oil and natural gas interests.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during the six months ended June 30, 2021, was primarily related to the net repayment of $22.0 million of borrowings under the Operating Company’s revolving credit facility, distributions of $60.8 million to our unitholders and $19.8 million of repurchases of our common units during the second quarter of 2021 as discussed below.</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cash used in financing activities during the six months ended June 30, 2020, was primarily related to distributions of $87.3 million to our unitholders and repurchases of the Notes totaling $13.8 million, net of discounts during the second quarter of 2020. These amounts were partially offset by net proceeds from borrowing activity under the Operating Company’s revolving credit facility of $57.0 million during the second quarter of 2020.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Unit Repurchase Program</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On November 6, 2020, the board of directors of our general partner approved an expansion of our return of capital program with the implementation of a common unit repurchase program to acquire up to $100.0 million of our outstanding common units. During the six months ended June 30, 2021, we repurchased approximately $19.8 million of common units under our repurchase program. As of June 30, 2021, $56.2 million remains available for us to repurchase units under our common unit repurchase program. The common unit repurchase program is authorized to extend through December 31, 2021, and we intend to purchase common units under the repurchase program opportunistically with funds from cash on hand, free cash flow from operations and potential liquidity events such as the sale of assets. The repurchase program may be suspended from time to time, modified, extended or discontinued by the board of directors of our general partner at any time.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Indebtedness</w:t>
      </w:r>
    </w:p>
    <w:p>
      <w:pPr>
        <w:spacing w:after="0" w:line="239" w:lineRule="exact"/>
        <w:rPr>
          <w:sz w:val="20"/>
          <w:szCs w:val="20"/>
          <w:color w:val="auto"/>
        </w:rPr>
      </w:pPr>
    </w:p>
    <w:p>
      <w:pPr>
        <w:jc w:val="both"/>
        <w:ind w:left="40" w:firstLine="648"/>
        <w:spacing w:after="0" w:line="237" w:lineRule="auto"/>
        <w:rPr>
          <w:sz w:val="20"/>
          <w:szCs w:val="20"/>
          <w:color w:val="auto"/>
        </w:rPr>
      </w:pPr>
      <w:r>
        <w:rPr>
          <w:rFonts w:ascii="Arial" w:cs="Arial" w:eastAsia="Arial" w:hAnsi="Arial"/>
          <w:sz w:val="17"/>
          <w:szCs w:val="17"/>
          <w:color w:val="auto"/>
        </w:rPr>
        <w:t>As of June 30, 2021, our indebtedness consists of $479.9 million in principal amount of Notes outstanding and $62.0 million in borrowings under the Operating Company’s revolving credit facility. We did not repurchase any Notes during the three and six months ended June 30, 2021, but may do so opportunistically from time to time in future periods. The Operating Company’s credit agreement, as amended to date, provides for a revolving credit facility in the maximum credit amount of $2.0 billion, with a borrowing base of $580.0 million as of June 30, 2021, based on the Operating Company’s oil and natural gas reserves and other factors, although the Operating Company had elected a commitment amount of $500.0 million. The borrowing base is scheduled to be redetermined semi-annually in May and November. As of June 30, 2021, there was $62.0 million of outstanding borrowings and $438.0 million available for future borrowings under the Operating Company’s revolving credit facility. During the three and six months ended June 30, 2021, the weighted average interest rate on the Operating Company’s revolving credit facility was 1.93% and 1.90%, respectively. The revolving credit facility will mature on June 2, 2025.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2021, the Operating Company was in compliance with the financial maintenance covenants under its credit agreement.</w:t>
      </w:r>
    </w:p>
    <w:p>
      <w:pPr>
        <w:spacing w:after="0" w:line="264"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additional discussion of our indebtedness in Note 6—</w:t>
      </w:r>
      <w:hyperlink w:anchor="page14">
        <w:r>
          <w:rPr>
            <w:rFonts w:ascii="Arial" w:cs="Arial" w:eastAsia="Arial" w:hAnsi="Arial"/>
            <w:sz w:val="18"/>
            <w:szCs w:val="18"/>
            <w:u w:val="single" w:color="auto"/>
            <w:color w:val="0000FF"/>
          </w:rPr>
          <w:t>Debt</w:t>
        </w:r>
      </w:hyperlink>
      <w:r>
        <w:rPr>
          <w:rFonts w:ascii="Arial" w:cs="Arial" w:eastAsia="Arial" w:hAnsi="Arial"/>
          <w:sz w:val="18"/>
          <w:szCs w:val="18"/>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Other than the changes in our outstanding debt discussed in Note 6—</w:t>
      </w:r>
      <w:hyperlink w:anchor="page14">
        <w:r>
          <w:rPr>
            <w:rFonts w:ascii="Arial" w:cs="Arial" w:eastAsia="Arial" w:hAnsi="Arial"/>
            <w:sz w:val="18"/>
            <w:szCs w:val="18"/>
            <w:u w:val="single" w:color="auto"/>
            <w:color w:val="0000FF"/>
          </w:rPr>
          <w:t>Debt</w:t>
        </w:r>
      </w:hyperlink>
      <w:r>
        <w:rPr>
          <w:rFonts w:ascii="Arial" w:cs="Arial" w:eastAsia="Arial" w:hAnsi="Arial"/>
          <w:sz w:val="18"/>
          <w:szCs w:val="18"/>
          <w:color w:val="auto"/>
        </w:rPr>
        <w:t xml:space="preserve">, there were no material changes in our contractual obligations and other commitments as disclosed in our </w:t>
      </w:r>
      <w:hyperlink r:id="rId16">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20"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changes to our critical accounting policies from those disclosed in our </w:t>
      </w:r>
      <w:hyperlink r:id="rId16">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no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Oil prices dropped sharply in early March 2020 and then continued to decline, briefly reaching negative levels. This was a result of multiple factors affecting supply and demand in the global oil and natural gas markets, including actions taken by OPEC members and other exporting nations, and a significant decrease in demand due to the COVID-19 pandemic, which resulted in a widespread health crisis and significant volatility, uncertainty and turmoil in the global economy, financial markets and oil and natural gas industry. Although demand and market prices for oil and natural gas have recently increased due to the rising energy use, easing of the COVID-19 pandemic and the improvements in the U.S. economic activity, we cannot predict events that may lead to future price volatility and the near term energy outlook remains subject to heightened levels of uncertainty.</w:t>
      </w:r>
    </w:p>
    <w:p>
      <w:pPr>
        <w:spacing w:after="0" w:line="2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historically have used fixed price swap contracts, fixed price basis swap contracts and costless collars with corresponding put and call options to reduce price volatility associated with certain of our royalty income. Under our costless collar contracts, each collar has an established floor price and ceiling price. When the settlement price is below the floor price, the counterparty is required to make a payment to us and when the settlement price is above the ceiling price, we are required to make a payment to the counterparty. When the settlement price is between the floor and the ceiling, there is no payment required.</w:t>
      </w:r>
    </w:p>
    <w:p>
      <w:pPr>
        <w:spacing w:after="0" w:line="21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At June 30, 2021, we had a net liability derivative position related to our commodity price derivatives of $51.8 million. Utilizing actual derivative contractual volumes under our collars as of June 30, 2021, a 10% increase in forward curves associated with the underlying commodity would have increased the net liability position to $56.9 million, an increase of $5.2 million, while a 10% decrease in forward curves associated with the underlying commodity would have decreased the net liability derivative position to $46.6 million, a decrease of $5.2 million. However, any cash derivative gain or loss would be substantially offset by a decrease or increase, respectively, in the actual sales value of production covered by the derivative instrument.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risk resulting from the concentration of royalty income in producing oil and natural gas interests and receivables with a limited number of significant purchasers and producers. We do not require collateral and the failure or inability of our significant purchasers to meet their obligations to us due to their liquidity issues, bankruptcy, insolvency or liquidation may adversely affect our financial results. Volatility in commodity pricing environment and macroeconomic conditions may enhance our purchaser credit risk.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subject to market risk exposure related to changes in interest rates on our indebtedness under the Operating Company’s credit agreement. The terms of the credit agreement provide for interest on borrowings at a floating rate equal to an alternative base rate (which is equal to the greatest of the prime rate, the Federal Funds effective rate plus 0.50% and 3-month LIBOR plus 1.0%) or LIBOR, in each case plus the applicable margin. The applicable margin ranges from 1.00% to 2.00% in the case of the alternative base rate and from 2.00% to 3.00% in the case of LIBOR, in each case depending on the amount of the loan outstanding in relation to the borrowing base. We are obligated to pay a quarterly commitment fee ranging from 0.375% to 0.500% per year on the unused portion of the borrowing base, which fee is the least of the maximum credit amount, the aggregate elected commitment amount and the borrowing base. We entered into this credit agreement on July 8, 2014, as subsequently amended, and as of June 30, 2021, we had $62.0 million in outstanding borrowings. During the three and six</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2021, the weighted average interest rate on the Operating Company’s revolving credit facility was 1.93% and 1.90%, respectively.</w:t>
      </w:r>
    </w:p>
    <w:p>
      <w:pPr>
        <w:spacing w:after="0" w:line="27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the Chief Executive Officer and Chief Financial Officer of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2021,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June 30, 2021, our disclosure controls and procedures are effective.</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quarter ended June 30, 2021 that have materially affected, or are reasonably likely to materially affect, internal controls over financial reporting.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ind w:firstLine="648"/>
        <w:spacing w:after="0" w:line="286" w:lineRule="auto"/>
        <w:rPr>
          <w:rFonts w:ascii="Arial" w:cs="Arial" w:eastAsia="Arial" w:hAnsi="Arial"/>
          <w:sz w:val="17"/>
          <w:szCs w:val="17"/>
          <w:color w:val="auto"/>
        </w:rPr>
      </w:pPr>
      <w:r>
        <w:rPr>
          <w:rFonts w:ascii="Arial" w:cs="Arial" w:eastAsia="Arial" w:hAnsi="Arial"/>
          <w:sz w:val="17"/>
          <w:szCs w:val="17"/>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hyperlink w:anchor="page22">
        <w:r>
          <w:rPr>
            <w:rFonts w:ascii="Arial" w:cs="Arial" w:eastAsia="Arial" w:hAnsi="Arial"/>
            <w:sz w:val="17"/>
            <w:szCs w:val="17"/>
            <w:u w:val="single" w:color="auto"/>
            <w:color w:val="0000FF"/>
          </w:rPr>
          <w:t>Commitments and Contingencies</w:t>
        </w:r>
      </w:hyperlink>
      <w:r>
        <w:rPr>
          <w:rFonts w:ascii="Arial" w:cs="Arial" w:eastAsia="Arial" w:hAnsi="Arial"/>
          <w:sz w:val="17"/>
          <w:szCs w:val="17"/>
          <w:color w:val="auto"/>
        </w:rPr>
        <w:t>.</w:t>
      </w:r>
    </w:p>
    <w:p>
      <w:pPr>
        <w:spacing w:after="0" w:line="1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11" w:lineRule="exact"/>
        <w:rPr>
          <w:sz w:val="20"/>
          <w:szCs w:val="20"/>
          <w:color w:val="auto"/>
        </w:rPr>
      </w:pPr>
    </w:p>
    <w:p>
      <w:pPr>
        <w:jc w:val="both"/>
        <w:ind w:firstLine="648"/>
        <w:spacing w:after="0" w:line="270" w:lineRule="auto"/>
        <w:rPr>
          <w:rFonts w:ascii="Arial" w:cs="Arial" w:eastAsia="Arial" w:hAnsi="Arial"/>
          <w:sz w:val="17"/>
          <w:szCs w:val="17"/>
          <w:color w:val="000000"/>
        </w:rPr>
      </w:pPr>
      <w:hyperlink r:id="rId45">
        <w:r>
          <w:rPr>
            <w:rFonts w:ascii="Arial" w:cs="Arial" w:eastAsia="Arial" w:hAnsi="Arial"/>
            <w:sz w:val="17"/>
            <w:szCs w:val="17"/>
            <w:color w:val="auto"/>
          </w:rPr>
          <w:t xml:space="preserve">In addition to the information set forth in this report, you should carefully consider the risk factors disclosed in </w:t>
        </w:r>
        <w:r>
          <w:rPr>
            <w:rFonts w:ascii="Arial" w:cs="Arial" w:eastAsia="Arial" w:hAnsi="Arial"/>
            <w:sz w:val="17"/>
            <w:szCs w:val="17"/>
            <w:u w:val="single" w:color="auto"/>
            <w:color w:val="0000FF"/>
          </w:rPr>
          <w:t>Part I, Item 1A. Risk Factors in our</w:t>
        </w:r>
      </w:hyperlink>
      <w:r>
        <w:rPr>
          <w:rFonts w:ascii="Arial" w:cs="Arial" w:eastAsia="Arial" w:hAnsi="Arial"/>
          <w:sz w:val="17"/>
          <w:szCs w:val="17"/>
          <w:color w:val="auto"/>
        </w:rPr>
        <w:t xml:space="preserve"> </w:t>
      </w:r>
      <w:hyperlink r:id="rId45">
        <w:r>
          <w:rPr>
            <w:rFonts w:ascii="Arial" w:cs="Arial" w:eastAsia="Arial" w:hAnsi="Arial"/>
            <w:sz w:val="17"/>
            <w:szCs w:val="17"/>
            <w:u w:val="single" w:color="auto"/>
            <w:color w:val="0000FF"/>
          </w:rPr>
          <w:t>Annual Report on Form 10-K</w:t>
        </w:r>
        <w:r>
          <w:rPr>
            <w:rFonts w:ascii="Arial" w:cs="Arial" w:eastAsia="Arial" w:hAnsi="Arial"/>
            <w:sz w:val="17"/>
            <w:szCs w:val="17"/>
            <w:color w:val="0000FF"/>
          </w:rPr>
          <w:t xml:space="preserve"> </w:t>
        </w:r>
        <w:r>
          <w:rPr>
            <w:rFonts w:ascii="Arial" w:cs="Arial" w:eastAsia="Arial" w:hAnsi="Arial"/>
            <w:sz w:val="17"/>
            <w:szCs w:val="17"/>
            <w:color w:val="000000"/>
          </w:rPr>
          <w:t>for the year ended December 31, 2020, and in subsequent filings we make with the SEC. There have been no material</w:t>
        </w:r>
      </w:hyperlink>
      <w:r>
        <w:rPr>
          <w:rFonts w:ascii="Arial" w:cs="Arial" w:eastAsia="Arial" w:hAnsi="Arial"/>
          <w:sz w:val="17"/>
          <w:szCs w:val="17"/>
          <w:color w:val="0000FF"/>
        </w:rPr>
        <w:t xml:space="preserve"> </w:t>
      </w:r>
      <w:r>
        <w:rPr>
          <w:rFonts w:ascii="Arial" w:cs="Arial" w:eastAsia="Arial" w:hAnsi="Arial"/>
          <w:sz w:val="17"/>
          <w:szCs w:val="17"/>
          <w:color w:val="000000"/>
        </w:rPr>
        <w:t xml:space="preserve">changes in our risk factors from those described in our </w:t>
      </w:r>
      <w:hyperlink r:id="rId16">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for the year ended December 31, 2020.</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44"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unit repurchase activity for the three months ended June 30, 2021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Total Number of Units</w:t>
            </w:r>
          </w:p>
        </w:tc>
        <w:tc>
          <w:tcPr>
            <w:tcW w:w="260" w:type="dxa"/>
            <w:vAlign w:val="bottom"/>
          </w:tcPr>
          <w:p>
            <w:pPr>
              <w:spacing w:after="0"/>
              <w:rPr>
                <w:sz w:val="16"/>
                <w:szCs w:val="16"/>
                <w:color w:val="auto"/>
              </w:rPr>
            </w:pPr>
          </w:p>
        </w:tc>
        <w:tc>
          <w:tcPr>
            <w:tcW w:w="1640" w:type="dxa"/>
            <w:vAlign w:val="bottom"/>
          </w:tcPr>
          <w:p>
            <w:pPr>
              <w:jc w:val="right"/>
              <w:ind w:right="114"/>
              <w:spacing w:after="0"/>
              <w:rPr>
                <w:sz w:val="20"/>
                <w:szCs w:val="20"/>
                <w:color w:val="auto"/>
              </w:rPr>
            </w:pPr>
            <w:r>
              <w:rPr>
                <w:rFonts w:ascii="Arial" w:cs="Arial" w:eastAsia="Arial" w:hAnsi="Arial"/>
                <w:sz w:val="16"/>
                <w:szCs w:val="16"/>
                <w:b w:val="1"/>
                <w:bCs w:val="1"/>
                <w:color w:val="auto"/>
                <w:w w:val="96"/>
              </w:rPr>
              <w:t>Approximate Dollar</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vMerge w:val="restart"/>
          </w:tcPr>
          <w:p>
            <w:pPr>
              <w:jc w:val="right"/>
              <w:ind w:right="53"/>
              <w:spacing w:after="0"/>
              <w:rPr>
                <w:sz w:val="20"/>
                <w:szCs w:val="20"/>
                <w:color w:val="auto"/>
              </w:rPr>
            </w:pPr>
            <w:r>
              <w:rPr>
                <w:rFonts w:ascii="Arial" w:cs="Arial" w:eastAsia="Arial" w:hAnsi="Arial"/>
                <w:sz w:val="16"/>
                <w:szCs w:val="16"/>
                <w:b w:val="1"/>
                <w:bCs w:val="1"/>
                <w:color w:val="auto"/>
              </w:rPr>
              <w:t>Total Number of Units</w:t>
            </w:r>
          </w:p>
        </w:tc>
        <w:tc>
          <w:tcPr>
            <w:tcW w:w="1740" w:type="dxa"/>
            <w:vAlign w:val="bottom"/>
            <w:gridSpan w:val="2"/>
            <w:vMerge w:val="restart"/>
          </w:tcPr>
          <w:p>
            <w:pPr>
              <w:jc w:val="right"/>
              <w:ind w:right="133"/>
              <w:spacing w:after="0"/>
              <w:rPr>
                <w:sz w:val="20"/>
                <w:szCs w:val="20"/>
                <w:color w:val="auto"/>
              </w:rPr>
            </w:pPr>
            <w:r>
              <w:rPr>
                <w:rFonts w:ascii="Arial" w:cs="Arial" w:eastAsia="Arial" w:hAnsi="Arial"/>
                <w:sz w:val="16"/>
                <w:szCs w:val="16"/>
                <w:b w:val="1"/>
                <w:bCs w:val="1"/>
                <w:color w:val="auto"/>
              </w:rPr>
              <w:t>Average Price Paid</w:t>
            </w:r>
          </w:p>
        </w:tc>
        <w:tc>
          <w:tcPr>
            <w:tcW w:w="1860" w:type="dxa"/>
            <w:vAlign w:val="bottom"/>
            <w:vMerge w:val="continue"/>
          </w:tcPr>
          <w:p>
            <w:pPr>
              <w:spacing w:after="0"/>
              <w:rPr>
                <w:sz w:val="14"/>
                <w:szCs w:val="14"/>
                <w:color w:val="auto"/>
              </w:rPr>
            </w:pPr>
          </w:p>
        </w:tc>
        <w:tc>
          <w:tcPr>
            <w:tcW w:w="19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Value of Units that May</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920" w:type="dxa"/>
            <w:vAlign w:val="bottom"/>
            <w:gridSpan w:val="2"/>
            <w:vMerge w:val="restart"/>
          </w:tcPr>
          <w:p>
            <w:pPr>
              <w:ind w:left="700"/>
              <w:spacing w:after="0"/>
              <w:rPr>
                <w:sz w:val="20"/>
                <w:szCs w:val="20"/>
                <w:color w:val="auto"/>
              </w:rPr>
            </w:pPr>
            <w:r>
              <w:rPr>
                <w:rFonts w:ascii="Arial" w:cs="Arial" w:eastAsia="Arial" w:hAnsi="Arial"/>
                <w:sz w:val="16"/>
                <w:szCs w:val="16"/>
                <w:b w:val="1"/>
                <w:bCs w:val="1"/>
                <w:color w:val="auto"/>
              </w:rPr>
              <w:t>Period</w:t>
            </w:r>
          </w:p>
        </w:tc>
        <w:tc>
          <w:tcPr>
            <w:tcW w:w="1860" w:type="dxa"/>
            <w:vAlign w:val="bottom"/>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9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7"/>
              </w:rPr>
              <w:t>Yet Be Purchased Under</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1860" w:type="dxa"/>
            <w:vAlign w:val="bottom"/>
          </w:tcPr>
          <w:p>
            <w:pPr>
              <w:jc w:val="right"/>
              <w:ind w:right="413"/>
              <w:spacing w:after="0" w:line="216"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360" w:type="dxa"/>
            <w:vAlign w:val="bottom"/>
          </w:tcPr>
          <w:p>
            <w:pPr>
              <w:spacing w:after="0"/>
              <w:rPr>
                <w:sz w:val="18"/>
                <w:szCs w:val="18"/>
                <w:color w:val="auto"/>
              </w:rPr>
            </w:pPr>
          </w:p>
        </w:tc>
        <w:tc>
          <w:tcPr>
            <w:tcW w:w="1380" w:type="dxa"/>
            <w:vAlign w:val="bottom"/>
          </w:tcPr>
          <w:p>
            <w:pPr>
              <w:jc w:val="right"/>
              <w:ind w:right="433"/>
              <w:spacing w:after="0" w:line="216" w:lineRule="exact"/>
              <w:rPr>
                <w:sz w:val="20"/>
                <w:szCs w:val="20"/>
                <w:color w:val="auto"/>
              </w:rPr>
            </w:pPr>
            <w:r>
              <w:rPr>
                <w:rFonts w:ascii="Arial" w:cs="Arial" w:eastAsia="Arial" w:hAnsi="Arial"/>
                <w:sz w:val="16"/>
                <w:szCs w:val="16"/>
                <w:b w:val="1"/>
                <w:bCs w:val="1"/>
                <w:color w:val="auto"/>
              </w:rPr>
              <w:t>Per Unit</w:t>
            </w:r>
            <w:r>
              <w:rPr>
                <w:rFonts w:ascii="Arial" w:cs="Arial" w:eastAsia="Arial" w:hAnsi="Arial"/>
                <w:sz w:val="21"/>
                <w:szCs w:val="21"/>
                <w:b w:val="1"/>
                <w:bCs w:val="1"/>
                <w:color w:val="auto"/>
                <w:vertAlign w:val="superscript"/>
              </w:rPr>
              <w:t>(2)</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1"/>
              </w:rPr>
              <w:t>Publicly Announced Plan</w:t>
            </w:r>
          </w:p>
        </w:tc>
        <w:tc>
          <w:tcPr>
            <w:tcW w:w="260" w:type="dxa"/>
            <w:vAlign w:val="bottom"/>
          </w:tcPr>
          <w:p>
            <w:pPr>
              <w:spacing w:after="0"/>
              <w:rPr>
                <w:sz w:val="18"/>
                <w:szCs w:val="18"/>
                <w:color w:val="auto"/>
              </w:rPr>
            </w:pPr>
          </w:p>
        </w:tc>
        <w:tc>
          <w:tcPr>
            <w:tcW w:w="1640" w:type="dxa"/>
            <w:vAlign w:val="bottom"/>
          </w:tcPr>
          <w:p>
            <w:pPr>
              <w:jc w:val="right"/>
              <w:ind w:right="474"/>
              <w:spacing w:after="0" w:line="216" w:lineRule="exact"/>
              <w:rPr>
                <w:sz w:val="20"/>
                <w:szCs w:val="20"/>
                <w:color w:val="auto"/>
              </w:rPr>
            </w:pPr>
            <w:r>
              <w:rPr>
                <w:rFonts w:ascii="Arial" w:cs="Arial" w:eastAsia="Arial" w:hAnsi="Arial"/>
                <w:sz w:val="16"/>
                <w:szCs w:val="16"/>
                <w:b w:val="1"/>
                <w:bCs w:val="1"/>
                <w:color w:val="auto"/>
              </w:rPr>
              <w:t>the Plan</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07"/>
        </w:trPr>
        <w:tc>
          <w:tcPr>
            <w:tcW w:w="96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gridSpan w:val="2"/>
          </w:tcPr>
          <w:p>
            <w:pPr>
              <w:jc w:val="right"/>
              <w:ind w:right="454"/>
              <w:spacing w:after="0"/>
              <w:rPr>
                <w:sz w:val="20"/>
                <w:szCs w:val="20"/>
                <w:color w:val="auto"/>
              </w:rPr>
            </w:pPr>
            <w:r>
              <w:rPr>
                <w:rFonts w:ascii="Arial" w:cs="Arial" w:eastAsia="Arial" w:hAnsi="Arial"/>
                <w:sz w:val="16"/>
                <w:szCs w:val="16"/>
                <w:b w:val="1"/>
                <w:bCs w:val="1"/>
                <w:color w:val="auto"/>
                <w:w w:val="97"/>
              </w:rPr>
              <w:t>(In thousands, except unit amounts)</w:t>
            </w: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April 1, 2021 - April 30, 2021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242,500</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16.12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59,016</w:t>
            </w:r>
          </w:p>
        </w:tc>
        <w:tc>
          <w:tcPr>
            <w:tcW w:w="0" w:type="dxa"/>
            <w:vAlign w:val="bottom"/>
          </w:tcPr>
          <w:p>
            <w:pPr>
              <w:spacing w:after="0"/>
              <w:rPr>
                <w:sz w:val="1"/>
                <w:szCs w:val="1"/>
                <w:color w:val="auto"/>
              </w:rPr>
            </w:pP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w w:val="92"/>
              </w:rPr>
              <w:t>May 1, 2021</w:t>
            </w: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 May 31, 2021</w:t>
            </w:r>
          </w:p>
        </w:tc>
        <w:tc>
          <w:tcPr>
            <w:tcW w:w="1860" w:type="dxa"/>
            <w:vAlign w:val="bottom"/>
          </w:tcPr>
          <w:p>
            <w:pPr>
              <w:jc w:val="right"/>
              <w:spacing w:after="0"/>
              <w:rPr>
                <w:sz w:val="20"/>
                <w:szCs w:val="20"/>
                <w:color w:val="auto"/>
              </w:rPr>
            </w:pPr>
            <w:r>
              <w:rPr>
                <w:rFonts w:ascii="Arial" w:cs="Arial" w:eastAsia="Arial" w:hAnsi="Arial"/>
                <w:sz w:val="18"/>
                <w:szCs w:val="18"/>
                <w:color w:val="auto"/>
              </w:rPr>
              <w:t>160,663</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17.81</w:t>
            </w:r>
          </w:p>
        </w:tc>
        <w:tc>
          <w:tcPr>
            <w:tcW w:w="1860" w:type="dxa"/>
            <w:vAlign w:val="bottom"/>
          </w:tcPr>
          <w:p>
            <w:pPr>
              <w:jc w:val="right"/>
              <w:spacing w:after="0"/>
              <w:rPr>
                <w:sz w:val="20"/>
                <w:szCs w:val="20"/>
                <w:color w:val="auto"/>
              </w:rPr>
            </w:pPr>
            <w:r>
              <w:rPr>
                <w:rFonts w:ascii="Arial" w:cs="Arial" w:eastAsia="Arial" w:hAnsi="Arial"/>
                <w:sz w:val="18"/>
                <w:szCs w:val="18"/>
                <w:color w:val="auto"/>
              </w:rPr>
              <w:t>160,663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56,152</w:t>
            </w: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June 1, 2021</w:t>
            </w: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56,152</w:t>
            </w:r>
          </w:p>
        </w:tc>
        <w:tc>
          <w:tcPr>
            <w:tcW w:w="0" w:type="dxa"/>
            <w:vAlign w:val="bottom"/>
          </w:tcPr>
          <w:p>
            <w:pPr>
              <w:spacing w:after="0"/>
              <w:rPr>
                <w:sz w:val="1"/>
                <w:szCs w:val="1"/>
                <w:color w:val="auto"/>
              </w:rPr>
            </w:pPr>
          </w:p>
        </w:tc>
      </w:tr>
      <w:tr>
        <w:trPr>
          <w:trHeight w:val="224"/>
        </w:trPr>
        <w:tc>
          <w:tcPr>
            <w:tcW w:w="960" w:type="dxa"/>
            <w:vAlign w:val="bottom"/>
          </w:tcPr>
          <w:p>
            <w:pPr>
              <w:ind w:left="220"/>
              <w:spacing w:after="0"/>
              <w:rPr>
                <w:sz w:val="20"/>
                <w:szCs w:val="20"/>
                <w:color w:val="auto"/>
              </w:rPr>
            </w:pPr>
            <w:r>
              <w:rPr>
                <w:rFonts w:ascii="Arial" w:cs="Arial" w:eastAsia="Arial" w:hAnsi="Arial"/>
                <w:sz w:val="18"/>
                <w:szCs w:val="18"/>
                <w:color w:val="auto"/>
              </w:rPr>
              <w:t>Total</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403,163</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16.79</w:t>
            </w:r>
          </w:p>
        </w:tc>
        <w:tc>
          <w:tcPr>
            <w:tcW w:w="1860" w:type="dxa"/>
            <w:vAlign w:val="bottom"/>
          </w:tcPr>
          <w:p>
            <w:pPr>
              <w:jc w:val="right"/>
              <w:spacing w:after="0"/>
              <w:rPr>
                <w:sz w:val="20"/>
                <w:szCs w:val="20"/>
                <w:color w:val="auto"/>
              </w:rPr>
            </w:pPr>
            <w:r>
              <w:rPr>
                <w:rFonts w:ascii="Arial" w:cs="Arial" w:eastAsia="Arial" w:hAnsi="Arial"/>
                <w:sz w:val="18"/>
                <w:szCs w:val="18"/>
                <w:color w:val="auto"/>
              </w:rPr>
              <w:t>403,163</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40" w:hanging="332"/>
        <w:spacing w:after="0" w:line="258"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common units repurchased from employees in order to satisfy tax withholding requirements. Such units are cancelled and retired immediately upon repurchase.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price paid per common unit is net of any commissions paid to repurchase a common unit.</w:t>
      </w:r>
    </w:p>
    <w:p>
      <w:pPr>
        <w:spacing w:after="0" w:line="9" w:lineRule="exact"/>
        <w:rPr>
          <w:rFonts w:ascii="Arial" w:cs="Arial" w:eastAsia="Arial" w:hAnsi="Arial"/>
          <w:sz w:val="18"/>
          <w:szCs w:val="18"/>
          <w:color w:val="auto"/>
        </w:rPr>
      </w:pPr>
    </w:p>
    <w:p>
      <w:pPr>
        <w:jc w:val="both"/>
        <w:ind w:left="340" w:right="20" w:hanging="332"/>
        <w:spacing w:after="0" w:line="255"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November 2020, the board of directors of our general partner approved a common unit repurchase program to acquire up to $100.0 million of our outstanding common units through December 31, 2021. This repurchase program may be suspended from time to time, modified, extended or discontinued by the board of directors of our general partner at any time.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ind w:left="60"/>
              <w:spacing w:after="0"/>
              <w:rPr>
                <w:sz w:val="20"/>
                <w:szCs w:val="20"/>
                <w:color w:val="auto"/>
              </w:rPr>
            </w:pPr>
            <w:r>
              <w:rPr>
                <w:rFonts w:ascii="Arial" w:cs="Arial" w:eastAsia="Arial" w:hAnsi="Arial"/>
                <w:sz w:val="18"/>
                <w:szCs w:val="18"/>
                <w:b w:val="1"/>
                <w:bCs w:val="1"/>
                <w:color w:val="auto"/>
                <w:w w:val="99"/>
              </w:rPr>
              <w:t>Exhibit Number</w:t>
            </w:r>
          </w:p>
        </w:tc>
        <w:tc>
          <w:tcPr>
            <w:tcW w:w="10020" w:type="dxa"/>
            <w:vAlign w:val="bottom"/>
            <w:gridSpan w:val="24"/>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4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82"/>
        </w:trPr>
        <w:tc>
          <w:tcPr>
            <w:tcW w:w="14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3.1</w:t>
            </w:r>
          </w:p>
        </w:tc>
        <w:tc>
          <w:tcPr>
            <w:tcW w:w="10020" w:type="dxa"/>
            <w:vAlign w:val="bottom"/>
            <w:gridSpan w:val="24"/>
            <w:shd w:val="clear" w:color="auto" w:fill="CCEEFF"/>
          </w:tcPr>
          <w:p>
            <w:pPr>
              <w:spacing w:after="0" w:line="182" w:lineRule="exact"/>
              <w:rPr>
                <w:rFonts w:ascii="Arial" w:cs="Arial" w:eastAsia="Arial" w:hAnsi="Arial"/>
                <w:sz w:val="18"/>
                <w:szCs w:val="18"/>
                <w:color w:val="0000FF"/>
              </w:rPr>
            </w:pPr>
            <w:hyperlink r:id="rId48">
              <w:r>
                <w:rPr>
                  <w:rFonts w:ascii="Arial" w:cs="Arial" w:eastAsia="Arial" w:hAnsi="Arial"/>
                  <w:sz w:val="18"/>
                  <w:szCs w:val="18"/>
                  <w:color w:val="0000FF"/>
                </w:rPr>
                <w:t>Certificate of Limited Partnership of Viper Energy Partners LP (incorporated by reference to Exhibit 3.1 of the Partnership’s</w:t>
              </w:r>
            </w:hyperlink>
          </w:p>
        </w:tc>
      </w:tr>
      <w:tr>
        <w:trPr>
          <w:trHeight w:val="156"/>
        </w:trPr>
        <w:tc>
          <w:tcPr>
            <w:tcW w:w="1400" w:type="dxa"/>
            <w:vAlign w:val="bottom"/>
            <w:tcBorders>
              <w:top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10"/>
            <w:shd w:val="clear" w:color="auto" w:fill="CCEEFF"/>
          </w:tcPr>
          <w:p>
            <w:pPr>
              <w:spacing w:after="0" w:line="156" w:lineRule="exact"/>
              <w:rPr>
                <w:rFonts w:ascii="Arial" w:cs="Arial" w:eastAsia="Arial" w:hAnsi="Arial"/>
                <w:sz w:val="18"/>
                <w:szCs w:val="18"/>
                <w:color w:val="0000FF"/>
              </w:rPr>
            </w:pPr>
            <w:hyperlink r:id="rId48">
              <w:r>
                <w:rPr>
                  <w:rFonts w:ascii="Arial" w:cs="Arial" w:eastAsia="Arial" w:hAnsi="Arial"/>
                  <w:sz w:val="18"/>
                  <w:szCs w:val="18"/>
                  <w:color w:val="0000FF"/>
                </w:rPr>
                <w:t>Registration Statement on Form S-1 (File 333-195769) filed on May 7, 2014).</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61"/>
        </w:trPr>
        <w:tc>
          <w:tcPr>
            <w:tcW w:w="14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3900" w:type="dxa"/>
            <w:vAlign w:val="bottom"/>
            <w:tcBorders>
              <w:top w:val="single" w:sz="8" w:color="0000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10020" w:type="dxa"/>
            <w:vAlign w:val="bottom"/>
            <w:gridSpan w:val="24"/>
          </w:tcPr>
          <w:p>
            <w:pPr>
              <w:spacing w:after="0" w:line="189"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Second Amended and Restated Agreement of Limited Partnership of Viper Energy Partners LP, dated as of May 9, 2018 (incorporated</w:t>
              </w:r>
            </w:hyperlink>
          </w:p>
        </w:tc>
      </w:tr>
      <w:tr>
        <w:trPr>
          <w:trHeight w:val="156"/>
        </w:trPr>
        <w:tc>
          <w:tcPr>
            <w:tcW w:w="1400" w:type="dxa"/>
            <w:vAlign w:val="bottom"/>
          </w:tcPr>
          <w:p>
            <w:pPr>
              <w:spacing w:after="0"/>
              <w:rPr>
                <w:sz w:val="13"/>
                <w:szCs w:val="13"/>
                <w:color w:val="auto"/>
              </w:rPr>
            </w:pPr>
          </w:p>
        </w:tc>
        <w:tc>
          <w:tcPr>
            <w:tcW w:w="98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by reference to Exhibit 3.1 of the Partnership’s Current Report on Form 8-K (File 001-36505) filed on May 15,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4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90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3.3</w:t>
            </w:r>
          </w:p>
        </w:tc>
        <w:tc>
          <w:tcPr>
            <w:tcW w:w="10020" w:type="dxa"/>
            <w:vAlign w:val="bottom"/>
            <w:gridSpan w:val="24"/>
            <w:shd w:val="clear" w:color="auto" w:fill="CCEEFF"/>
          </w:tcPr>
          <w:p>
            <w:pPr>
              <w:spacing w:after="0" w:line="189"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First Amendment to Second Amended and Restated Agreement of Limited Partnership of Viper Energy Partners LP, dated as of May</w:t>
              </w:r>
            </w:hyperlink>
          </w:p>
        </w:tc>
      </w:tr>
      <w:tr>
        <w:trPr>
          <w:trHeight w:val="156"/>
        </w:trPr>
        <w:tc>
          <w:tcPr>
            <w:tcW w:w="1400" w:type="dxa"/>
            <w:vAlign w:val="bottom"/>
            <w:tcBorders>
              <w:top w:val="single" w:sz="8" w:color="CCEEFF"/>
            </w:tcBorders>
            <w:shd w:val="clear" w:color="auto" w:fill="CCEEFF"/>
          </w:tcPr>
          <w:p>
            <w:pPr>
              <w:spacing w:after="0"/>
              <w:rPr>
                <w:sz w:val="13"/>
                <w:szCs w:val="13"/>
                <w:color w:val="auto"/>
              </w:rPr>
            </w:pPr>
          </w:p>
        </w:tc>
        <w:tc>
          <w:tcPr>
            <w:tcW w:w="9920" w:type="dxa"/>
            <w:vAlign w:val="bottom"/>
            <w:tcBorders>
              <w:top w:val="single" w:sz="8" w:color="0000FF"/>
            </w:tcBorders>
            <w:gridSpan w:val="19"/>
            <w:shd w:val="clear" w:color="auto" w:fill="CCEEFF"/>
          </w:tcPr>
          <w:p>
            <w:pPr>
              <w:spacing w:after="0" w:line="156" w:lineRule="exact"/>
              <w:rPr>
                <w:rFonts w:ascii="Arial" w:cs="Arial" w:eastAsia="Arial" w:hAnsi="Arial"/>
                <w:sz w:val="18"/>
                <w:szCs w:val="18"/>
                <w:color w:val="0000FF"/>
                <w:w w:val="93"/>
              </w:rPr>
            </w:pPr>
            <w:hyperlink r:id="rId50">
              <w:r>
                <w:rPr>
                  <w:rFonts w:ascii="Arial" w:cs="Arial" w:eastAsia="Arial" w:hAnsi="Arial"/>
                  <w:sz w:val="18"/>
                  <w:szCs w:val="18"/>
                  <w:color w:val="0000FF"/>
                  <w:w w:val="93"/>
                </w:rPr>
                <w:t>10, 2018. (incorporated by reference to Exhibit 3.2 of the Partnership’s Current Report on Form 8-K (File 001-36505) filed on May 15,</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81"/>
        </w:trPr>
        <w:tc>
          <w:tcPr>
            <w:tcW w:w="14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6"/>
              </w:rPr>
            </w:pPr>
            <w:hyperlink r:id="rId50">
              <w:r>
                <w:rPr>
                  <w:rFonts w:ascii="Arial" w:cs="Arial" w:eastAsia="Arial" w:hAnsi="Arial"/>
                  <w:sz w:val="18"/>
                  <w:szCs w:val="18"/>
                  <w:color w:val="0000FF"/>
                  <w:w w:val="86"/>
                </w:rPr>
                <w:t>2018).</w:t>
              </w:r>
            </w:hyperlink>
          </w:p>
        </w:tc>
        <w:tc>
          <w:tcPr>
            <w:tcW w:w="240" w:type="dxa"/>
            <w:vAlign w:val="bottom"/>
            <w:tcBorders>
              <w:top w:val="single" w:sz="8" w:color="0000FF"/>
              <w:bottom w:val="single" w:sz="8" w:color="CCEEFF"/>
            </w:tcBorders>
            <w:shd w:val="clear" w:color="auto" w:fill="CCEEFF"/>
          </w:tcPr>
          <w:p>
            <w:pPr>
              <w:spacing w:after="0"/>
              <w:rPr>
                <w:sz w:val="15"/>
                <w:szCs w:val="15"/>
                <w:color w:val="auto"/>
              </w:rPr>
            </w:pPr>
          </w:p>
        </w:tc>
        <w:tc>
          <w:tcPr>
            <w:tcW w:w="560" w:type="dxa"/>
            <w:vAlign w:val="bottom"/>
            <w:tcBorders>
              <w:top w:val="single" w:sz="8" w:color="0000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CCEEFF"/>
            </w:tcBorders>
            <w:shd w:val="clear" w:color="auto" w:fill="CCEEFF"/>
          </w:tcPr>
          <w:p>
            <w:pPr>
              <w:spacing w:after="0"/>
              <w:rPr>
                <w:sz w:val="15"/>
                <w:szCs w:val="15"/>
                <w:color w:val="auto"/>
              </w:rPr>
            </w:pPr>
          </w:p>
        </w:tc>
        <w:tc>
          <w:tcPr>
            <w:tcW w:w="3900" w:type="dxa"/>
            <w:vAlign w:val="bottom"/>
            <w:tcBorders>
              <w:top w:val="single" w:sz="8" w:color="0000FF"/>
              <w:bottom w:val="single" w:sz="8" w:color="CCEEFF"/>
            </w:tcBorders>
            <w:shd w:val="clear" w:color="auto" w:fill="CCEEFF"/>
          </w:tcPr>
          <w:p>
            <w:pPr>
              <w:spacing w:after="0"/>
              <w:rPr>
                <w:sz w:val="15"/>
                <w:szCs w:val="15"/>
                <w:color w:val="auto"/>
              </w:rPr>
            </w:pPr>
          </w:p>
        </w:tc>
        <w:tc>
          <w:tcPr>
            <w:tcW w:w="2040" w:type="dxa"/>
            <w:vAlign w:val="bottom"/>
            <w:tcBorders>
              <w:top w:val="single" w:sz="8" w:color="0000FF"/>
              <w:bottom w:val="single" w:sz="8" w:color="CCEEFF"/>
            </w:tcBorders>
            <w:shd w:val="clear" w:color="auto" w:fill="CCEEFF"/>
          </w:tcPr>
          <w:p>
            <w:pPr>
              <w:spacing w:after="0"/>
              <w:rPr>
                <w:sz w:val="15"/>
                <w:szCs w:val="15"/>
                <w:color w:val="auto"/>
              </w:rPr>
            </w:pPr>
          </w:p>
        </w:tc>
        <w:tc>
          <w:tcPr>
            <w:tcW w:w="580" w:type="dxa"/>
            <w:vAlign w:val="bottom"/>
            <w:tcBorders>
              <w:top w:val="single" w:sz="8" w:color="0000FF"/>
              <w:bottom w:val="single" w:sz="8" w:color="CCEEFF"/>
            </w:tcBorders>
            <w:shd w:val="clear" w:color="auto" w:fill="CCEEFF"/>
          </w:tcPr>
          <w:p>
            <w:pPr>
              <w:spacing w:after="0"/>
              <w:rPr>
                <w:sz w:val="15"/>
                <w:szCs w:val="15"/>
                <w:color w:val="auto"/>
              </w:rPr>
            </w:pPr>
          </w:p>
        </w:tc>
        <w:tc>
          <w:tcPr>
            <w:tcW w:w="260" w:type="dxa"/>
            <w:vAlign w:val="bottom"/>
            <w:tcBorders>
              <w:top w:val="single" w:sz="8" w:color="0000FF"/>
              <w:bottom w:val="single" w:sz="8" w:color="CCEEFF"/>
            </w:tcBorders>
            <w:shd w:val="clear" w:color="auto" w:fill="CCEEFF"/>
          </w:tcPr>
          <w:p>
            <w:pPr>
              <w:spacing w:after="0"/>
              <w:rPr>
                <w:sz w:val="15"/>
                <w:szCs w:val="15"/>
                <w:color w:val="auto"/>
              </w:rPr>
            </w:pPr>
          </w:p>
        </w:tc>
        <w:tc>
          <w:tcPr>
            <w:tcW w:w="1020" w:type="dxa"/>
            <w:vAlign w:val="bottom"/>
            <w:tcBorders>
              <w:top w:val="single" w:sz="8" w:color="0000FF"/>
              <w:bottom w:val="single" w:sz="8" w:color="CCEEFF"/>
            </w:tcBorders>
            <w:shd w:val="clear" w:color="auto" w:fill="CCEEFF"/>
          </w:tcPr>
          <w:p>
            <w:pPr>
              <w:spacing w:after="0"/>
              <w:rPr>
                <w:sz w:val="15"/>
                <w:szCs w:val="15"/>
                <w:color w:val="auto"/>
              </w:rPr>
            </w:pPr>
          </w:p>
        </w:tc>
        <w:tc>
          <w:tcPr>
            <w:tcW w:w="2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4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3.4</w:t>
            </w:r>
          </w:p>
        </w:tc>
        <w:tc>
          <w:tcPr>
            <w:tcW w:w="10020" w:type="dxa"/>
            <w:vAlign w:val="bottom"/>
            <w:tcBorders>
              <w:top w:val="single" w:sz="8" w:color="CCEEFF"/>
            </w:tcBorders>
            <w:gridSpan w:val="24"/>
          </w:tcPr>
          <w:p>
            <w:pPr>
              <w:spacing w:after="0" w:line="189"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Second Amended and Restated Limited Liability Company Agreement of Viper Energy Partners LLC, dated as of May 9, 2018.</w:t>
              </w:r>
            </w:hyperlink>
          </w:p>
        </w:tc>
      </w:tr>
      <w:tr>
        <w:trPr>
          <w:trHeight w:val="156"/>
        </w:trPr>
        <w:tc>
          <w:tcPr>
            <w:tcW w:w="1400" w:type="dxa"/>
            <w:vAlign w:val="bottom"/>
          </w:tcPr>
          <w:p>
            <w:pPr>
              <w:spacing w:after="0"/>
              <w:rPr>
                <w:sz w:val="13"/>
                <w:szCs w:val="13"/>
                <w:color w:val="auto"/>
              </w:rPr>
            </w:pPr>
          </w:p>
        </w:tc>
        <w:tc>
          <w:tcPr>
            <w:tcW w:w="9900" w:type="dxa"/>
            <w:vAlign w:val="bottom"/>
            <w:tcBorders>
              <w:top w:val="single" w:sz="8" w:color="0000FF"/>
            </w:tcBorders>
            <w:gridSpan w:val="18"/>
          </w:tcPr>
          <w:p>
            <w:pPr>
              <w:spacing w:after="0" w:line="156" w:lineRule="exact"/>
              <w:rPr>
                <w:rFonts w:ascii="Arial" w:cs="Arial" w:eastAsia="Arial" w:hAnsi="Arial"/>
                <w:sz w:val="18"/>
                <w:szCs w:val="18"/>
                <w:color w:val="0000FF"/>
                <w:w w:val="95"/>
              </w:rPr>
            </w:pPr>
            <w:hyperlink r:id="rId51">
              <w:r>
                <w:rPr>
                  <w:rFonts w:ascii="Arial" w:cs="Arial" w:eastAsia="Arial" w:hAnsi="Arial"/>
                  <w:sz w:val="18"/>
                  <w:szCs w:val="18"/>
                  <w:color w:val="0000FF"/>
                  <w:w w:val="95"/>
                </w:rPr>
                <w:t>(incorporated by reference to Exhibit 3.3 of the Partnership’s Current Report on Form 8-K (File 001-36505) filed on May 15,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90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3.5</w:t>
            </w:r>
          </w:p>
        </w:tc>
        <w:tc>
          <w:tcPr>
            <w:tcW w:w="10020" w:type="dxa"/>
            <w:vAlign w:val="bottom"/>
            <w:gridSpan w:val="24"/>
            <w:shd w:val="clear" w:color="auto" w:fill="CCEEFF"/>
          </w:tcPr>
          <w:p>
            <w:pPr>
              <w:spacing w:after="0" w:line="189" w:lineRule="exact"/>
              <w:rPr>
                <w:rFonts w:ascii="Arial" w:cs="Arial" w:eastAsia="Arial" w:hAnsi="Arial"/>
                <w:sz w:val="18"/>
                <w:szCs w:val="18"/>
                <w:color w:val="0000FF"/>
                <w:w w:val="94"/>
              </w:rPr>
            </w:pPr>
            <w:hyperlink r:id="rId52">
              <w:r>
                <w:rPr>
                  <w:rFonts w:ascii="Arial" w:cs="Arial" w:eastAsia="Arial" w:hAnsi="Arial"/>
                  <w:sz w:val="18"/>
                  <w:szCs w:val="18"/>
                  <w:color w:val="0000FF"/>
                  <w:w w:val="94"/>
                </w:rPr>
                <w:t>First Amendment to Second Amended and Restated Limited Liability Company Agreement of Viper Energy Partners LLC, dated as of</w:t>
              </w:r>
            </w:hyperlink>
          </w:p>
        </w:tc>
      </w:tr>
      <w:tr>
        <w:trPr>
          <w:trHeight w:val="156"/>
        </w:trPr>
        <w:tc>
          <w:tcPr>
            <w:tcW w:w="140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0000FF"/>
            </w:tcBorders>
            <w:gridSpan w:val="23"/>
            <w:shd w:val="clear" w:color="auto" w:fill="CCEEFF"/>
          </w:tcPr>
          <w:p>
            <w:pPr>
              <w:spacing w:after="0" w:line="156" w:lineRule="exact"/>
              <w:rPr>
                <w:rFonts w:ascii="Arial" w:cs="Arial" w:eastAsia="Arial" w:hAnsi="Arial"/>
                <w:sz w:val="18"/>
                <w:szCs w:val="18"/>
                <w:color w:val="0000FF"/>
                <w:w w:val="96"/>
              </w:rPr>
            </w:pPr>
            <w:hyperlink r:id="rId52">
              <w:r>
                <w:rPr>
                  <w:rFonts w:ascii="Arial" w:cs="Arial" w:eastAsia="Arial" w:hAnsi="Arial"/>
                  <w:sz w:val="18"/>
                  <w:szCs w:val="18"/>
                  <w:color w:val="0000FF"/>
                  <w:w w:val="96"/>
                </w:rPr>
                <w:t>March 30, 2020 (incorporated by reference to Exhibit 3.1 of the Partnership’s Current Report on Form 8-K (File 001-36505) filed on</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176"/>
        </w:trPr>
        <w:tc>
          <w:tcPr>
            <w:tcW w:w="14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March 31, 2020).</w:t>
              </w:r>
            </w:hyperlink>
          </w:p>
        </w:tc>
        <w:tc>
          <w:tcPr>
            <w:tcW w:w="8600" w:type="dxa"/>
            <w:vAlign w:val="bottom"/>
            <w:tcBorders>
              <w:top w:val="single" w:sz="8" w:color="0000FF"/>
              <w:bottom w:val="single" w:sz="8" w:color="CCEEFF"/>
            </w:tcBorders>
            <w:gridSpan w:val="1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4.1</w:t>
            </w:r>
          </w:p>
        </w:tc>
        <w:tc>
          <w:tcPr>
            <w:tcW w:w="10020" w:type="dxa"/>
            <w:vAlign w:val="bottom"/>
            <w:gridSpan w:val="24"/>
          </w:tcPr>
          <w:p>
            <w:pPr>
              <w:spacing w:after="0" w:line="189" w:lineRule="exact"/>
              <w:rPr>
                <w:rFonts w:ascii="Arial" w:cs="Arial" w:eastAsia="Arial" w:hAnsi="Arial"/>
                <w:sz w:val="18"/>
                <w:szCs w:val="18"/>
                <w:color w:val="0000FF"/>
                <w:w w:val="97"/>
              </w:rPr>
            </w:pPr>
            <w:hyperlink r:id="rId53">
              <w:r>
                <w:rPr>
                  <w:rFonts w:ascii="Arial" w:cs="Arial" w:eastAsia="Arial" w:hAnsi="Arial"/>
                  <w:sz w:val="18"/>
                  <w:szCs w:val="18"/>
                  <w:color w:val="0000FF"/>
                  <w:w w:val="97"/>
                </w:rPr>
                <w:t>Amended and Restated Registration Rights Agreement, dated as of May 9, 2018, by and between Viper Energy Partners LP and</w:t>
              </w:r>
            </w:hyperlink>
          </w:p>
        </w:tc>
      </w:tr>
      <w:tr>
        <w:trPr>
          <w:trHeight w:val="155"/>
        </w:trPr>
        <w:tc>
          <w:tcPr>
            <w:tcW w:w="140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Diamondback Energy, Inc. (incorporated by reference to Exhibit 4.1 of the Partnership’s Current Report on Form 8-K (File 001-36505)</w:t>
              </w:r>
            </w:hyperlink>
          </w:p>
        </w:tc>
        <w:tc>
          <w:tcPr>
            <w:tcW w:w="60" w:type="dxa"/>
            <w:vAlign w:val="bottom"/>
            <w:tcBorders>
              <w:bottom w:val="single" w:sz="8" w:color="0000FF"/>
            </w:tcBorders>
            <w:gridSpan w:val="3"/>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9940" w:type="dxa"/>
            <w:vAlign w:val="bottom"/>
            <w:gridSpan w:val="20"/>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filed on May 15,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
        </w:trPr>
        <w:tc>
          <w:tcPr>
            <w:tcW w:w="14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w:t>
            </w:r>
          </w:p>
        </w:tc>
        <w:tc>
          <w:tcPr>
            <w:tcW w:w="10020" w:type="dxa"/>
            <w:vAlign w:val="bottom"/>
            <w:gridSpan w:val="24"/>
            <w:shd w:val="clear" w:color="auto" w:fill="CCEEFF"/>
          </w:tcPr>
          <w:p>
            <w:pPr>
              <w:spacing w:after="0" w:line="189"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Seventh Amendment to Amended and Restated Senior Secured Revolving Credit Agreement and Second Amendment to Guaranty and</w:t>
              </w:r>
            </w:hyperlink>
          </w:p>
        </w:tc>
      </w:tr>
      <w:tr>
        <w:trPr>
          <w:trHeight w:val="156"/>
        </w:trPr>
        <w:tc>
          <w:tcPr>
            <w:tcW w:w="1400" w:type="dxa"/>
            <w:vAlign w:val="bottom"/>
            <w:tcBorders>
              <w:top w:val="single" w:sz="8" w:color="CCEEFF"/>
              <w:bottom w:val="single" w:sz="8" w:color="CCEEFF"/>
            </w:tcBorders>
            <w:shd w:val="clear" w:color="auto" w:fill="CCEEFF"/>
          </w:tcPr>
          <w:p>
            <w:pPr>
              <w:spacing w:after="0"/>
              <w:rPr>
                <w:sz w:val="13"/>
                <w:szCs w:val="13"/>
                <w:color w:val="auto"/>
              </w:rPr>
            </w:pPr>
          </w:p>
        </w:tc>
        <w:tc>
          <w:tcPr>
            <w:tcW w:w="9880" w:type="dxa"/>
            <w:vAlign w:val="bottom"/>
            <w:tcBorders>
              <w:top w:val="single" w:sz="8" w:color="0000FF"/>
              <w:bottom w:val="single" w:sz="8" w:color="0000FF"/>
            </w:tcBorders>
            <w:gridSpan w:val="17"/>
            <w:shd w:val="clear" w:color="auto" w:fill="CCEEFF"/>
          </w:tcPr>
          <w:p>
            <w:pPr>
              <w:spacing w:after="0" w:line="15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Collateral Agreement, dated as of June 2, 2021, by and among Viper Energy Partners LLC, as borrower, Viper Energy Partners LP, as</w:t>
              </w:r>
            </w:hyperlink>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56"/>
        </w:trPr>
        <w:tc>
          <w:tcPr>
            <w:tcW w:w="1400" w:type="dxa"/>
            <w:vAlign w:val="bottom"/>
            <w:shd w:val="clear" w:color="auto" w:fill="CCEEFF"/>
          </w:tcPr>
          <w:p>
            <w:pPr>
              <w:spacing w:after="0"/>
              <w:rPr>
                <w:sz w:val="13"/>
                <w:szCs w:val="13"/>
                <w:color w:val="auto"/>
              </w:rPr>
            </w:pPr>
          </w:p>
        </w:tc>
        <w:tc>
          <w:tcPr>
            <w:tcW w:w="9980" w:type="dxa"/>
            <w:vAlign w:val="bottom"/>
            <w:gridSpan w:val="22"/>
            <w:shd w:val="clear" w:color="auto" w:fill="CCEEFF"/>
          </w:tcPr>
          <w:p>
            <w:pPr>
              <w:spacing w:after="0" w:line="156" w:lineRule="exact"/>
              <w:rPr>
                <w:rFonts w:ascii="Arial" w:cs="Arial" w:eastAsia="Arial" w:hAnsi="Arial"/>
                <w:sz w:val="18"/>
                <w:szCs w:val="18"/>
                <w:color w:val="0000FF"/>
                <w:w w:val="96"/>
              </w:rPr>
            </w:pPr>
            <w:hyperlink r:id="rId54">
              <w:r>
                <w:rPr>
                  <w:rFonts w:ascii="Arial" w:cs="Arial" w:eastAsia="Arial" w:hAnsi="Arial"/>
                  <w:sz w:val="18"/>
                  <w:szCs w:val="18"/>
                  <w:color w:val="0000FF"/>
                  <w:w w:val="96"/>
                </w:rPr>
                <w:t>parent guarantor, Wells Fargo Bank, National Association, as administrative agent, and the lenders party thereto (incorporated by</w:t>
              </w:r>
            </w:hyperlink>
          </w:p>
        </w:tc>
        <w:tc>
          <w:tcPr>
            <w:tcW w:w="40" w:type="dxa"/>
            <w:vAlign w:val="bottom"/>
            <w:gridSpan w:val="2"/>
            <w:shd w:val="clear" w:color="auto" w:fill="CCEEFF"/>
          </w:tcPr>
          <w:p>
            <w:pPr>
              <w:spacing w:after="0"/>
              <w:rPr>
                <w:sz w:val="13"/>
                <w:szCs w:val="13"/>
                <w:color w:val="auto"/>
              </w:rPr>
            </w:pPr>
          </w:p>
        </w:tc>
      </w:tr>
      <w:tr>
        <w:trPr>
          <w:trHeight w:val="156"/>
        </w:trPr>
        <w:tc>
          <w:tcPr>
            <w:tcW w:w="140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rPr>
            </w:pPr>
            <w:hyperlink r:id="rId54">
              <w:r>
                <w:rPr>
                  <w:rFonts w:ascii="Arial" w:cs="Arial" w:eastAsia="Arial" w:hAnsi="Arial"/>
                  <w:sz w:val="18"/>
                  <w:szCs w:val="18"/>
                  <w:color w:val="0000FF"/>
                </w:rPr>
                <w:t>reference to Exhibit 10.1 of the Partnership’s Current Report on Form 8-K (File 001-36505) filed on June 8, 2021)</w:t>
              </w:r>
              <w:r>
                <w:rPr>
                  <w:rFonts w:ascii="Arial" w:cs="Arial" w:eastAsia="Arial" w:hAnsi="Arial"/>
                  <w:sz w:val="18"/>
                  <w:szCs w:val="18"/>
                  <w:u w:val="single" w:color="auto"/>
                  <w:color w:val="0000FF"/>
                </w:rPr>
                <w:t>.</w:t>
              </w:r>
            </w:hyperlink>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20"/>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390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10020" w:type="dxa"/>
            <w:vAlign w:val="bottom"/>
            <w:gridSpan w:val="24"/>
          </w:tcPr>
          <w:p>
            <w:pPr>
              <w:spacing w:after="0" w:line="189" w:lineRule="exact"/>
              <w:rPr>
                <w:rFonts w:ascii="Arial" w:cs="Arial" w:eastAsia="Arial" w:hAnsi="Arial"/>
                <w:sz w:val="18"/>
                <w:szCs w:val="18"/>
                <w:color w:val="0000FF"/>
                <w:w w:val="99"/>
              </w:rPr>
            </w:pPr>
            <w:hyperlink w:anchor="page37">
              <w:r>
                <w:rPr>
                  <w:rFonts w:ascii="Arial" w:cs="Arial" w:eastAsia="Arial" w:hAnsi="Arial"/>
                  <w:sz w:val="18"/>
                  <w:szCs w:val="18"/>
                  <w:color w:val="0000FF"/>
                  <w:w w:val="99"/>
                </w:rPr>
                <w:t>Certification of Chief Executive Officer pursuant to Rule 13a-14(a) promulgated under the Securities Exchange Act of 1934, as</w:t>
              </w:r>
            </w:hyperlink>
          </w:p>
        </w:tc>
      </w:tr>
      <w:tr>
        <w:trPr>
          <w:trHeight w:val="156"/>
        </w:trPr>
        <w:tc>
          <w:tcPr>
            <w:tcW w:w="1400" w:type="dxa"/>
            <w:vAlign w:val="bottom"/>
          </w:tcPr>
          <w:p>
            <w:pPr>
              <w:spacing w:after="0"/>
              <w:rPr>
                <w:sz w:val="13"/>
                <w:szCs w:val="13"/>
                <w:color w:val="auto"/>
              </w:rPr>
            </w:pPr>
          </w:p>
        </w:tc>
        <w:tc>
          <w:tcPr>
            <w:tcW w:w="976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37">
              <w:r>
                <w:rPr>
                  <w:rFonts w:ascii="Arial" w:cs="Arial" w:eastAsia="Arial" w:hAnsi="Arial"/>
                  <w:sz w:val="18"/>
                  <w:szCs w:val="18"/>
                  <w:color w:val="0000FF"/>
                </w:rPr>
                <w:t>amended.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61"/>
        </w:trPr>
        <w:tc>
          <w:tcPr>
            <w:tcW w:w="1400" w:type="dxa"/>
            <w:vAlign w:val="bottom"/>
          </w:tcPr>
          <w:p>
            <w:pPr>
              <w:spacing w:after="0"/>
              <w:rPr>
                <w:sz w:val="5"/>
                <w:szCs w:val="5"/>
                <w:color w:val="auto"/>
              </w:rPr>
            </w:pPr>
          </w:p>
        </w:tc>
        <w:tc>
          <w:tcPr>
            <w:tcW w:w="4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0020" w:type="dxa"/>
            <w:vAlign w:val="bottom"/>
            <w:gridSpan w:val="24"/>
            <w:shd w:val="clear" w:color="auto" w:fill="CCEEFF"/>
          </w:tcPr>
          <w:p>
            <w:pPr>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Certification of Chief Financial Officer pursuant to Rule 13a-14(a) promulgated under the Securities Exchange Act of 1934, as</w:t>
              </w:r>
            </w:hyperlink>
          </w:p>
        </w:tc>
      </w:tr>
      <w:tr>
        <w:trPr>
          <w:trHeight w:val="155"/>
        </w:trPr>
        <w:tc>
          <w:tcPr>
            <w:tcW w:w="140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rPr>
            </w:pPr>
            <w:hyperlink w:anchor="page38">
              <w:r>
                <w:rPr>
                  <w:rFonts w:ascii="Arial" w:cs="Arial" w:eastAsia="Arial" w:hAnsi="Arial"/>
                  <w:sz w:val="18"/>
                  <w:szCs w:val="18"/>
                  <w:color w:val="0000FF"/>
                </w:rPr>
                <w:t>amended.</w:t>
              </w:r>
            </w:hyperlink>
          </w:p>
        </w:tc>
        <w:tc>
          <w:tcPr>
            <w:tcW w:w="220" w:type="dxa"/>
            <w:vAlign w:val="bottom"/>
            <w:tcBorders>
              <w:top w:val="single" w:sz="8" w:color="CCEEFF"/>
            </w:tcBorders>
            <w:gridSpan w:val="11"/>
            <w:shd w:val="clear" w:color="auto" w:fill="CCEEFF"/>
          </w:tcPr>
          <w:p>
            <w:pPr>
              <w:spacing w:after="0"/>
              <w:rPr>
                <w:sz w:val="13"/>
                <w:szCs w:val="13"/>
                <w:color w:val="auto"/>
              </w:rPr>
            </w:pPr>
          </w:p>
        </w:tc>
      </w:tr>
      <w:tr>
        <w:trPr>
          <w:trHeight w:val="61"/>
        </w:trPr>
        <w:tc>
          <w:tcPr>
            <w:tcW w:w="14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90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32.1**</w:t>
            </w:r>
          </w:p>
        </w:tc>
        <w:tc>
          <w:tcPr>
            <w:tcW w:w="10020" w:type="dxa"/>
            <w:vAlign w:val="bottom"/>
            <w:gridSpan w:val="24"/>
          </w:tcPr>
          <w:p>
            <w:pPr>
              <w:spacing w:after="0" w:line="189" w:lineRule="exact"/>
              <w:rPr>
                <w:rFonts w:ascii="Arial" w:cs="Arial" w:eastAsia="Arial" w:hAnsi="Arial"/>
                <w:sz w:val="18"/>
                <w:szCs w:val="18"/>
                <w:color w:val="0000FF"/>
                <w:w w:val="98"/>
              </w:rPr>
            </w:pPr>
            <w:hyperlink w:anchor="page39">
              <w:r>
                <w:rPr>
                  <w:rFonts w:ascii="Arial" w:cs="Arial" w:eastAsia="Arial" w:hAnsi="Arial"/>
                  <w:sz w:val="18"/>
                  <w:szCs w:val="18"/>
                  <w:color w:val="0000FF"/>
                  <w:w w:val="98"/>
                </w:rPr>
                <w:t>Certification of Chief Executive Officer and Chief Financial Officer pursuant to Rule 13a-14(b) promulgated under the Securities</w:t>
              </w:r>
            </w:hyperlink>
          </w:p>
        </w:tc>
      </w:tr>
      <w:tr>
        <w:trPr>
          <w:trHeight w:val="156"/>
        </w:trPr>
        <w:tc>
          <w:tcPr>
            <w:tcW w:w="1400" w:type="dxa"/>
            <w:vAlign w:val="bottom"/>
          </w:tcPr>
          <w:p>
            <w:pPr>
              <w:spacing w:after="0"/>
              <w:rPr>
                <w:sz w:val="13"/>
                <w:szCs w:val="13"/>
                <w:color w:val="auto"/>
              </w:rPr>
            </w:pPr>
          </w:p>
        </w:tc>
        <w:tc>
          <w:tcPr>
            <w:tcW w:w="97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39">
              <w:r>
                <w:rPr>
                  <w:rFonts w:ascii="Arial" w:cs="Arial" w:eastAsia="Arial" w:hAnsi="Arial"/>
                  <w:sz w:val="18"/>
                  <w:szCs w:val="18"/>
                  <w:color w:val="0000FF"/>
                </w:rPr>
                <w:t>Exchange Act of 1934, as amended, and Section 1350 of Chapter 63 of Title 18 of the United States Code.</w:t>
              </w:r>
            </w:hyperlink>
          </w:p>
        </w:tc>
        <w:tc>
          <w:tcPr>
            <w:tcW w:w="240" w:type="dxa"/>
            <w:vAlign w:val="bottom"/>
            <w:gridSpan w:val="12"/>
          </w:tcPr>
          <w:p>
            <w:pPr>
              <w:spacing w:after="0"/>
              <w:rPr>
                <w:sz w:val="13"/>
                <w:szCs w:val="13"/>
                <w:color w:val="auto"/>
              </w:rPr>
            </w:pPr>
          </w:p>
        </w:tc>
      </w:tr>
      <w:tr>
        <w:trPr>
          <w:trHeight w:val="20"/>
        </w:trPr>
        <w:tc>
          <w:tcPr>
            <w:tcW w:w="14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9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left="1400" w:right="60" w:hanging="1374"/>
        <w:spacing w:after="0" w:line="219"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June 30, 2021, formatted in Inline XBRL: (i) Condensed Consolidated Balance Sheets, (ii) Condensed Consolidated Statements of Operations, (iii) Condensed Consolidated Statement of Changes in Unitholders’ Equity, (iv) Condensed Consolidated Statements of Cash Flows and (v)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15175" cy="548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15175" cy="548640"/>
                    </a:xfrm>
                    <a:prstGeom prst="rect">
                      <a:avLst/>
                    </a:prstGeom>
                    <a:noFill/>
                  </pic:spPr>
                </pic:pic>
              </a:graphicData>
            </a:graphic>
          </wp:anchor>
        </w:drawing>
      </w:r>
    </w:p>
    <w:p>
      <w:pPr>
        <w:spacing w:after="0" w:line="89"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28" w:lineRule="exact"/>
        <w:rPr>
          <w:sz w:val="20"/>
          <w:szCs w:val="20"/>
          <w:color w:val="auto"/>
        </w:rPr>
      </w:pPr>
    </w:p>
    <w:p>
      <w:pPr>
        <w:ind w:left="500" w:hanging="474"/>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500" w:right="40" w:hanging="474"/>
        <w:spacing w:after="0" w:line="22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680" w:type="dxa"/>
            <w:vAlign w:val="bottom"/>
            <w:gridSpan w:val="2"/>
          </w:tcPr>
          <w:p>
            <w:pPr>
              <w:ind w:left="1740"/>
              <w:spacing w:after="0"/>
              <w:rPr>
                <w:sz w:val="20"/>
                <w:szCs w:val="20"/>
                <w:color w:val="auto"/>
              </w:rPr>
            </w:pPr>
            <w:r>
              <w:rPr>
                <w:rFonts w:ascii="Arial" w:cs="Arial" w:eastAsia="Arial" w:hAnsi="Arial"/>
                <w:sz w:val="18"/>
                <w:szCs w:val="18"/>
                <w:b w:val="1"/>
                <w:bCs w:val="1"/>
                <w:color w:val="auto"/>
              </w:rPr>
              <w:t>VIPER ENERGY PARTNERS LP</w:t>
            </w:r>
          </w:p>
        </w:tc>
      </w:tr>
      <w:tr>
        <w:trPr>
          <w:trHeight w:val="499"/>
        </w:trPr>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680" w:type="dxa"/>
            <w:vAlign w:val="bottom"/>
            <w:gridSpan w:val="2"/>
          </w:tcPr>
          <w:p>
            <w:pPr>
              <w:ind w:left="1740"/>
              <w:spacing w:after="0"/>
              <w:rPr>
                <w:sz w:val="20"/>
                <w:szCs w:val="20"/>
                <w:color w:val="auto"/>
              </w:rPr>
            </w:pPr>
            <w:r>
              <w:rPr>
                <w:rFonts w:ascii="Arial" w:cs="Arial" w:eastAsia="Arial" w:hAnsi="Arial"/>
                <w:sz w:val="18"/>
                <w:szCs w:val="18"/>
                <w:color w:val="auto"/>
              </w:rPr>
              <w:t>By:   VIPER ENERGY PARTNERS GP LLC</w:t>
            </w:r>
          </w:p>
        </w:tc>
      </w:tr>
      <w:tr>
        <w:trPr>
          <w:trHeight w:val="230"/>
        </w:trPr>
        <w:tc>
          <w:tcPr>
            <w:tcW w:w="5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140"/>
              <w:spacing w:after="0"/>
              <w:rPr>
                <w:sz w:val="20"/>
                <w:szCs w:val="20"/>
                <w:color w:val="auto"/>
              </w:rPr>
            </w:pPr>
            <w:r>
              <w:rPr>
                <w:rFonts w:ascii="Arial" w:cs="Arial" w:eastAsia="Arial" w:hAnsi="Arial"/>
                <w:sz w:val="18"/>
                <w:szCs w:val="18"/>
                <w:color w:val="auto"/>
              </w:rPr>
              <w:t>August 3, 2021</w:t>
            </w:r>
          </w:p>
        </w:tc>
        <w:tc>
          <w:tcPr>
            <w:tcW w:w="2220" w:type="dxa"/>
            <w:vAlign w:val="bottom"/>
          </w:tcPr>
          <w:p>
            <w:pPr>
              <w:ind w:left="17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140"/>
              <w:spacing w:after="0"/>
              <w:rPr>
                <w:sz w:val="20"/>
                <w:szCs w:val="20"/>
                <w:color w:val="auto"/>
              </w:rPr>
            </w:pPr>
            <w:r>
              <w:rPr>
                <w:rFonts w:ascii="Arial" w:cs="Arial" w:eastAsia="Arial" w:hAnsi="Arial"/>
                <w:sz w:val="18"/>
                <w:szCs w:val="18"/>
                <w:color w:val="auto"/>
              </w:rPr>
              <w:t>August 3, 2021</w:t>
            </w:r>
          </w:p>
        </w:tc>
        <w:tc>
          <w:tcPr>
            <w:tcW w:w="2220" w:type="dxa"/>
            <w:vAlign w:val="bottom"/>
          </w:tcPr>
          <w:p>
            <w:pPr>
              <w:ind w:left="17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740" w:type="dxa"/>
            <w:vAlign w:val="bottom"/>
          </w:tcPr>
          <w:p>
            <w:pPr>
              <w:ind w:left="240"/>
              <w:spacing w:after="0"/>
              <w:rPr>
                <w:sz w:val="20"/>
                <w:szCs w:val="20"/>
                <w:color w:val="auto"/>
              </w:rPr>
            </w:pPr>
            <w:r>
              <w:rPr>
                <w:rFonts w:ascii="Arial" w:cs="Arial" w:eastAsia="Arial" w:hAnsi="Arial"/>
                <w:sz w:val="18"/>
                <w:szCs w:val="18"/>
                <w:color w:val="auto"/>
              </w:rPr>
              <w:t>August 3,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6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104" w:lineRule="exact"/>
        <w:rPr>
          <w:sz w:val="20"/>
          <w:szCs w:val="20"/>
          <w:color w:val="auto"/>
        </w:rPr>
      </w:pPr>
    </w:p>
    <w:p>
      <w:pPr>
        <w:ind w:left="360" w:hanging="31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780" w:type="dxa"/>
            <w:vAlign w:val="bottom"/>
          </w:tcPr>
          <w:p>
            <w:pPr>
              <w:ind w:left="200"/>
              <w:spacing w:after="0"/>
              <w:rPr>
                <w:sz w:val="20"/>
                <w:szCs w:val="20"/>
                <w:color w:val="auto"/>
              </w:rPr>
            </w:pPr>
            <w:r>
              <w:rPr>
                <w:rFonts w:ascii="Arial" w:cs="Arial" w:eastAsia="Arial" w:hAnsi="Arial"/>
                <w:sz w:val="18"/>
                <w:szCs w:val="18"/>
                <w:color w:val="auto"/>
              </w:rPr>
              <w:t>August 3,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29"/>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Quarterly Report on Form 10-Q of Viper Energy Partners LP (the “Partnership”), as filed with the Securities and Exchange Commission on the date hereof (the “Report”), the undersigned, Travis D. Stice, Chief Executive Officer of Viper Energy Partners GP LLC, the general partner of Viper Energy Partners LP, and Teresa L. Dick, Chief Financial Officer of Viper Energy Partners GP LLC, certify, pursuant to 18 U.S.C. Section 1350, as adopted pursuant to Section 906 of the Sarbanes-Oxley Act of 2002, that, to their knowledge:</w:t>
      </w:r>
    </w:p>
    <w:p>
      <w:pPr>
        <w:spacing w:after="0" w:line="117"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78m(a)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78o(d)); and</w:t>
      </w:r>
    </w:p>
    <w:p>
      <w:pPr>
        <w:spacing w:after="0" w:line="156" w:lineRule="exact"/>
        <w:rPr>
          <w:rFonts w:ascii="Arial" w:cs="Arial" w:eastAsia="Arial" w:hAnsi="Arial"/>
          <w:sz w:val="17"/>
          <w:szCs w:val="17"/>
          <w:color w:val="auto"/>
        </w:rPr>
      </w:pPr>
    </w:p>
    <w:p>
      <w:pPr>
        <w:ind w:left="940" w:hanging="28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August 3,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August 3,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1"/>
    </w:lvl>
  </w:abstractNum>
  <w:abstractNum w:abstractNumId="6">
    <w:nsid w:val="1190CDE7"/>
    <w:multiLevelType w:val="hybridMultilevel"/>
    <w:lvl w:ilvl="0">
      <w:lvlJc w:val="left"/>
      <w:lvlText w:val="(%1)"/>
      <w:numFmt w:val="lowerRoman"/>
      <w:start w:val="2"/>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0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16" Type="http://schemas.openxmlformats.org/officeDocument/2006/relationships/hyperlink" Target="http://www.sec.gov/ix?doc=/Archives/edgar/data/1602065/000160206521000006/vnom-20201231.htm#i700aec8d20af4047910f4616d0b0e309_7" TargetMode="External"/><Relationship Id="rId45" Type="http://schemas.openxmlformats.org/officeDocument/2006/relationships/hyperlink" Target="http://www.sec.gov/ix?doc=/Archives/edgar/data/1602065/000160206521000006/vnom-20201231.htm#i700aec8d20af4047910f4616d0b0e309_22" TargetMode="External"/><Relationship Id="rId48" Type="http://schemas.openxmlformats.org/officeDocument/2006/relationships/hyperlink" Target="http://www.sec.gov/Archives/edgar/data/1602065/000119312514187469/d673207dex31.htm" TargetMode="External"/><Relationship Id="rId49" Type="http://schemas.openxmlformats.org/officeDocument/2006/relationships/hyperlink" Target="http://www.sec.gov/Archives/edgar/data/1602065/000160206518000017/viperex31-5x15x18.htm" TargetMode="External"/><Relationship Id="rId50" Type="http://schemas.openxmlformats.org/officeDocument/2006/relationships/hyperlink" Target="http://www.sec.gov/Archives/edgar/data/1602065/000160206518000017/viperex32-5x15x18.htm" TargetMode="External"/><Relationship Id="rId51" Type="http://schemas.openxmlformats.org/officeDocument/2006/relationships/hyperlink" Target="http://www.sec.gov/Archives/edgar/data/1602065/000160206518000017/viperex33-5x15x18.htm" TargetMode="External"/><Relationship Id="rId52" Type="http://schemas.openxmlformats.org/officeDocument/2006/relationships/hyperlink" Target="http://www.sec.gov/Archives/edgar/data/1602065/000160206520000014/viperex31-33120.htm" TargetMode="External"/><Relationship Id="rId53" Type="http://schemas.openxmlformats.org/officeDocument/2006/relationships/hyperlink" Target="http://www.sec.gov/Archives/edgar/data/1602065/000160206518000017/viperex41-5x15x18.htm" TargetMode="External"/><Relationship Id="rId54" Type="http://schemas.openxmlformats.org/officeDocument/2006/relationships/hyperlink" Target="http://www.sec.gov/Archives/edgar/data/1602065/000160206521000022/viperex101-6x2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2021-08-03T15:54:28Z</dcterms:created>
  <dcterms:modified xsi:type="dcterms:W3CDTF">2021-08-03T15:54:28Z</dcterms:modified>
</cp:coreProperties>
</file>