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46990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92710</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7" w:lineRule="exact"/>
        <w:rPr>
          <w:sz w:val="24"/>
          <w:szCs w:val="24"/>
          <w:color w:val="auto"/>
        </w:rPr>
      </w:pPr>
    </w:p>
    <w:p>
      <w:pPr>
        <w:ind w:left="640" w:right="12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SECURITIES EXCHANGE ACT OF 1934</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Viper Energy Partners LP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65"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98"/>
              </w:rPr>
              <w:t>DE</w:t>
            </w:r>
          </w:p>
        </w:tc>
        <w:tc>
          <w:tcPr>
            <w:tcW w:w="3340" w:type="dxa"/>
            <w:vAlign w:val="bottom"/>
          </w:tcPr>
          <w:p>
            <w:pPr>
              <w:jc w:val="right"/>
              <w:ind w:right="784"/>
              <w:spacing w:after="0"/>
              <w:rPr>
                <w:sz w:val="20"/>
                <w:szCs w:val="20"/>
                <w:color w:val="auto"/>
              </w:rPr>
            </w:pPr>
            <w:r>
              <w:rPr>
                <w:rFonts w:ascii="Arial" w:cs="Arial" w:eastAsia="Arial" w:hAnsi="Arial"/>
                <w:sz w:val="16"/>
                <w:szCs w:val="16"/>
                <w:b w:val="1"/>
                <w:bCs w:val="1"/>
                <w:color w:val="auto"/>
              </w:rPr>
              <w:t>46-5001985</w:t>
            </w:r>
          </w:p>
        </w:tc>
      </w:tr>
      <w:tr>
        <w:trPr>
          <w:trHeight w:val="357"/>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186"/>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5"/>
              </w:rPr>
              <w:t>Organization)</w:t>
            </w:r>
          </w:p>
        </w:tc>
        <w:tc>
          <w:tcPr>
            <w:tcW w:w="3340" w:type="dxa"/>
            <w:vAlign w:val="bottom"/>
          </w:tcPr>
          <w:p>
            <w:pPr>
              <w:spacing w:after="0"/>
              <w:rPr>
                <w:sz w:val="16"/>
                <w:szCs w:val="16"/>
                <w:color w:val="auto"/>
              </w:rPr>
            </w:pPr>
          </w:p>
        </w:tc>
      </w:tr>
      <w:tr>
        <w:trPr>
          <w:trHeight w:val="402"/>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7"/>
              </w:rPr>
              <w:t>500 West Texas Ave.</w:t>
            </w:r>
          </w:p>
        </w:tc>
        <w:tc>
          <w:tcPr>
            <w:tcW w:w="3340" w:type="dxa"/>
            <w:vAlign w:val="bottom"/>
          </w:tcPr>
          <w:p>
            <w:pPr>
              <w:spacing w:after="0"/>
              <w:rPr>
                <w:sz w:val="24"/>
                <w:szCs w:val="24"/>
                <w:color w:val="auto"/>
              </w:rPr>
            </w:pPr>
          </w:p>
        </w:tc>
      </w:tr>
      <w:tr>
        <w:trPr>
          <w:trHeight w:val="216"/>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8"/>
              </w:rPr>
              <w:t>Suite 100</w:t>
            </w:r>
          </w:p>
        </w:tc>
        <w:tc>
          <w:tcPr>
            <w:tcW w:w="3340" w:type="dxa"/>
            <w:vAlign w:val="bottom"/>
          </w:tcPr>
          <w:p>
            <w:pPr>
              <w:spacing w:after="0"/>
              <w:rPr>
                <w:sz w:val="18"/>
                <w:szCs w:val="18"/>
                <w:color w:val="auto"/>
              </w:rPr>
            </w:pPr>
          </w:p>
        </w:tc>
      </w:tr>
      <w:tr>
        <w:trPr>
          <w:trHeight w:val="213"/>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rPr>
              <w:t>Midland, TX</w:t>
            </w:r>
          </w:p>
        </w:tc>
        <w:tc>
          <w:tcPr>
            <w:tcW w:w="33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r>
      <w:tr>
        <w:trPr>
          <w:trHeight w:val="186"/>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2"/>
              </w:rPr>
              <w:t>(Zip code)</w:t>
            </w:r>
          </w:p>
        </w:tc>
      </w:tr>
    </w:tbl>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33" w:lineRule="exact"/>
        <w:rPr>
          <w:sz w:val="24"/>
          <w:szCs w:val="24"/>
          <w:color w:val="auto"/>
        </w:rPr>
      </w:pPr>
    </w:p>
    <w:tbl>
      <w:tblPr>
        <w:tblLayout w:type="fixed"/>
        <w:tblInd w:w="2820" w:type="dxa"/>
        <w:tblCellMar>
          <w:top w:w="0" w:type="dxa"/>
          <w:left w:w="0" w:type="dxa"/>
          <w:bottom w:w="0" w:type="dxa"/>
          <w:right w:w="0" w:type="dxa"/>
        </w:tblCellMar>
      </w:tblPr>
      <w:tr>
        <w:trPr>
          <w:trHeight w:val="184"/>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52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1640" w:type="dxa"/>
            <w:vAlign w:val="bottom"/>
            <w:gridSpan w:val="2"/>
          </w:tcPr>
          <w:p>
            <w:pPr>
              <w:jc w:val="center"/>
              <w:ind w:right="440"/>
              <w:spacing w:after="0"/>
              <w:rPr>
                <w:sz w:val="20"/>
                <w:szCs w:val="20"/>
                <w:color w:val="auto"/>
              </w:rPr>
            </w:pPr>
            <w:r>
              <w:rPr>
                <w:rFonts w:ascii="Arial" w:cs="Arial" w:eastAsia="Arial" w:hAnsi="Arial"/>
                <w:sz w:val="16"/>
                <w:szCs w:val="16"/>
                <w:color w:val="auto"/>
                <w:w w:val="94"/>
              </w:rPr>
              <w:t>Common Units</w:t>
            </w:r>
          </w:p>
        </w:tc>
        <w:tc>
          <w:tcPr>
            <w:tcW w:w="420" w:type="dxa"/>
            <w:vAlign w:val="bottom"/>
          </w:tcPr>
          <w:p>
            <w:pPr>
              <w:spacing w:after="0"/>
              <w:rPr>
                <w:sz w:val="20"/>
                <w:szCs w:val="20"/>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6"/>
                <w:szCs w:val="16"/>
                <w:color w:val="auto"/>
              </w:rPr>
              <w:t>VNOM</w:t>
            </w:r>
          </w:p>
        </w:tc>
        <w:tc>
          <w:tcPr>
            <w:tcW w:w="30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16"/>
        </w:trPr>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311"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As of July 29, 2022, the registrant had outstanding 75,208,255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5"/>
              </w:rPr>
              <w:t>Page</w:t>
            </w: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23"/>
            <w:shd w:val="clear" w:color="auto" w:fill="CCEEFF"/>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Glossary of Oil and Natural Gas Terms</w:t>
              </w:r>
            </w:hyperlink>
          </w:p>
        </w:tc>
        <w:tc>
          <w:tcPr>
            <w:tcW w:w="28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2"/>
            <w:shd w:val="clear" w:color="auto" w:fill="CCEEFF"/>
          </w:tcPr>
          <w:p>
            <w:pPr>
              <w:jc w:val="center"/>
              <w:ind w:right="280"/>
              <w:spacing w:after="0" w:line="156"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gridSpan w:val="8"/>
          </w:tcPr>
          <w:p>
            <w:pPr>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Glossary of Certain Other Terms</w:t>
              </w:r>
            </w:hyperlink>
          </w:p>
        </w:tc>
        <w:tc>
          <w:tcPr>
            <w:tcW w:w="7720" w:type="dxa"/>
            <w:vAlign w:val="bottom"/>
            <w:gridSpan w:val="15"/>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tcPr>
          <w:p>
            <w:pPr>
              <w:jc w:val="center"/>
              <w:ind w:right="260"/>
              <w:spacing w:after="0" w:line="183"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iii</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center"/>
              <w:ind w:right="260"/>
              <w:spacing w:after="0" w:line="189"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iv</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960" w:type="dxa"/>
            <w:vAlign w:val="bottom"/>
            <w:gridSpan w:val="14"/>
            <w:shd w:val="clear" w:color="auto" w:fill="CCEEFF"/>
          </w:tcPr>
          <w:p>
            <w:pPr>
              <w:jc w:val="center"/>
              <w:ind w:right="2940"/>
              <w:spacing w:after="0" w:line="189"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 FINANCIAL INFORMATION</w:t>
              </w:r>
            </w:hyperlink>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Item 1. Condensed Consolidated Financial Statements (Unaudited)</w:t>
              </w:r>
            </w:hyperlink>
          </w:p>
        </w:tc>
        <w:tc>
          <w:tcPr>
            <w:tcW w:w="420" w:type="dxa"/>
            <w:vAlign w:val="bottom"/>
            <w:gridSpan w:val="2"/>
          </w:tcPr>
          <w:p>
            <w:pPr>
              <w:jc w:val="center"/>
              <w:ind w:left="13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0000FF"/>
            </w:tcBorders>
            <w:gridSpan w:val="8"/>
            <w:shd w:val="clear" w:color="auto" w:fill="CCEEFF"/>
          </w:tcPr>
          <w:p>
            <w:pPr>
              <w:spacing w:after="0" w:line="182"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Condensed Consolidated Balance Sheets</w:t>
              </w:r>
            </w:hyperlink>
          </w:p>
        </w:tc>
        <w:tc>
          <w:tcPr>
            <w:tcW w:w="6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right w:val="single" w:sz="8" w:color="CCEEFF"/>
            </w:tcBorders>
            <w:gridSpan w:val="2"/>
            <w:shd w:val="clear" w:color="auto" w:fill="CCEEFF"/>
          </w:tcPr>
          <w:p>
            <w:pPr>
              <w:jc w:val="center"/>
              <w:ind w:left="130"/>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4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0000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22"/>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w:t>
              </w:r>
            </w:hyperlink>
          </w:p>
        </w:tc>
        <w:tc>
          <w:tcPr>
            <w:tcW w:w="420" w:type="dxa"/>
            <w:vAlign w:val="bottom"/>
            <w:gridSpan w:val="2"/>
          </w:tcPr>
          <w:p>
            <w:pPr>
              <w:jc w:val="center"/>
              <w:ind w:left="13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2</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80" w:type="dxa"/>
            <w:vAlign w:val="bottom"/>
            <w:gridSpan w:val="22"/>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Changes to Unitholders’ Equity</w:t>
              </w:r>
            </w:hyperlink>
          </w:p>
        </w:tc>
        <w:tc>
          <w:tcPr>
            <w:tcW w:w="420" w:type="dxa"/>
            <w:vAlign w:val="bottom"/>
            <w:tcBorders>
              <w:right w:val="single" w:sz="8" w:color="CCEEFF"/>
            </w:tcBorders>
            <w:gridSpan w:val="2"/>
            <w:shd w:val="clear" w:color="auto" w:fill="CCEEFF"/>
          </w:tcPr>
          <w:p>
            <w:pPr>
              <w:jc w:val="center"/>
              <w:ind w:left="13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40" w:type="dxa"/>
            <w:vAlign w:val="bottom"/>
            <w:gridSpan w:val="18"/>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4740" w:type="dxa"/>
            <w:vAlign w:val="bottom"/>
            <w:gridSpan w:val="4"/>
          </w:tcPr>
          <w:p>
            <w:pPr>
              <w:spacing w:after="0"/>
              <w:rPr>
                <w:sz w:val="16"/>
                <w:szCs w:val="16"/>
                <w:color w:val="auto"/>
              </w:rPr>
            </w:pPr>
          </w:p>
        </w:tc>
        <w:tc>
          <w:tcPr>
            <w:tcW w:w="420" w:type="dxa"/>
            <w:vAlign w:val="bottom"/>
            <w:gridSpan w:val="2"/>
          </w:tcPr>
          <w:p>
            <w:pPr>
              <w:jc w:val="center"/>
              <w:ind w:left="130"/>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5</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80" w:type="dxa"/>
            <w:vAlign w:val="bottom"/>
            <w:gridSpan w:val="22"/>
            <w:shd w:val="clear" w:color="auto" w:fill="CCEEFF"/>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Condensed Notes to Consolidated Financial Statements</w:t>
              </w:r>
            </w:hyperlink>
          </w:p>
        </w:tc>
        <w:tc>
          <w:tcPr>
            <w:tcW w:w="420" w:type="dxa"/>
            <w:vAlign w:val="bottom"/>
            <w:tcBorders>
              <w:right w:val="single" w:sz="8" w:color="CCEEFF"/>
            </w:tcBorders>
            <w:gridSpan w:val="2"/>
            <w:shd w:val="clear" w:color="auto" w:fill="CCEEFF"/>
          </w:tcPr>
          <w:p>
            <w:pPr>
              <w:jc w:val="center"/>
              <w:ind w:left="13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6</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66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17</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Item 3. Quantitative and Qualitative Disclosures about Market Risk</w:t>
              </w:r>
            </w:hyperlink>
          </w:p>
        </w:tc>
        <w:tc>
          <w:tcPr>
            <w:tcW w:w="66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27</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4. Controls and Procedures</w:t>
              </w:r>
            </w:hyperlink>
          </w:p>
        </w:tc>
        <w:tc>
          <w:tcPr>
            <w:tcW w:w="66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28</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0000FF"/>
            </w:tcBorders>
            <w:gridSpan w:val="9"/>
            <w:shd w:val="clear" w:color="auto" w:fill="CCEEFF"/>
          </w:tcPr>
          <w:p>
            <w:pPr>
              <w:jc w:val="center"/>
              <w:spacing w:after="0" w:line="189" w:lineRule="exact"/>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356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Item 1. Legal Proceedings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29</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Item 1A. Risk Factors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29</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Item 2. Unregistered Sales of Equity Securities and Use of Proceeds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32</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Item 6. Exhibits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33</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34</w:t>
              </w:r>
            </w:hyperlink>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8780" w:type="dxa"/>
            <w:vAlign w:val="bottom"/>
          </w:tcPr>
          <w:p>
            <w:pPr>
              <w:ind w:left="112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natural gas terms that are used in this Quarterly Report on Form 10-Q (this “report”):</w:t>
            </w:r>
          </w:p>
        </w:tc>
      </w:tr>
      <w:tr>
        <w:trPr>
          <w:trHeight w:val="122"/>
        </w:trPr>
        <w:tc>
          <w:tcPr>
            <w:tcW w:w="24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Bbl or barrel</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One stock tank barrel, or 42 U.S. gallons liquid volume, used in this report in reference to crude oil or other liquid</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hydrocarbons.</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barrel of oil.</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BO/d</w:t>
            </w:r>
          </w:p>
        </w:tc>
        <w:tc>
          <w:tcPr>
            <w:tcW w:w="8780" w:type="dxa"/>
            <w:vAlign w:val="bottom"/>
          </w:tcPr>
          <w:p>
            <w:pPr>
              <w:ind w:left="280"/>
              <w:spacing w:after="0"/>
              <w:rPr>
                <w:sz w:val="20"/>
                <w:szCs w:val="20"/>
                <w:color w:val="auto"/>
              </w:rPr>
            </w:pPr>
            <w:r>
              <w:rPr>
                <w:rFonts w:ascii="Arial" w:cs="Arial" w:eastAsia="Arial" w:hAnsi="Arial"/>
                <w:sz w:val="18"/>
                <w:szCs w:val="18"/>
                <w:color w:val="auto"/>
              </w:rPr>
              <w:t>BO per day.</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One barrel of oil equivalent, with six thousand cubic feet of natural gas being equivalent to one barrel of oil.</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BOE/d</w:t>
            </w:r>
          </w:p>
        </w:tc>
        <w:tc>
          <w:tcPr>
            <w:tcW w:w="8780" w:type="dxa"/>
            <w:vAlign w:val="bottom"/>
          </w:tcPr>
          <w:p>
            <w:pPr>
              <w:ind w:left="280"/>
              <w:spacing w:after="0"/>
              <w:rPr>
                <w:sz w:val="20"/>
                <w:szCs w:val="20"/>
                <w:color w:val="auto"/>
              </w:rPr>
            </w:pPr>
            <w:r>
              <w:rPr>
                <w:rFonts w:ascii="Arial" w:cs="Arial" w:eastAsia="Arial" w:hAnsi="Arial"/>
                <w:sz w:val="18"/>
                <w:szCs w:val="18"/>
                <w:color w:val="auto"/>
              </w:rPr>
              <w:t>BOE per day.</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Condensate</w:t>
            </w:r>
          </w:p>
        </w:tc>
        <w:tc>
          <w:tcPr>
            <w:tcW w:w="8780" w:type="dxa"/>
            <w:vAlign w:val="bottom"/>
          </w:tcPr>
          <w:p>
            <w:pPr>
              <w:ind w:left="280"/>
              <w:spacing w:after="0"/>
              <w:rPr>
                <w:sz w:val="20"/>
                <w:szCs w:val="20"/>
                <w:color w:val="auto"/>
              </w:rPr>
            </w:pPr>
            <w:r>
              <w:rPr>
                <w:rFonts w:ascii="Arial" w:cs="Arial" w:eastAsia="Arial" w:hAnsi="Arial"/>
                <w:sz w:val="18"/>
                <w:szCs w:val="18"/>
                <w:color w:val="auto"/>
              </w:rPr>
              <w:t>Liquid hydrocarbons associated with the production of a primarily natural gas reserve.</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Horizontal wells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 vertical</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drilling mechanisms.</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MBbls</w:t>
            </w:r>
          </w:p>
        </w:tc>
        <w:tc>
          <w:tcPr>
            <w:tcW w:w="8780" w:type="dxa"/>
            <w:vAlign w:val="bottom"/>
          </w:tcPr>
          <w:p>
            <w:pPr>
              <w:ind w:left="280"/>
              <w:spacing w:after="0"/>
              <w:rPr>
                <w:sz w:val="20"/>
                <w:szCs w:val="20"/>
                <w:color w:val="auto"/>
              </w:rPr>
            </w:pPr>
            <w:r>
              <w:rPr>
                <w:rFonts w:ascii="Arial" w:cs="Arial" w:eastAsia="Arial" w:hAnsi="Arial"/>
                <w:sz w:val="18"/>
                <w:szCs w:val="18"/>
                <w:color w:val="auto"/>
              </w:rPr>
              <w:t>Thousand barrels of crude oil or other liquid hydrocarbons.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MBOE</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One thousand barrels of crude oil equivalent, determined using a ratio of six Mcf of natural gas to one Bbl of crude</w:t>
            </w:r>
          </w:p>
        </w:tc>
      </w:tr>
      <w:tr>
        <w:trPr>
          <w:trHeight w:val="230"/>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oil, condensate or natural gas liquids.</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Mcf</w:t>
            </w:r>
          </w:p>
        </w:tc>
        <w:tc>
          <w:tcPr>
            <w:tcW w:w="8780" w:type="dxa"/>
            <w:vAlign w:val="bottom"/>
          </w:tcPr>
          <w:p>
            <w:pPr>
              <w:ind w:left="280"/>
              <w:spacing w:after="0"/>
              <w:rPr>
                <w:sz w:val="20"/>
                <w:szCs w:val="20"/>
                <w:color w:val="auto"/>
              </w:rPr>
            </w:pPr>
            <w:r>
              <w:rPr>
                <w:rFonts w:ascii="Arial" w:cs="Arial" w:eastAsia="Arial" w:hAnsi="Arial"/>
                <w:sz w:val="18"/>
                <w:szCs w:val="18"/>
                <w:color w:val="auto"/>
              </w:rPr>
              <w:t>One thousand cubic feet of natural gas.</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Mineral interests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The interests in ownership of the resource and mineral rights, giving an owner the right to profit from the extracted</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resources.</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MMBtu</w:t>
            </w:r>
          </w:p>
        </w:tc>
        <w:tc>
          <w:tcPr>
            <w:tcW w:w="8780" w:type="dxa"/>
            <w:vAlign w:val="bottom"/>
          </w:tcPr>
          <w:p>
            <w:pPr>
              <w:ind w:left="280"/>
              <w:spacing w:after="0"/>
              <w:rPr>
                <w:sz w:val="20"/>
                <w:szCs w:val="20"/>
                <w:color w:val="auto"/>
              </w:rPr>
            </w:pPr>
            <w:r>
              <w:rPr>
                <w:rFonts w:ascii="Arial" w:cs="Arial" w:eastAsia="Arial" w:hAnsi="Arial"/>
                <w:sz w:val="18"/>
                <w:szCs w:val="18"/>
                <w:color w:val="auto"/>
              </w:rPr>
              <w:t>One million British Thermal Units.</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royalty acres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mineral acres multiplied by the average lease royalty interest and other burdens.</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Oil and natural gas properties</w:t>
            </w:r>
          </w:p>
        </w:tc>
        <w:tc>
          <w:tcPr>
            <w:tcW w:w="8780" w:type="dxa"/>
            <w:vAlign w:val="bottom"/>
          </w:tcPr>
          <w:p>
            <w:pPr>
              <w:ind w:left="2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Operator</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 lease.</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Prospect</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A specific geographic area which, based on supporting geological, geophysical or other data and also preliminary</w:t>
            </w:r>
          </w:p>
        </w:tc>
      </w:tr>
      <w:tr>
        <w:trPr>
          <w:trHeight w:val="176"/>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3"/>
              </w:rPr>
              <w:t>economic analysis using reasonably anticipated prices and costs, is deemed to have potential for the discovery of</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commercial hydrocarbons.</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Proved reserves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0"/>
              </w:rPr>
              <w:t>The estimated quantities of oil, natural gas and natural gas liquids which geological and engineering data demonstrate</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7"/>
              </w:rPr>
              <w:t>with reasonable certainty to be commercially recoverable in future years from known reservoirs under existing</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economic and operating conditions.</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Reserves</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The estimated remaining quantities of oil and natural gas and related substances anticipated to be economically</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producible, as of a given date, by application of development projects to known accumulations. In addition, there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must exist, or there must be a reasonable expectation that there will exist, the legal right to produce or a revenue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interest in the production, installed means of delivering oil and natural gas or related substances to the market and all</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permits and financing required to implement the project. Reserves are not assigned to adjacent reservoirs isolated by</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major, potentially sealing, faults until those reservoirs are penetrated and evaluated as economically producible.</w:t>
            </w:r>
          </w:p>
        </w:tc>
      </w:tr>
      <w:tr>
        <w:trPr>
          <w:trHeight w:val="176"/>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Reserves should not be assigned to areas that are clearly separated from a known accumulation by a non-productive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6"/>
              </w:rPr>
              <w:t>reservoir (i.e., absence of reservoir, structurally low reservoir or negative test results). Such areas may contain</w:t>
            </w:r>
          </w:p>
        </w:tc>
      </w:tr>
      <w:tr>
        <w:trPr>
          <w:trHeight w:val="230"/>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prospective resources (i.e., potentially recoverable resources from undiscovered accumulations).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Reservoir</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 and/or</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crude oil that is confined by impermeable rock or water barriers and is separate from other reservoirs.</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Royalty interest</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 any</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costs of development, which may be subject to expiration.</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Spud</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Commencement of actual drilling operations.</w:t>
            </w:r>
          </w:p>
        </w:tc>
      </w:tr>
      <w:tr>
        <w:trPr>
          <w:trHeight w:val="230"/>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WTI</w:t>
            </w:r>
          </w:p>
        </w:tc>
        <w:tc>
          <w:tcPr>
            <w:tcW w:w="87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9120" w:type="dxa"/>
            <w:vAlign w:val="bottom"/>
          </w:tcPr>
          <w:p>
            <w:pPr>
              <w:ind w:left="17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08"/>
        </w:trPr>
        <w:tc>
          <w:tcPr>
            <w:tcW w:w="210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Accounting Standards Update.</w:t>
            </w:r>
          </w:p>
        </w:tc>
      </w:tr>
      <w:tr>
        <w:trPr>
          <w:trHeight w:val="188"/>
        </w:trPr>
        <w:tc>
          <w:tcPr>
            <w:tcW w:w="2100" w:type="dxa"/>
            <w:vAlign w:val="bottom"/>
          </w:tcPr>
          <w:p>
            <w:pPr>
              <w:ind w:left="20"/>
              <w:spacing w:after="0" w:line="189" w:lineRule="exact"/>
              <w:rPr>
                <w:sz w:val="20"/>
                <w:szCs w:val="20"/>
                <w:color w:val="auto"/>
              </w:rPr>
            </w:pPr>
            <w:r>
              <w:rPr>
                <w:rFonts w:ascii="Arial" w:cs="Arial" w:eastAsia="Arial" w:hAnsi="Arial"/>
                <w:sz w:val="18"/>
                <w:szCs w:val="18"/>
                <w:color w:val="auto"/>
              </w:rPr>
              <w:t>Adjusted EBITDA</w:t>
            </w:r>
          </w:p>
        </w:tc>
        <w:tc>
          <w:tcPr>
            <w:tcW w:w="9120" w:type="dxa"/>
            <w:vAlign w:val="bottom"/>
          </w:tcPr>
          <w:p>
            <w:pPr>
              <w:ind w:left="620"/>
              <w:spacing w:after="0" w:line="189" w:lineRule="exact"/>
              <w:rPr>
                <w:sz w:val="20"/>
                <w:szCs w:val="20"/>
                <w:color w:val="auto"/>
              </w:rPr>
            </w:pPr>
            <w:r>
              <w:rPr>
                <w:rFonts w:ascii="Arial" w:cs="Arial" w:eastAsia="Arial" w:hAnsi="Arial"/>
                <w:sz w:val="18"/>
                <w:szCs w:val="18"/>
                <w:color w:val="auto"/>
                <w:w w:val="91"/>
              </w:rPr>
              <w:t>Consolidated Adjusted EBITDA, a non-GAAP measure, generally equals its net income (loss) plus net income (loss)</w:t>
            </w:r>
          </w:p>
        </w:tc>
      </w:tr>
      <w:tr>
        <w:trPr>
          <w:trHeight w:val="189"/>
        </w:trPr>
        <w:tc>
          <w:tcPr>
            <w:tcW w:w="2100" w:type="dxa"/>
            <w:vAlign w:val="bottom"/>
          </w:tcPr>
          <w:p>
            <w:pPr>
              <w:spacing w:after="0"/>
              <w:rPr>
                <w:sz w:val="16"/>
                <w:szCs w:val="16"/>
                <w:color w:val="auto"/>
              </w:rPr>
            </w:pPr>
          </w:p>
        </w:tc>
        <w:tc>
          <w:tcPr>
            <w:tcW w:w="9120" w:type="dxa"/>
            <w:vAlign w:val="bottom"/>
          </w:tcPr>
          <w:p>
            <w:pPr>
              <w:ind w:left="620"/>
              <w:spacing w:after="0" w:line="189" w:lineRule="exact"/>
              <w:rPr>
                <w:sz w:val="20"/>
                <w:szCs w:val="20"/>
                <w:color w:val="auto"/>
              </w:rPr>
            </w:pPr>
            <w:r>
              <w:rPr>
                <w:rFonts w:ascii="Arial" w:cs="Arial" w:eastAsia="Arial" w:hAnsi="Arial"/>
                <w:sz w:val="18"/>
                <w:szCs w:val="18"/>
                <w:color w:val="auto"/>
                <w:w w:val="95"/>
              </w:rPr>
              <w:t>attributable to non-controlling interest before interest expense, net, non-cash unit-based compensation expense,</w:t>
            </w:r>
          </w:p>
        </w:tc>
      </w:tr>
      <w:tr>
        <w:trPr>
          <w:trHeight w:val="189"/>
        </w:trPr>
        <w:tc>
          <w:tcPr>
            <w:tcW w:w="2100" w:type="dxa"/>
            <w:vAlign w:val="bottom"/>
          </w:tcPr>
          <w:p>
            <w:pPr>
              <w:spacing w:after="0"/>
              <w:rPr>
                <w:sz w:val="16"/>
                <w:szCs w:val="16"/>
                <w:color w:val="auto"/>
              </w:rPr>
            </w:pPr>
          </w:p>
        </w:tc>
        <w:tc>
          <w:tcPr>
            <w:tcW w:w="9120" w:type="dxa"/>
            <w:vAlign w:val="bottom"/>
          </w:tcPr>
          <w:p>
            <w:pPr>
              <w:ind w:left="620"/>
              <w:spacing w:after="0" w:line="189" w:lineRule="exact"/>
              <w:rPr>
                <w:sz w:val="20"/>
                <w:szCs w:val="20"/>
                <w:color w:val="auto"/>
              </w:rPr>
            </w:pPr>
            <w:r>
              <w:rPr>
                <w:rFonts w:ascii="Arial" w:cs="Arial" w:eastAsia="Arial" w:hAnsi="Arial"/>
                <w:sz w:val="18"/>
                <w:szCs w:val="18"/>
                <w:color w:val="auto"/>
                <w:w w:val="95"/>
              </w:rPr>
              <w:t>depletion expense and non-cash (gain) loss on derivative instruments, (gain) loss on extinguishment of debt and</w:t>
            </w:r>
          </w:p>
        </w:tc>
      </w:tr>
      <w:tr>
        <w:trPr>
          <w:trHeight w:val="189"/>
        </w:trPr>
        <w:tc>
          <w:tcPr>
            <w:tcW w:w="2100" w:type="dxa"/>
            <w:vAlign w:val="bottom"/>
          </w:tcPr>
          <w:p>
            <w:pPr>
              <w:spacing w:after="0"/>
              <w:rPr>
                <w:sz w:val="16"/>
                <w:szCs w:val="16"/>
                <w:color w:val="auto"/>
              </w:rPr>
            </w:pPr>
          </w:p>
        </w:tc>
        <w:tc>
          <w:tcPr>
            <w:tcW w:w="9120" w:type="dxa"/>
            <w:vAlign w:val="bottom"/>
          </w:tcPr>
          <w:p>
            <w:pPr>
              <w:ind w:left="620"/>
              <w:spacing w:after="0" w:line="189" w:lineRule="exact"/>
              <w:rPr>
                <w:sz w:val="20"/>
                <w:szCs w:val="20"/>
                <w:color w:val="auto"/>
              </w:rPr>
            </w:pPr>
            <w:r>
              <w:rPr>
                <w:rFonts w:ascii="Arial" w:cs="Arial" w:eastAsia="Arial" w:hAnsi="Arial"/>
                <w:sz w:val="18"/>
                <w:szCs w:val="18"/>
                <w:color w:val="auto"/>
                <w:w w:val="93"/>
              </w:rPr>
              <w:t>provision for (benefit from) income taxes, which measure is used by management to more effectively evaluate the</w:t>
            </w:r>
          </w:p>
        </w:tc>
      </w:tr>
      <w:tr>
        <w:trPr>
          <w:trHeight w:val="237"/>
        </w:trPr>
        <w:tc>
          <w:tcPr>
            <w:tcW w:w="2100" w:type="dxa"/>
            <w:vAlign w:val="bottom"/>
          </w:tcPr>
          <w:p>
            <w:pPr>
              <w:spacing w:after="0"/>
              <w:rPr>
                <w:sz w:val="20"/>
                <w:szCs w:val="20"/>
                <w:color w:val="auto"/>
              </w:rPr>
            </w:pPr>
          </w:p>
        </w:tc>
        <w:tc>
          <w:tcPr>
            <w:tcW w:w="9120" w:type="dxa"/>
            <w:vAlign w:val="bottom"/>
          </w:tcPr>
          <w:p>
            <w:pPr>
              <w:ind w:left="620"/>
              <w:spacing w:after="0"/>
              <w:rPr>
                <w:sz w:val="20"/>
                <w:szCs w:val="20"/>
                <w:color w:val="auto"/>
              </w:rPr>
            </w:pPr>
            <w:r>
              <w:rPr>
                <w:rFonts w:ascii="Arial" w:cs="Arial" w:eastAsia="Arial" w:hAnsi="Arial"/>
                <w:sz w:val="18"/>
                <w:szCs w:val="18"/>
                <w:color w:val="auto"/>
              </w:rPr>
              <w:t>operating performance and determine distributable amounts for purposes of the distribution policy.</w:t>
            </w:r>
          </w:p>
        </w:tc>
      </w:tr>
      <w:tr>
        <w:trPr>
          <w:trHeight w:val="236"/>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Diamondback</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Diamondback Energy, Inc., a Delaware corporation.</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9120" w:type="dxa"/>
            <w:vAlign w:val="bottom"/>
          </w:tcPr>
          <w:p>
            <w:pPr>
              <w:ind w:left="620"/>
              <w:spacing w:after="0"/>
              <w:rPr>
                <w:sz w:val="20"/>
                <w:szCs w:val="20"/>
                <w:color w:val="auto"/>
              </w:rPr>
            </w:pPr>
            <w:r>
              <w:rPr>
                <w:rFonts w:ascii="Arial" w:cs="Arial" w:eastAsia="Arial" w:hAnsi="Arial"/>
                <w:sz w:val="18"/>
                <w:szCs w:val="18"/>
                <w:color w:val="auto"/>
              </w:rPr>
              <w:t>The Securities Exchange Act of 1934, as amended.</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General Partner</w:t>
            </w:r>
          </w:p>
        </w:tc>
        <w:tc>
          <w:tcPr>
            <w:tcW w:w="9120" w:type="dxa"/>
            <w:vAlign w:val="bottom"/>
          </w:tcPr>
          <w:p>
            <w:pPr>
              <w:ind w:left="620"/>
              <w:spacing w:after="0"/>
              <w:rPr>
                <w:sz w:val="20"/>
                <w:szCs w:val="20"/>
                <w:color w:val="auto"/>
              </w:rPr>
            </w:pPr>
            <w:r>
              <w:rPr>
                <w:rFonts w:ascii="Arial" w:cs="Arial" w:eastAsia="Arial" w:hAnsi="Arial"/>
                <w:sz w:val="18"/>
                <w:szCs w:val="18"/>
                <w:color w:val="auto"/>
                <w:w w:val="94"/>
              </w:rPr>
              <w:t>Viper Energy Partners GP LLC, a Delaware limited liability company, and the General Partner of the Partnership.</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The London interbank offered rate.</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LTIP</w:t>
            </w:r>
          </w:p>
        </w:tc>
        <w:tc>
          <w:tcPr>
            <w:tcW w:w="9120" w:type="dxa"/>
            <w:vAlign w:val="bottom"/>
          </w:tcPr>
          <w:p>
            <w:pPr>
              <w:ind w:left="620"/>
              <w:spacing w:after="0"/>
              <w:rPr>
                <w:sz w:val="20"/>
                <w:szCs w:val="20"/>
                <w:color w:val="auto"/>
              </w:rPr>
            </w:pPr>
            <w:r>
              <w:rPr>
                <w:rFonts w:ascii="Arial" w:cs="Arial" w:eastAsia="Arial" w:hAnsi="Arial"/>
                <w:sz w:val="18"/>
                <w:szCs w:val="18"/>
                <w:color w:val="auto"/>
              </w:rPr>
              <w:t>Viper Energy Partners LP Long Term Incentive Plan.</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OPEC</w:t>
            </w:r>
          </w:p>
        </w:tc>
        <w:tc>
          <w:tcPr>
            <w:tcW w:w="9120" w:type="dxa"/>
            <w:vAlign w:val="bottom"/>
          </w:tcPr>
          <w:p>
            <w:pPr>
              <w:ind w:left="620"/>
              <w:spacing w:after="0"/>
              <w:rPr>
                <w:sz w:val="20"/>
                <w:szCs w:val="20"/>
                <w:color w:val="auto"/>
              </w:rPr>
            </w:pPr>
            <w:r>
              <w:rPr>
                <w:rFonts w:ascii="Arial" w:cs="Arial" w:eastAsia="Arial" w:hAnsi="Arial"/>
                <w:sz w:val="18"/>
                <w:szCs w:val="18"/>
                <w:color w:val="auto"/>
              </w:rPr>
              <w:t>Organization of the Petroleum Exporting Countries.</w:t>
            </w:r>
          </w:p>
        </w:tc>
      </w:tr>
      <w:tr>
        <w:trPr>
          <w:trHeight w:val="175"/>
        </w:trPr>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Company</w:t>
            </w:r>
          </w:p>
        </w:tc>
        <w:tc>
          <w:tcPr>
            <w:tcW w:w="912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w w:val="96"/>
              </w:rPr>
              <w:t>Viper Energy Partners LLC, a Delaware limited liability company and a consolidated subsidiary of Viper Energy</w:t>
            </w:r>
          </w:p>
        </w:tc>
      </w:tr>
      <w:tr>
        <w:trPr>
          <w:trHeight w:val="230"/>
        </w:trPr>
        <w:tc>
          <w:tcPr>
            <w:tcW w:w="2100" w:type="dxa"/>
            <w:vAlign w:val="bottom"/>
            <w:shd w:val="clear" w:color="auto" w:fill="CCEEFF"/>
          </w:tcPr>
          <w:p>
            <w:pPr>
              <w:spacing w:after="0"/>
              <w:rPr>
                <w:sz w:val="19"/>
                <w:szCs w:val="19"/>
                <w:color w:val="auto"/>
              </w:rPr>
            </w:pP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Partners LP.</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Partnership</w:t>
            </w:r>
          </w:p>
        </w:tc>
        <w:tc>
          <w:tcPr>
            <w:tcW w:w="9120" w:type="dxa"/>
            <w:vAlign w:val="bottom"/>
          </w:tcPr>
          <w:p>
            <w:pPr>
              <w:ind w:left="62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United States Securities and Exchange Commission.</w:t>
            </w:r>
          </w:p>
        </w:tc>
      </w:tr>
      <w:tr>
        <w:trPr>
          <w:trHeight w:val="230"/>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 Notes</w:t>
            </w:r>
          </w:p>
        </w:tc>
        <w:tc>
          <w:tcPr>
            <w:tcW w:w="91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The 5.375% Senior Notes due 2027 issued on October 16,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51" w:lineRule="auto"/>
        <w:rPr>
          <w:rFonts w:ascii="Arial" w:cs="Arial" w:eastAsia="Arial" w:hAnsi="Arial"/>
          <w:sz w:val="16"/>
          <w:szCs w:val="16"/>
          <w:color w:val="0000FF"/>
        </w:rPr>
      </w:pPr>
      <w:r>
        <w:rPr>
          <w:rFonts w:ascii="Arial" w:cs="Arial" w:eastAsia="Arial" w:hAnsi="Arial"/>
          <w:sz w:val="16"/>
          <w:szCs w:val="16"/>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of strategic transactions (including acquisitions and divestitures); and plans and objectives of management (including Diamondback’s plans for developing our acreage and our cash distribution policy and repurchases of our common units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In particular, the factors discussed in this report and </w:t>
      </w:r>
      <w:hyperlink r:id="rId16">
        <w:r>
          <w:rPr>
            <w:rFonts w:ascii="Arial" w:cs="Arial" w:eastAsia="Arial" w:hAnsi="Arial"/>
            <w:sz w:val="16"/>
            <w:szCs w:val="16"/>
            <w:color w:val="auto"/>
          </w:rPr>
          <w:t xml:space="preserve">detailed under </w:t>
        </w:r>
      </w:hyperlink>
      <w:hyperlink w:anchor="page35">
        <w:r>
          <w:rPr>
            <w:rFonts w:ascii="Arial" w:cs="Arial" w:eastAsia="Arial" w:hAnsi="Arial"/>
            <w:sz w:val="16"/>
            <w:szCs w:val="16"/>
            <w:u w:val="single" w:color="auto"/>
            <w:color w:val="0000FF"/>
          </w:rPr>
          <w:t>Part II. Item 1A. Risk Factors</w:t>
        </w:r>
        <w:r>
          <w:rPr>
            <w:rFonts w:ascii="Arial" w:cs="Arial" w:eastAsia="Arial" w:hAnsi="Arial"/>
            <w:sz w:val="16"/>
            <w:szCs w:val="16"/>
            <w:u w:val="single" w:color="auto"/>
            <w:color w:val="auto"/>
          </w:rPr>
          <w:t xml:space="preserve">, our </w:t>
        </w:r>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auto"/>
          </w:rPr>
          <w:t xml:space="preserve"> for the year ended December 31, 2021 and our </w:t>
        </w:r>
        <w:r>
          <w:rPr>
            <w:rFonts w:ascii="Arial" w:cs="Arial" w:eastAsia="Arial" w:hAnsi="Arial"/>
            <w:sz w:val="16"/>
            <w:szCs w:val="16"/>
            <w:u w:val="single" w:color="auto"/>
            <w:color w:val="0000FF"/>
          </w:rPr>
          <w:t>Quarterly Report on Form</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FF"/>
          </w:rPr>
          <w:t>10-Q</w:t>
        </w:r>
        <w:r>
          <w:rPr>
            <w:rFonts w:ascii="Arial" w:cs="Arial" w:eastAsia="Arial" w:hAnsi="Arial"/>
            <w:sz w:val="16"/>
            <w:szCs w:val="16"/>
            <w:color w:val="0000FF"/>
          </w:rPr>
          <w:t xml:space="preserve"> </w:t>
        </w:r>
        <w:r>
          <w:rPr>
            <w:rFonts w:ascii="Arial" w:cs="Arial" w:eastAsia="Arial" w:hAnsi="Arial"/>
            <w:sz w:val="16"/>
            <w:szCs w:val="16"/>
            <w:color w:val="000000"/>
          </w:rPr>
          <w:t>for the quarterly period ended March 31, 2022 could affect our actual results and cause our actual results to differ materially from expectations,</w:t>
        </w:r>
      </w:hyperlink>
      <w:r>
        <w:rPr>
          <w:rFonts w:ascii="Arial" w:cs="Arial" w:eastAsia="Arial" w:hAnsi="Arial"/>
          <w:sz w:val="16"/>
          <w:szCs w:val="16"/>
          <w:color w:val="0000FF"/>
        </w:rPr>
        <w:t xml:space="preserve"> </w:t>
      </w:r>
      <w:r>
        <w:rPr>
          <w:rFonts w:ascii="Arial" w:cs="Arial" w:eastAsia="Arial" w:hAnsi="Arial"/>
          <w:sz w:val="16"/>
          <w:szCs w:val="16"/>
          <w:color w:val="000000"/>
        </w:rPr>
        <w:t>estimates or assumptions expressed, forecasted or implied in such forward-looking statements. Unless the context requires otherwise, references to “we,” “us,” “our” or “the Partnership” are intended to mean the business and operations of the Partnership and the Operating Company.</w:t>
      </w:r>
    </w:p>
    <w:p>
      <w:pPr>
        <w:spacing w:after="0" w:line="209"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Factors that could cause the outcomes to differ materially include (but are not limited to) the following:</w:t>
      </w:r>
    </w:p>
    <w:p>
      <w:pPr>
        <w:spacing w:after="0" w:line="239" w:lineRule="exact"/>
        <w:rPr>
          <w:rFonts w:ascii="Arial" w:cs="Arial" w:eastAsia="Arial" w:hAnsi="Arial"/>
          <w:sz w:val="16"/>
          <w:szCs w:val="16"/>
          <w:color w:val="auto"/>
        </w:rPr>
      </w:pPr>
    </w:p>
    <w:p>
      <w:pPr>
        <w:ind w:left="12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61" w:lineRule="exact"/>
        <w:rPr>
          <w:rFonts w:ascii="Arial" w:cs="Arial" w:eastAsia="Arial" w:hAnsi="Arial"/>
          <w:sz w:val="18"/>
          <w:szCs w:val="18"/>
          <w:color w:val="auto"/>
        </w:rPr>
      </w:pPr>
    </w:p>
    <w:p>
      <w:pPr>
        <w:ind w:left="12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61" w:lineRule="exact"/>
        <w:rPr>
          <w:rFonts w:ascii="Arial" w:cs="Arial" w:eastAsia="Arial" w:hAnsi="Arial"/>
          <w:sz w:val="18"/>
          <w:szCs w:val="18"/>
          <w:color w:val="auto"/>
        </w:rPr>
      </w:pPr>
    </w:p>
    <w:p>
      <w:pPr>
        <w:ind w:left="12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61" w:lineRule="exact"/>
        <w:rPr>
          <w:rFonts w:ascii="Arial" w:cs="Arial" w:eastAsia="Arial" w:hAnsi="Arial"/>
          <w:sz w:val="18"/>
          <w:szCs w:val="18"/>
          <w:color w:val="auto"/>
        </w:rPr>
      </w:pPr>
    </w:p>
    <w:p>
      <w:pPr>
        <w:ind w:left="12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inflation rates and concerns over a potential recession;</w:t>
      </w:r>
    </w:p>
    <w:p>
      <w:pPr>
        <w:spacing w:after="0" w:line="61" w:lineRule="exact"/>
        <w:rPr>
          <w:rFonts w:ascii="Arial" w:cs="Arial" w:eastAsia="Arial" w:hAnsi="Arial"/>
          <w:sz w:val="18"/>
          <w:szCs w:val="18"/>
          <w:color w:val="auto"/>
        </w:rPr>
      </w:pPr>
    </w:p>
    <w:p>
      <w:pPr>
        <w:ind w:left="12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61" w:lineRule="exact"/>
        <w:rPr>
          <w:rFonts w:ascii="Arial" w:cs="Arial" w:eastAsia="Arial" w:hAnsi="Arial"/>
          <w:sz w:val="18"/>
          <w:szCs w:val="18"/>
          <w:color w:val="auto"/>
        </w:rPr>
      </w:pPr>
    </w:p>
    <w:p>
      <w:pPr>
        <w:ind w:left="1220" w:right="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61"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transition risks relating to climate change;</w:t>
      </w:r>
    </w:p>
    <w:p>
      <w:pPr>
        <w:spacing w:after="0" w:line="90" w:lineRule="exact"/>
        <w:rPr>
          <w:rFonts w:ascii="Arial" w:cs="Arial" w:eastAsia="Arial" w:hAnsi="Arial"/>
          <w:sz w:val="18"/>
          <w:szCs w:val="18"/>
          <w:color w:val="auto"/>
        </w:rPr>
      </w:pPr>
    </w:p>
    <w:p>
      <w:pPr>
        <w:ind w:left="1220" w:hanging="321"/>
        <w:spacing w:after="0" w:line="307" w:lineRule="auto"/>
        <w:tabs>
          <w:tab w:leader="none" w:pos="1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15"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113"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90" w:lineRule="exact"/>
        <w:rPr>
          <w:rFonts w:ascii="Arial" w:cs="Arial" w:eastAsia="Arial" w:hAnsi="Arial"/>
          <w:sz w:val="18"/>
          <w:szCs w:val="18"/>
          <w:color w:val="auto"/>
        </w:rPr>
      </w:pPr>
    </w:p>
    <w:p>
      <w:pPr>
        <w:ind w:left="1220" w:right="20" w:hanging="321"/>
        <w:spacing w:after="0" w:line="274"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39" w:lineRule="exact"/>
        <w:rPr>
          <w:rFonts w:ascii="Arial" w:cs="Arial" w:eastAsia="Arial" w:hAnsi="Arial"/>
          <w:sz w:val="17"/>
          <w:szCs w:val="17"/>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and oilfield services impacting our operators;</w:t>
      </w:r>
    </w:p>
    <w:p>
      <w:pPr>
        <w:spacing w:after="0" w:line="90" w:lineRule="exact"/>
        <w:rPr>
          <w:rFonts w:ascii="Arial" w:cs="Arial" w:eastAsia="Arial" w:hAnsi="Arial"/>
          <w:sz w:val="18"/>
          <w:szCs w:val="18"/>
          <w:color w:val="auto"/>
        </w:rPr>
      </w:pPr>
    </w:p>
    <w:p>
      <w:pPr>
        <w:ind w:left="12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61" w:lineRule="exact"/>
        <w:rPr>
          <w:rFonts w:ascii="Arial" w:cs="Arial" w:eastAsia="Arial" w:hAnsi="Arial"/>
          <w:sz w:val="18"/>
          <w:szCs w:val="18"/>
          <w:color w:val="auto"/>
        </w:rPr>
      </w:pPr>
    </w:p>
    <w:p>
      <w:pPr>
        <w:ind w:left="1220" w:hanging="321"/>
        <w:spacing w:after="0" w:line="24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threats, including cybersecurity threats and disruptions to our business from breaches of our information technology systems, or from breaches of information technology systems of third parties with whom we transact business;</w:t>
      </w:r>
    </w:p>
    <w:p>
      <w:pPr>
        <w:spacing w:after="0" w:line="61"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lack of, or disruption in, access to adequate and reliable transportation, processing, storage, and other facilities impacting our operators;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the credit agreement and hedging contracts of our operating subsidiary;</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disclosed in this report.</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36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4"/>
              </w:rPr>
              <w:t>(In thousands, except unit amounts)</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7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Royalty income receivable (net of allowance for credit losses)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68,568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receivable—related party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111,149</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360"/>
              <w:spacing w:after="0" w:line="176" w:lineRule="exact"/>
              <w:rPr>
                <w:sz w:val="20"/>
                <w:szCs w:val="20"/>
                <w:color w:val="auto"/>
              </w:rPr>
            </w:pPr>
            <w:r>
              <w:rPr>
                <w:rFonts w:ascii="Arial" w:cs="Arial" w:eastAsia="Arial" w:hAnsi="Arial"/>
                <w:sz w:val="18"/>
                <w:szCs w:val="18"/>
                <w:color w:val="auto"/>
                <w:w w:val="92"/>
              </w:rPr>
              <w:t>Oil and natural gas interests, full cost method of accounting ($1,409,092 and $1,640,172 excluded from</w:t>
            </w: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3,482,392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3,513,590</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depletion at June 30, 2022 and December 31, 2021, respectively)</w:t>
            </w:r>
          </w:p>
        </w:tc>
        <w:tc>
          <w:tcPr>
            <w:tcW w:w="2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depletion and impairment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(599,163)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2,920,115</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2,971,985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3,034,021</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80" w:type="dxa"/>
            <w:vAlign w:val="bottom"/>
            <w:shd w:val="clear" w:color="auto" w:fill="CCEEFF"/>
          </w:tcPr>
          <w:p>
            <w:pPr>
              <w:ind w:left="2780"/>
              <w:spacing w:after="0"/>
              <w:rPr>
                <w:sz w:val="20"/>
                <w:szCs w:val="20"/>
                <w:color w:val="auto"/>
              </w:rPr>
            </w:pPr>
            <w:r>
              <w:rPr>
                <w:rFonts w:ascii="Arial" w:cs="Arial" w:eastAsia="Arial" w:hAnsi="Arial"/>
                <w:sz w:val="16"/>
                <w:szCs w:val="16"/>
                <w:b w:val="1"/>
                <w:bCs w:val="1"/>
                <w:color w:val="auto"/>
              </w:rPr>
              <w:t>Liabilities and Unitholders’ Equity</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20,509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 net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776,727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801,193</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Unitholders’ equity: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General Partner</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units (75,946,203 units issued and outstanding as of June 30, 2022 and 78,546,403 units issued</w:t>
            </w:r>
          </w:p>
        </w:tc>
        <w:tc>
          <w:tcPr>
            <w:tcW w:w="2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733,998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813,161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as of December 31, 2021)</w:t>
            </w:r>
          </w:p>
        </w:tc>
        <w:tc>
          <w:tcPr>
            <w:tcW w:w="2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4"/>
              </w:rPr>
              <w:t>Class B units (90,709,946 units issued and outstanding as of June 30, 2022 and December 31, 2021)</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Viper Energy Partners LP unitholders’ equity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814,821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1,535,192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1,418,007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2,270,760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2,232,828</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Arial" w:cs="Arial" w:eastAsia="Arial" w:hAnsi="Arial"/>
                <w:sz w:val="18"/>
                <w:szCs w:val="18"/>
                <w:color w:val="auto"/>
              </w:rPr>
              <w:t>Total liabilities and unitholders’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2,971,985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3,034,021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4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2021</w:t>
            </w:r>
          </w:p>
        </w:tc>
      </w:tr>
      <w:tr>
        <w:trPr>
          <w:trHeight w:val="210"/>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w w:val="94"/>
              </w:rPr>
              <w:t>(In thousands, except per unit amounts)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Royalty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238,830</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113,458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431,919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209,970</w:t>
            </w:r>
          </w:p>
        </w:tc>
      </w:tr>
      <w:tr>
        <w:trPr>
          <w:trHeight w:val="23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9"/>
        </w:trPr>
        <w:tc>
          <w:tcPr>
            <w:tcW w:w="5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5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211,126</w:t>
            </w:r>
          </w:p>
        </w:tc>
      </w:tr>
      <w:tr>
        <w:trPr>
          <w:trHeight w:val="193"/>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2"/>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w:t>
            </w: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Depletion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48,864</w:t>
            </w: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23"/>
        </w:trPr>
        <w:tc>
          <w:tcPr>
            <w:tcW w:w="54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68,048</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143,078</w:t>
            </w: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(15,833)</w:t>
            </w: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(61,050)</w:t>
            </w: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546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(76,806)</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66,272</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299,661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66,237</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64,595</w:t>
            </w: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 units: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w w:val="98"/>
              </w:rPr>
              <w:t>Weighted average number of common limited partner units outstanding:</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65,014</w:t>
            </w: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Limited Partners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813,161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2,232,828</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(35,830)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(39,260)</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(39,260)</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128,041</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6"/>
                <w:szCs w:val="16"/>
                <w:b w:val="1"/>
                <w:bCs w:val="1"/>
                <w:color w:val="auto"/>
              </w:rPr>
              <w:t>Balance at March 31, 2022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76,966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768,747</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1,472,614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2,242,976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(64,012)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171,620</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2,270,760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to Unitholders' Equity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4"/>
            <w:vMerge w:val="restart"/>
          </w:tcPr>
          <w:p>
            <w:pPr>
              <w:ind w:left="300"/>
              <w:spacing w:after="0"/>
              <w:rPr>
                <w:sz w:val="20"/>
                <w:szCs w:val="20"/>
                <w:color w:val="auto"/>
              </w:rPr>
            </w:pPr>
            <w:r>
              <w:rPr>
                <w:rFonts w:ascii="Arial" w:cs="Arial" w:eastAsia="Arial" w:hAnsi="Arial"/>
                <w:sz w:val="16"/>
                <w:szCs w:val="16"/>
                <w:b w:val="1"/>
                <w:bCs w:val="1"/>
                <w:color w:val="auto"/>
              </w:rPr>
              <w:t>Limited Partners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633,415</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1,860,833</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units,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Cash paid for tax withholding on vested</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t>
            </w: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(13,043)</w:t>
            </w:r>
          </w:p>
        </w:tc>
        <w:tc>
          <w:tcPr>
            <w:tcW w:w="12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(13,043)</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64,950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611,172</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1,237,071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1,850,038</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42,378</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1,847,022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2021</w:t>
            </w:r>
          </w:p>
        </w:tc>
      </w:tr>
      <w:tr>
        <w:trPr>
          <w:trHeight w:val="210"/>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299,661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66,237</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Depletion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59,373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48,864</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loss on derivative instruments,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61,050</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Net cash receipts (payments) on derivatives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(35,882)</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Royalty income receivable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Royalty income receivable—related party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29"/>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299,020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129,680</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oil and natural gas interests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borrowings under credit facility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Repayment on credit facility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(47,000)</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senior notes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Repurchased units as part of unit buyback</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(19,822)</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public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(25,107)</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Distributions to Diamondback</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(107,015)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(35,712)</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(105,560)</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19,121</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Viper Energy Partners GP LLC (the “General Partner”) held a 100% general partner interest in the Partnership and Diamondback Energy, Inc. (“Diamondback”) beneficially owned approximately 55%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spacing w:after="0" w:line="173"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w:t>
      </w:r>
      <w:hyperlink r:id="rId24">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2021, which contains a summary of the Partnership’s significant accounting policies and other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Making accurate estimates and assumptions is particularly difficult in the oil and natural gas industry given the challenges resulting from volatility in oil and natural gas prices. For instance, the effects of COVID-19, the war in Ukraine and actions by OPEC members and other exporting nations on the supply and demand in global oil and natural gas markets continued to contribute to economic and pricing volatility. The financial results of companies in the oil and natural gas industry have been impacted materially as a result of changing market conditions. Such circumstances generally increase uncertainty in the Partnership’s accounting estimates, particularly those involving financial forecasts.</w:t>
      </w:r>
    </w:p>
    <w:p>
      <w:pPr>
        <w:spacing w:after="0" w:line="20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interests, the recoverability of costs of unevaluated properties, the fair value determination of assets and liabilities, including those acquired by the Partnership, fair value estimates of commodity derivatives and estimates of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2022, Diamondback, either directly or through its consolidated subsidiaries, paid the Partnership $6.3 million of lease bonus income related to certain leases acquired in the Swallowtail Acquisition.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other significant related party transactions for the three months ended June 30, 2022 and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6,201</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There are no recent accounting pronouncements not yet adopted that are expected to have a material effect on the Partnership upon adoption, as applicable.</w:t>
      </w: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234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0"/>
        </w:trPr>
        <w:tc>
          <w:tcPr>
            <w:tcW w:w="5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09"/>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346,246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172,296</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18,577</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19,097</w:t>
            </w: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Total royalty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113,458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209,970</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Activity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quarter of 2022, the Partnership divested 325 net royalty acres of third party operated acreage located entirely in Upton and Reagan counties in the Midland Basin for an aggregate sales price of $29.3 million, subject to post-closing adjustments.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had no other significant acquisition or divestiture activity during the six months ended June 30,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Swallowtail Acquisition</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1, 2021, the Partnership and the Operating Company acquired certain mineral and royalty interests from Swallowtail Royalties LLC and Swallowtail Royalties II LLC (the “Swallowtail entities”) pursuant to a definitive purchase and sale agreement for approximately 15.25 million common units and approximately $225.3 million in cash (the “Swallowtail Acquisition”). The mineral and royalty interests acquired in the Swallowtail Acquisition represent 2,313 net royalty acres primarily in the Northern Midland Basin, of which 62% are operated by Diamondback as of December 31, 2021. The Swallowtail Acquisition has an effective date of August 1, 2021. In accordance with the terms of the purchase agreement, the Partnership deposited $30.0 million into an escrow account in August 2021, which was released upon the closing of the transaction in October 2021. The cash portion of this transaction was funded through a combination of cash on hand and approximately $190.0 million of borrowings under the Operating Company’s revolving credit facility.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2021 Acquisitions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Additionally during the year ended December 31, 2021, the Partnership acquired, from unrelated third party sellers, mineral and royalty interests representing 1,277 gross (392 net royalty) acres in the Permian Basin for an aggregate purchase price of approximately $55.1 million, after post-closing adjustments. The Partnership funded these acquisitions with cash on hand and borrowings under the Operating Company’s revolving credit facility.</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Oil and natural gas interests include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36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10"/>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2,073,300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1,873,418</w:t>
            </w: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1,640,172</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3,482,392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3,513,590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(599,163)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2,823,856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2,914,427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2,920,115</w:t>
            </w:r>
          </w:p>
        </w:tc>
      </w:tr>
      <w:tr>
        <w:trPr>
          <w:trHeight w:val="21"/>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2022 and December 31, 2021, the Partnership had mineral and royalty interests representing 26,718 and 27,027 net royalty acres,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impairment expense was recorded on the Partnership’s oil and natural gas interests for the three and six months ended June 30, 2022 and 2021 based on the results of the respective quarterly ceiling tests.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Partnership may have material write-downs in subsequent quarters.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unsecured notes due 2027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304,000</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776,727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second quarter of 2022, the Partnership repurchased an aggregate $49.6 million principal amount of the outstanding Notes for total cash consideration of $49.0 million, which resulted in an immaterial loss on extinguishment of debt during the second quarter of 2022. The Partnership funded the debt repurchases through a combination of cash on hand and borrowings under the Operating Company’s revolving credit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Operating Company’s credit agreement, as amended to date, provides for a revolving credit facility in the maximum credit amount of $2.0 billion and a borrowing base of $580.0 million based on the Operating Company’s oil and natural gas reserves and other factors. The borrowing base is scheduled to be redetermined semi-annually in May and November. As of June 30, 2022, the Operating Company had elected a commitment amount of $500.0 million, with $250.0 million of outstanding borrowings and $250.0 million available for future borrowings under the Operating Company’s revolving credit facility. During the three and six months ended June 30, 2022 and 2021, the weighted average interest rates on the Operating Company’s revolving credit facility were 3.20%, 2.88%, 1.93% and 1.90%, respectively. The revolving credit facility will mature on June 2, 2025.</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2022, the Operating Company was in compliance with the financial maintenance covenants under its credit agreement.</w:t>
      </w: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has General Partner and limited partner units. At June 30, 2022, the Partnership had a total of 75,946,203 common units issued and outstanding and 90,709,946 Class B units issued and outstanding, of which 731,500 common units and 90,709,946 Class B units were beneficially owned by Diamondback, representing approximately 55% of the Partnership’s total units outstanding. At June 30, 2022, Diamondback also beneficially owns 90,709,946 Operating Company units, representing a 54%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25" w:lineRule="exact"/>
        <w:rPr>
          <w:sz w:val="20"/>
          <w:szCs w:val="20"/>
          <w:color w:val="auto"/>
        </w:rPr>
      </w:pPr>
    </w:p>
    <w:p>
      <w:pPr>
        <w:jc w:val="both"/>
        <w:ind w:firstLine="648"/>
        <w:spacing w:after="0" w:line="254" w:lineRule="auto"/>
        <w:rPr>
          <w:rFonts w:ascii="Arial" w:cs="Arial" w:eastAsia="Arial" w:hAnsi="Arial"/>
          <w:sz w:val="16"/>
          <w:szCs w:val="16"/>
          <w:color w:val="0000FF"/>
        </w:rPr>
      </w:pPr>
      <w:r>
        <w:rPr>
          <w:rFonts w:ascii="Arial" w:cs="Arial" w:eastAsia="Arial" w:hAnsi="Arial"/>
          <w:sz w:val="16"/>
          <w:szCs w:val="16"/>
          <w:color w:val="auto"/>
        </w:rPr>
        <w:t xml:space="preserve">The board of directors of the Partnership’s General Partner has approved a common unit repurchase program to acquire up to $250.0 million of the Partnership’s outstanding common units over an indefinite period of time. The Partnership intends to purchase common units under the repurchase program opportunistically with funds from cash on hand, free cash flow from operations and potential liquidity events such as the sale of assets. This repurchase program may be suspended from time to time, modified, extended or discontinued by the board of directors of the Partnership’s General Partner at any time. During the three and six months ended June 30, 2022 and 2021, the Partnership repurchased approximately $28.9 million, $68.2 million, $6.8 million and $19.8 million of common units under the repurchase program, respectively. Repurchases for the six months ended June 30, 2022 include approximately $37.3 million for the repurchase of 1.5 million common units from a significant unitholder in a privately negotiated transaction in the first quarter of 2022. </w:t>
      </w:r>
      <w:hyperlink w:anchor="page22">
        <w:r>
          <w:rPr>
            <w:rFonts w:ascii="Arial" w:cs="Arial" w:eastAsia="Arial" w:hAnsi="Arial"/>
            <w:sz w:val="16"/>
            <w:szCs w:val="16"/>
            <w:color w:val="auto"/>
          </w:rPr>
          <w:t>As of June 30, 2022, $111.8 million remains available for use to repurchase common units under the repurchase program. See also Note 13—</w:t>
        </w:r>
        <w:r>
          <w:rPr>
            <w:rFonts w:ascii="Arial" w:cs="Arial" w:eastAsia="Arial" w:hAnsi="Arial"/>
            <w:sz w:val="16"/>
            <w:szCs w:val="16"/>
            <w:u w:val="single" w:color="auto"/>
            <w:color w:val="0000FF"/>
          </w:rPr>
          <w:t>Subsequent</w:t>
        </w:r>
      </w:hyperlink>
      <w:r>
        <w:rPr>
          <w:rFonts w:ascii="Arial" w:cs="Arial" w:eastAsia="Arial" w:hAnsi="Arial"/>
          <w:sz w:val="16"/>
          <w:szCs w:val="16"/>
          <w:color w:val="auto"/>
        </w:rPr>
        <w:t xml:space="preserve"> </w:t>
      </w:r>
      <w:hyperlink w:anchor="page22">
        <w:r>
          <w:rPr>
            <w:rFonts w:ascii="Arial" w:cs="Arial" w:eastAsia="Arial" w:hAnsi="Arial"/>
            <w:sz w:val="16"/>
            <w:szCs w:val="16"/>
            <w:u w:val="single" w:color="auto"/>
            <w:color w:val="0000FF"/>
          </w:rPr>
          <w:t>Events</w:t>
        </w:r>
        <w:r>
          <w:rPr>
            <w:rFonts w:ascii="Arial" w:cs="Arial" w:eastAsia="Arial" w:hAnsi="Arial"/>
            <w:sz w:val="16"/>
            <w:szCs w:val="16"/>
            <w:color w:val="0000FF"/>
          </w:rPr>
          <w:t xml:space="preserve"> </w:t>
        </w:r>
        <w:r>
          <w:rPr>
            <w:rFonts w:ascii="Arial" w:cs="Arial" w:eastAsia="Arial" w:hAnsi="Arial"/>
            <w:sz w:val="16"/>
            <w:szCs w:val="16"/>
            <w:color w:val="000000"/>
          </w:rPr>
          <w:t>discussing the increase in the repurchase program authorization approved on July 26, 2022.</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board of directors of the General Partner has established a distribution policy whereby the Operating Company distributes all or a portion of its available cash on a quarterly basis to its unitholders (including Diamondback and the Partnership). The Partnership in turn distributes all or a portion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cash available for distribution by the Operating Company, a non-GAAP measure, generally equals the Partnership’s consolidated Adjusted EBITDA for the applicable quarter, less cash needed for debt service and other contractual obligations, fixed charges and reserves for future operating or capital needs that the board of directors of the General Partner deems necessary or appropriate, if any. The Partnership’s cash available for distribution for each quarter generally equals the Partnership’s proportional share of the cash distributed by the Operating Company for the quarter, less cash needed by the Partnership for the payment of income taxes, if any, and the preferred distribution. The percentage of cash available for distribution pursuant to the distribution policy discussed above may change quarterly to enable the Operating Company to retain cash flow to help strengthen the Partnership’s balance sheet while also expanding the return of capital program through the Partnership’s common unit repurchase program. The Partnership is not required to pay distributions to its common unitholders on a quarterly or other basis.</w:t>
      </w:r>
    </w:p>
    <w:p>
      <w:pPr>
        <w:spacing w:after="0" w:line="2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20320</wp:posOffset>
            </wp:positionV>
            <wp:extent cx="2031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6"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(In thousands)</w:t>
      </w:r>
    </w:p>
    <w:tbl>
      <w:tblPr>
        <w:tblLayout w:type="fixed"/>
        <w:tblInd w:w="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center"/>
              <w:ind w:right="260"/>
              <w:spacing w:after="0" w:line="181" w:lineRule="exact"/>
              <w:rPr>
                <w:sz w:val="20"/>
                <w:szCs w:val="20"/>
                <w:color w:val="auto"/>
              </w:rPr>
            </w:pPr>
            <w:r>
              <w:rPr>
                <w:rFonts w:ascii="Arial" w:cs="Arial" w:eastAsia="Arial" w:hAnsi="Arial"/>
                <w:sz w:val="16"/>
                <w:szCs w:val="16"/>
                <w:b w:val="1"/>
                <w:bCs w:val="1"/>
                <w:color w:val="auto"/>
                <w:w w:val="91"/>
              </w:rPr>
              <w:t>Operating Company</w:t>
            </w:r>
          </w:p>
        </w:tc>
        <w:tc>
          <w:tcPr>
            <w:tcW w:w="16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Common</w:t>
            </w: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Unitholder Record</w:t>
            </w: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6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Period</w:t>
            </w: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Amount per Unit</w:t>
            </w:r>
          </w:p>
        </w:tc>
        <w:tc>
          <w:tcPr>
            <w:tcW w:w="160" w:type="dxa"/>
            <w:vAlign w:val="bottom"/>
          </w:tcPr>
          <w:p>
            <w:pPr>
              <w:spacing w:after="0"/>
              <w:rPr>
                <w:sz w:val="12"/>
                <w:szCs w:val="12"/>
                <w:color w:val="auto"/>
              </w:rPr>
            </w:pPr>
          </w:p>
        </w:tc>
        <w:tc>
          <w:tcPr>
            <w:tcW w:w="1740" w:type="dxa"/>
            <w:vAlign w:val="bottom"/>
            <w:gridSpan w:val="2"/>
          </w:tcPr>
          <w:p>
            <w:pPr>
              <w:jc w:val="center"/>
              <w:ind w:right="260"/>
              <w:spacing w:after="0" w:line="148" w:lineRule="exact"/>
              <w:rPr>
                <w:sz w:val="20"/>
                <w:szCs w:val="20"/>
                <w:color w:val="auto"/>
              </w:rPr>
            </w:pPr>
            <w:r>
              <w:rPr>
                <w:rFonts w:ascii="Arial" w:cs="Arial" w:eastAsia="Arial" w:hAnsi="Arial"/>
                <w:sz w:val="16"/>
                <w:szCs w:val="16"/>
                <w:b w:val="1"/>
                <w:bCs w:val="1"/>
                <w:color w:val="auto"/>
                <w:w w:val="87"/>
              </w:rPr>
              <w:t>Distributions to</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8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Declaration Date</w:t>
            </w:r>
          </w:p>
        </w:tc>
        <w:tc>
          <w:tcPr>
            <w:tcW w:w="1740" w:type="dxa"/>
            <w:vAlign w:val="bottom"/>
            <w:gridSpan w:val="2"/>
            <w:vMerge w:val="continue"/>
          </w:tcPr>
          <w:p>
            <w:pPr>
              <w:spacing w:after="0"/>
              <w:rPr>
                <w:sz w:val="12"/>
                <w:szCs w:val="12"/>
                <w:color w:val="auto"/>
              </w:rPr>
            </w:pPr>
          </w:p>
        </w:tc>
        <w:tc>
          <w:tcPr>
            <w:tcW w:w="1600" w:type="dxa"/>
            <w:vAlign w:val="bottom"/>
            <w:gridSpan w:val="2"/>
            <w:vMerge w:val="restart"/>
          </w:tcPr>
          <w:p>
            <w:pPr>
              <w:jc w:val="right"/>
              <w:ind w:right="230"/>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03"/>
        </w:trPr>
        <w:tc>
          <w:tcPr>
            <w:tcW w:w="1360" w:type="dxa"/>
            <w:vAlign w:val="bottom"/>
            <w:gridSpan w:val="2"/>
            <w:vMerge w:val="continue"/>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Diamondback</w:t>
            </w:r>
          </w:p>
        </w:tc>
        <w:tc>
          <w:tcPr>
            <w:tcW w:w="160" w:type="dxa"/>
            <w:vAlign w:val="bottom"/>
          </w:tcPr>
          <w:p>
            <w:pPr>
              <w:spacing w:after="0"/>
              <w:rPr>
                <w:sz w:val="17"/>
                <w:szCs w:val="17"/>
                <w:color w:val="auto"/>
              </w:rPr>
            </w:pPr>
          </w:p>
        </w:tc>
        <w:tc>
          <w:tcPr>
            <w:tcW w:w="1240" w:type="dxa"/>
            <w:vAlign w:val="bottom"/>
            <w:gridSpan w:val="2"/>
          </w:tcPr>
          <w:p>
            <w:pPr>
              <w:jc w:val="center"/>
              <w:ind w:right="240"/>
              <w:spacing w:after="0" w:line="203" w:lineRule="exact"/>
              <w:rPr>
                <w:sz w:val="20"/>
                <w:szCs w:val="20"/>
                <w:color w:val="auto"/>
              </w:rPr>
            </w:pPr>
            <w:r>
              <w:rPr>
                <w:rFonts w:ascii="Arial" w:cs="Arial" w:eastAsia="Arial" w:hAnsi="Arial"/>
                <w:sz w:val="16"/>
                <w:szCs w:val="16"/>
                <w:b w:val="1"/>
                <w:bCs w:val="1"/>
                <w:color w:val="auto"/>
                <w:w w:val="87"/>
              </w:rPr>
              <w:t>Unitholders</w:t>
            </w:r>
            <w:r>
              <w:rPr>
                <w:rFonts w:ascii="Arial" w:cs="Arial" w:eastAsia="Arial" w:hAnsi="Arial"/>
                <w:sz w:val="20"/>
                <w:szCs w:val="20"/>
                <w:b w:val="1"/>
                <w:bCs w:val="1"/>
                <w:color w:val="auto"/>
                <w:w w:val="87"/>
                <w:vertAlign w:val="superscript"/>
              </w:rPr>
              <w:t>(1)</w:t>
            </w:r>
          </w:p>
        </w:tc>
        <w:tc>
          <w:tcPr>
            <w:tcW w:w="1880" w:type="dxa"/>
            <w:vAlign w:val="bottom"/>
            <w:gridSpan w:val="3"/>
            <w:vMerge w:val="continue"/>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Q4 2021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16,</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4, 2022</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11,</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3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Q1 2022</w:t>
            </w:r>
          </w:p>
        </w:tc>
        <w:tc>
          <w:tcPr>
            <w:tcW w:w="500" w:type="dxa"/>
            <w:vAlign w:val="bottom"/>
          </w:tcPr>
          <w:p>
            <w:pPr>
              <w:jc w:val="right"/>
              <w:ind w:right="31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63,497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51,680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April 27,</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May 12, 2022</w:t>
            </w:r>
          </w:p>
        </w:tc>
        <w:tc>
          <w:tcPr>
            <w:tcW w:w="1200" w:type="dxa"/>
            <w:vAlign w:val="bottom"/>
          </w:tcPr>
          <w:p>
            <w:pPr>
              <w:jc w:val="right"/>
              <w:spacing w:after="0"/>
              <w:rPr>
                <w:sz w:val="20"/>
                <w:szCs w:val="20"/>
                <w:color w:val="auto"/>
              </w:rPr>
            </w:pPr>
            <w:r>
              <w:rPr>
                <w:rFonts w:ascii="Arial" w:cs="Arial" w:eastAsia="Arial" w:hAnsi="Arial"/>
                <w:sz w:val="18"/>
                <w:szCs w:val="18"/>
                <w:color w:val="auto"/>
              </w:rPr>
              <w:t>May 19,</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40" w:hanging="332"/>
        <w:spacing w:after="0" w:line="277"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amounts paid to Diamondback for the 731,500 common units beneficially owned by Diamondback and distribution equivalent rights payments.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(loss) to Diamondback discussed below result in adjustments to non-controlling interest and common unitholder equity, tax effected, but do not impact earnings. The following table summarizes the changes in common unitholder equity due to changes in ownership interest during the period: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Pr>
          <w:p>
            <w:pPr>
              <w:spacing w:after="0"/>
              <w:rPr>
                <w:sz w:val="18"/>
                <w:szCs w:val="18"/>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w w:val="92"/>
              </w:rPr>
              <w:t>Six Months Ended June 30,</w:t>
            </w: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Change from net income (loss) attributable to the Partnership's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45,545</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76,345</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unitholders and transfers to non-controlling interest</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Income</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Partnership, as managing member of the Operating Company, has entered into an agreement, as amended on December 28, 2021, whereby special allocations of the Operating Company’s income and gains over losses and deductions (but before depletion) are to be made to Diamondback through 2022. These special income allocations will reduce the taxable income allocated to the Partnership’s common unitholders.</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income (loss) per common unit on the condensed consolidated statements of operations is based on the net income (loss) of the Partnership for the three and six months ended June 30, 2022 and 2021, which is the amount of net income (loss) attributable to the Partnership’s common units.</w:t>
      </w:r>
    </w:p>
    <w:p>
      <w:pPr>
        <w:spacing w:after="0" w:line="211" w:lineRule="exact"/>
        <w:rPr>
          <w:sz w:val="20"/>
          <w:szCs w:val="20"/>
          <w:color w:val="auto"/>
        </w:rPr>
      </w:pPr>
    </w:p>
    <w:p>
      <w:pPr>
        <w:jc w:val="both"/>
        <w:ind w:firstLine="648"/>
        <w:spacing w:after="0" w:line="324" w:lineRule="auto"/>
        <w:rPr>
          <w:rFonts w:ascii="Arial" w:cs="Arial" w:eastAsia="Arial" w:hAnsi="Arial"/>
          <w:sz w:val="16"/>
          <w:szCs w:val="16"/>
          <w:color w:val="auto"/>
        </w:rPr>
      </w:pPr>
      <w:r>
        <w:rPr>
          <w:rFonts w:ascii="Arial" w:cs="Arial" w:eastAsia="Arial" w:hAnsi="Arial"/>
          <w:sz w:val="16"/>
          <w:szCs w:val="16"/>
          <w:color w:val="auto"/>
        </w:rPr>
        <w:t>The Partnership’s net income (loss) is allocated wholly to the common units, as the General Partner does not have an economic interest. Payments made to the Partnership’s unitholders are determined in relation to the cash distribution policy described in Note 7—</w:t>
      </w:r>
      <w:hyperlink w:anchor="page15">
        <w:r>
          <w:rPr>
            <w:rFonts w:ascii="Arial" w:cs="Arial" w:eastAsia="Arial" w:hAnsi="Arial"/>
            <w:sz w:val="16"/>
            <w:szCs w:val="16"/>
            <w:u w:val="single" w:color="auto"/>
            <w:color w:val="0000FF"/>
          </w:rPr>
          <w:t>Unitholders' Equity and Distributions</w:t>
        </w:r>
      </w:hyperlink>
      <w:r>
        <w:rPr>
          <w:rFonts w:ascii="Arial" w:cs="Arial" w:eastAsia="Arial" w:hAnsi="Arial"/>
          <w:sz w:val="16"/>
          <w:szCs w:val="16"/>
          <w:color w:val="auto"/>
        </w:rPr>
        <w:t>.</w:t>
      </w:r>
    </w:p>
    <w:p>
      <w:pPr>
        <w:spacing w:after="0" w:line="3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and diluted earnings per common unit is calculated using the two-class method. The two class method is an earnings allocation proportional to the respective ownership among holders of common units and participating securities. 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4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7"/>
              </w:rPr>
              <w:t>Six Months Ended June 30,</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20" w:type="dxa"/>
            <w:vAlign w:val="bottom"/>
            <w:gridSpan w:val="7"/>
          </w:tcPr>
          <w:p>
            <w:pPr>
              <w:ind w:left="80"/>
              <w:spacing w:after="0"/>
              <w:rPr>
                <w:sz w:val="20"/>
                <w:szCs w:val="20"/>
                <w:color w:val="auto"/>
              </w:rPr>
            </w:pPr>
            <w:r>
              <w:rPr>
                <w:rFonts w:ascii="Arial" w:cs="Arial" w:eastAsia="Arial" w:hAnsi="Arial"/>
                <w:sz w:val="16"/>
                <w:szCs w:val="16"/>
                <w:b w:val="1"/>
                <w:bCs w:val="1"/>
                <w:color w:val="auto"/>
                <w:w w:val="92"/>
              </w:rPr>
              <w:t>(In thousands, except per unit amounts)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net income (loss) allocated to participating securities</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common unitholders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33,909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50,450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65,014</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65,151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unit, 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 per common unit,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3" w:lineRule="exact"/>
        <w:rPr>
          <w:rFonts w:ascii="Arial" w:cs="Arial" w:eastAsia="Arial" w:hAnsi="Arial"/>
          <w:sz w:val="18"/>
          <w:szCs w:val="18"/>
          <w:color w:val="auto"/>
        </w:rPr>
      </w:pPr>
    </w:p>
    <w:p>
      <w:pPr>
        <w:jc w:val="both"/>
        <w:ind w:left="340" w:hanging="332"/>
        <w:spacing w:after="0" w:line="253"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and six months ended June 30, 2022, there were no potential common units excluded from the computation of diluted earnings per common unit because their inclusion would have been anti-dilutive. For the three and six months ended June 30, 2021, 39 and 4,974, respectively, potential common units were excluded in the computation of diluted earnings per common unit because their inclusion would have been anti-dilutive as a result of recording a net loss attributable to the common unitholders for the period.</w:t>
      </w: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Partnership’s provision for (benefit from) income taxes and the effective income tax rate for the dates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2022</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r>
      <w:tr>
        <w:trPr>
          <w:trHeight w:val="210"/>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40" w:type="dxa"/>
            <w:vAlign w:val="bottom"/>
            <w:gridSpan w:val="5"/>
          </w:tcPr>
          <w:p>
            <w:pPr>
              <w:jc w:val="right"/>
              <w:ind w:right="395"/>
              <w:spacing w:after="0"/>
              <w:rPr>
                <w:sz w:val="20"/>
                <w:szCs w:val="20"/>
                <w:color w:val="auto"/>
              </w:rPr>
            </w:pPr>
            <w:r>
              <w:rPr>
                <w:rFonts w:ascii="Arial" w:cs="Arial" w:eastAsia="Arial" w:hAnsi="Arial"/>
                <w:sz w:val="16"/>
                <w:szCs w:val="16"/>
                <w:b w:val="1"/>
                <w:bCs w:val="1"/>
                <w:color w:val="auto"/>
              </w:rPr>
              <w:t>(In thousands, except for tax rate)</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6,182</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8,812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3.5 %</w:t>
            </w:r>
          </w:p>
        </w:tc>
        <w:tc>
          <w:tcPr>
            <w:tcW w:w="112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2.9 %</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0.1 %</w:t>
            </w:r>
          </w:p>
        </w:tc>
      </w:tr>
    </w:tbl>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Partnership’s effective income tax rates for the three and six months ended June 30, 2022 and 2021 differed from amounts computed by applying the United States federal statutory tax rate to pre-tax income for the period primarily due to net income attributable to the non-controlling interest and the impact of maintaining a valuation allowance on the Partnership’s deferred tax assets.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June 30, 2022 and 2021, the Partnership maintained a full valuation allowance against its deferred tax assets, based on its assessment of all available evidence, both positive and negative, supporting realizability of the Partnership’s deferred tax assets.</w:t>
      </w: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historically has used fixed price swap contracts, fixed price basis swap contracts and costless collars with corresponding put and call options to reduce price volatility associated with certain of its royalty income. At June 30, 2022, the Partnership has costless collars, put options and basis swaps outstanding.</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Put options have a defined strike price, or floor price. The Partnership pays its counterparty a premium to enter into these derivative contracts, which are deferred until settlement. When the settlement price is below the floor price, the counterparty pays the Partnership an amount equal to the difference between the settlement price and the strike price multiplied by the derivative contract volume. When the settlement price is above the floor price, the put option expires worthless.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crude oil derivative settlements based on New York Mercantile Exchange West Texas Intermediate pricing (Cushing) and with natural gas derivative settlements based on the New York Mercantile Exchange Henry Hub pricing.</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Operating Company; therefore, the Partnership is not required to post any collateral. The Partnership’s counterparties have been determined to have an acceptable credit risk; therefore, the Partnership does not require collateral from its counterparties.</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the Partnership had the following outstanding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Swaps</w:t>
            </w:r>
          </w:p>
        </w:tc>
        <w:tc>
          <w:tcPr>
            <w:tcW w:w="1520" w:type="dxa"/>
            <w:vAlign w:val="bottom"/>
          </w:tcPr>
          <w:p>
            <w:pPr>
              <w:ind w:left="1000"/>
              <w:spacing w:after="0"/>
              <w:rPr>
                <w:sz w:val="20"/>
                <w:szCs w:val="20"/>
                <w:color w:val="auto"/>
              </w:rPr>
            </w:pPr>
            <w:r>
              <w:rPr>
                <w:rFonts w:ascii="Arial" w:cs="Arial" w:eastAsia="Arial" w:hAnsi="Arial"/>
                <w:sz w:val="16"/>
                <w:szCs w:val="16"/>
                <w:b w:val="1"/>
                <w:bCs w:val="1"/>
                <w:color w:val="auto"/>
                <w:w w:val="92"/>
              </w:rPr>
              <w:t>Collars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6"/>
                <w:szCs w:val="16"/>
                <w:b w:val="1"/>
                <w:bCs w:val="1"/>
                <w:color w:val="auto"/>
              </w:rPr>
              <w:t>Puts</w:t>
            </w:r>
          </w:p>
        </w:tc>
        <w:tc>
          <w:tcPr>
            <w:tcW w:w="0" w:type="dxa"/>
            <w:vAlign w:val="bottom"/>
          </w:tcPr>
          <w:p>
            <w:pPr>
              <w:spacing w:after="0"/>
              <w:rPr>
                <w:sz w:val="1"/>
                <w:szCs w:val="1"/>
                <w:color w:val="auto"/>
              </w:rPr>
            </w:pPr>
          </w:p>
        </w:tc>
      </w:tr>
      <w:tr>
        <w:trPr>
          <w:trHeight w:val="159"/>
        </w:trPr>
        <w:tc>
          <w:tcPr>
            <w:tcW w:w="156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Settlement</w:t>
            </w:r>
          </w:p>
        </w:tc>
        <w:tc>
          <w:tcPr>
            <w:tcW w:w="146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Bbls/Mcf</w:t>
            </w:r>
          </w:p>
        </w:tc>
        <w:tc>
          <w:tcPr>
            <w:tcW w:w="1440" w:type="dxa"/>
            <w:vAlign w:val="bottom"/>
          </w:tcPr>
          <w:p>
            <w:pPr>
              <w:spacing w:after="0"/>
              <w:rPr>
                <w:sz w:val="13"/>
                <w:szCs w:val="13"/>
                <w:color w:val="auto"/>
              </w:rPr>
            </w:pPr>
          </w:p>
        </w:tc>
        <w:tc>
          <w:tcPr>
            <w:tcW w:w="12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3"/>
                <w:szCs w:val="13"/>
                <w:color w:val="auto"/>
              </w:rPr>
            </w:pPr>
          </w:p>
        </w:tc>
        <w:tc>
          <w:tcPr>
            <w:tcW w:w="1520" w:type="dxa"/>
            <w:vAlign w:val="bottom"/>
            <w:tcBorders>
              <w:top w:val="single" w:sz="8" w:color="auto"/>
            </w:tcBorders>
          </w:tcPr>
          <w:p>
            <w:pPr>
              <w:jc w:val="center"/>
              <w:ind w:right="173"/>
              <w:spacing w:after="0" w:line="158" w:lineRule="exact"/>
              <w:rPr>
                <w:sz w:val="20"/>
                <w:szCs w:val="20"/>
                <w:color w:val="auto"/>
              </w:rPr>
            </w:pPr>
            <w:r>
              <w:rPr>
                <w:rFonts w:ascii="Arial" w:cs="Arial" w:eastAsia="Arial" w:hAnsi="Arial"/>
                <w:sz w:val="16"/>
                <w:szCs w:val="16"/>
                <w:b w:val="1"/>
                <w:bCs w:val="1"/>
                <w:color w:val="auto"/>
                <w:w w:val="91"/>
              </w:rPr>
              <w:t>Weighted</w:t>
            </w:r>
          </w:p>
        </w:tc>
        <w:tc>
          <w:tcPr>
            <w:tcW w:w="980" w:type="dxa"/>
            <w:vAlign w:val="bottom"/>
            <w:tcBorders>
              <w:top w:val="single" w:sz="8" w:color="auto"/>
            </w:tcBorders>
          </w:tcPr>
          <w:p>
            <w:pPr>
              <w:jc w:val="center"/>
              <w:ind w:right="192"/>
              <w:spacing w:after="0" w:line="158"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Settlement Month</w:t>
            </w:r>
          </w:p>
        </w:tc>
        <w:tc>
          <w:tcPr>
            <w:tcW w:w="1040" w:type="dxa"/>
            <w:vAlign w:val="bottom"/>
            <w:vMerge w:val="continue"/>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Type of Contract</w:t>
            </w:r>
          </w:p>
        </w:tc>
        <w:tc>
          <w:tcPr>
            <w:tcW w:w="940" w:type="dxa"/>
            <w:vAlign w:val="bottom"/>
            <w:vMerge w:val="continue"/>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Index</w:t>
            </w: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2600" w:type="dxa"/>
            <w:vAlign w:val="bottom"/>
            <w:gridSpan w:val="3"/>
          </w:tcPr>
          <w:p>
            <w:pPr>
              <w:ind w:left="140"/>
              <w:spacing w:after="0" w:line="162" w:lineRule="exact"/>
              <w:rPr>
                <w:sz w:val="20"/>
                <w:szCs w:val="20"/>
                <w:color w:val="auto"/>
              </w:rPr>
            </w:pPr>
            <w:r>
              <w:rPr>
                <w:rFonts w:ascii="Arial" w:cs="Arial" w:eastAsia="Arial" w:hAnsi="Arial"/>
                <w:sz w:val="16"/>
                <w:szCs w:val="16"/>
                <w:b w:val="1"/>
                <w:bCs w:val="1"/>
                <w:color w:val="auto"/>
              </w:rPr>
              <w:t>Average Floor   Average Ceiling</w:t>
            </w:r>
          </w:p>
        </w:tc>
        <w:tc>
          <w:tcPr>
            <w:tcW w:w="86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3"/>
              </w:rPr>
              <w:t>Strike Price</w:t>
            </w:r>
          </w:p>
        </w:tc>
        <w:tc>
          <w:tcPr>
            <w:tcW w:w="0" w:type="dxa"/>
            <w:vAlign w:val="bottom"/>
          </w:tcPr>
          <w:p>
            <w:pPr>
              <w:spacing w:after="0"/>
              <w:rPr>
                <w:sz w:val="1"/>
                <w:szCs w:val="1"/>
                <w:color w:val="auto"/>
              </w:rPr>
            </w:pPr>
          </w:p>
        </w:tc>
      </w:tr>
      <w:tr>
        <w:trPr>
          <w:trHeight w:val="213"/>
        </w:trPr>
        <w:tc>
          <w:tcPr>
            <w:tcW w:w="1560" w:type="dxa"/>
            <w:vAlign w:val="bottom"/>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Year</w:t>
            </w:r>
          </w:p>
        </w:tc>
        <w:tc>
          <w:tcPr>
            <w:tcW w:w="1460" w:type="dxa"/>
            <w:vAlign w:val="bottom"/>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Per Day</w:t>
            </w:r>
          </w:p>
        </w:tc>
        <w:tc>
          <w:tcPr>
            <w:tcW w:w="1440" w:type="dxa"/>
            <w:vAlign w:val="bottom"/>
            <w:vMerge w:val="continue"/>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Differential</w:t>
            </w:r>
          </w:p>
        </w:tc>
        <w:tc>
          <w:tcPr>
            <w:tcW w:w="1520" w:type="dxa"/>
            <w:vAlign w:val="bottom"/>
          </w:tcPr>
          <w:p>
            <w:pPr>
              <w:jc w:val="center"/>
              <w:ind w:right="193"/>
              <w:spacing w:after="0"/>
              <w:rPr>
                <w:sz w:val="20"/>
                <w:szCs w:val="20"/>
                <w:color w:val="auto"/>
              </w:rPr>
            </w:pPr>
            <w:r>
              <w:rPr>
                <w:rFonts w:ascii="Arial" w:cs="Arial" w:eastAsia="Arial" w:hAnsi="Arial"/>
                <w:sz w:val="16"/>
                <w:szCs w:val="16"/>
                <w:b w:val="1"/>
                <w:bCs w:val="1"/>
                <w:color w:val="auto"/>
                <w:w w:val="91"/>
              </w:rPr>
              <w:t>Price</w:t>
            </w: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Price</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OIL</w:t>
            </w:r>
          </w:p>
        </w:tc>
        <w:tc>
          <w:tcPr>
            <w:tcW w:w="10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 - Sep.</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90"/>
              </w:rPr>
              <w:t>$45.00</w:t>
            </w:r>
          </w:p>
        </w:tc>
        <w:tc>
          <w:tcPr>
            <w:tcW w:w="98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90"/>
              </w:rPr>
              <w:t>$92.65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560" w:type="dxa"/>
            <w:vAlign w:val="bottom"/>
          </w:tcPr>
          <w:p>
            <w:pPr>
              <w:jc w:val="center"/>
              <w:spacing w:after="0"/>
              <w:rPr>
                <w:sz w:val="20"/>
                <w:szCs w:val="20"/>
                <w:color w:val="auto"/>
              </w:rPr>
            </w:pPr>
            <w:r>
              <w:rPr>
                <w:rFonts w:ascii="Arial" w:cs="Arial" w:eastAsia="Arial" w:hAnsi="Arial"/>
                <w:sz w:val="18"/>
                <w:szCs w:val="18"/>
                <w:color w:val="auto"/>
                <w:w w:val="92"/>
              </w:rPr>
              <w:t>Oct. - Dec.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right="173"/>
              <w:spacing w:after="0"/>
              <w:rPr>
                <w:sz w:val="20"/>
                <w:szCs w:val="20"/>
                <w:color w:val="auto"/>
              </w:rPr>
            </w:pPr>
            <w:r>
              <w:rPr>
                <w:rFonts w:ascii="Arial" w:cs="Arial" w:eastAsia="Arial" w:hAnsi="Arial"/>
                <w:sz w:val="18"/>
                <w:szCs w:val="18"/>
                <w:color w:val="auto"/>
                <w:w w:val="90"/>
              </w:rPr>
              <w:t>$50.00</w:t>
            </w:r>
          </w:p>
        </w:tc>
        <w:tc>
          <w:tcPr>
            <w:tcW w:w="980" w:type="dxa"/>
            <w:vAlign w:val="bottom"/>
          </w:tcPr>
          <w:p>
            <w:pPr>
              <w:jc w:val="center"/>
              <w:ind w:right="192"/>
              <w:spacing w:after="0"/>
              <w:rPr>
                <w:sz w:val="20"/>
                <w:szCs w:val="20"/>
                <w:color w:val="auto"/>
              </w:rPr>
            </w:pPr>
            <w:r>
              <w:rPr>
                <w:rFonts w:ascii="Arial" w:cs="Arial" w:eastAsia="Arial" w:hAnsi="Arial"/>
                <w:sz w:val="18"/>
                <w:szCs w:val="18"/>
                <w:color w:val="auto"/>
                <w:w w:val="89"/>
              </w:rPr>
              <w:t>$128.01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 - Sep.</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6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92"/>
              </w:rPr>
              <w:t>$—</w:t>
            </w:r>
          </w:p>
        </w:tc>
        <w:tc>
          <w:tcPr>
            <w:tcW w:w="10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$47.50</w:t>
            </w: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2"/>
              </w:rPr>
              <w:t>Oct. - Dec.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60" w:type="dxa"/>
            <w:vAlign w:val="bottom"/>
          </w:tcPr>
          <w:p>
            <w:pPr>
              <w:jc w:val="center"/>
              <w:spacing w:after="0" w:line="230"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right="173"/>
              <w:spacing w:after="0"/>
              <w:rPr>
                <w:sz w:val="20"/>
                <w:szCs w:val="20"/>
                <w:color w:val="auto"/>
              </w:rPr>
            </w:pPr>
            <w:r>
              <w:rPr>
                <w:rFonts w:ascii="Arial" w:cs="Arial" w:eastAsia="Arial" w:hAnsi="Arial"/>
                <w:sz w:val="18"/>
                <w:szCs w:val="18"/>
                <w:color w:val="auto"/>
                <w:w w:val="92"/>
              </w:rPr>
              <w:t>$—</w:t>
            </w: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$55.00</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 - Mar.</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6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(3)</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92"/>
              </w:rPr>
              <w:t>$—</w:t>
            </w:r>
          </w:p>
        </w:tc>
        <w:tc>
          <w:tcPr>
            <w:tcW w:w="10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55.00</w:t>
            </w:r>
          </w:p>
        </w:tc>
        <w:tc>
          <w:tcPr>
            <w:tcW w:w="0" w:type="dxa"/>
            <w:vAlign w:val="bottom"/>
          </w:tcPr>
          <w:p>
            <w:pPr>
              <w:spacing w:after="0"/>
              <w:rPr>
                <w:sz w:val="1"/>
                <w:szCs w:val="1"/>
                <w:color w:val="auto"/>
              </w:rPr>
            </w:pPr>
          </w:p>
        </w:tc>
      </w:tr>
      <w:tr>
        <w:trPr>
          <w:trHeight w:val="213"/>
        </w:trPr>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9"/>
              </w:rPr>
              <w:t>NATURAL GAS</w:t>
            </w: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 - Dec.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Henry Hub</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right="193"/>
              <w:spacing w:after="0"/>
              <w:rPr>
                <w:sz w:val="20"/>
                <w:szCs w:val="20"/>
                <w:color w:val="auto"/>
              </w:rPr>
            </w:pPr>
            <w:r>
              <w:rPr>
                <w:rFonts w:ascii="Arial" w:cs="Arial" w:eastAsia="Arial" w:hAnsi="Arial"/>
                <w:sz w:val="18"/>
                <w:szCs w:val="18"/>
                <w:color w:val="auto"/>
                <w:w w:val="88"/>
              </w:rPr>
              <w:t>$2.50</w:t>
            </w:r>
          </w:p>
        </w:tc>
        <w:tc>
          <w:tcPr>
            <w:tcW w:w="98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8"/>
              </w:rPr>
              <w:t>$4.62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304"/>
        </w:trPr>
        <w:tc>
          <w:tcPr>
            <w:tcW w:w="1560" w:type="dxa"/>
            <w:vAlign w:val="bottom"/>
          </w:tcPr>
          <w:p>
            <w:pPr>
              <w:jc w:val="center"/>
              <w:spacing w:after="0"/>
              <w:rPr>
                <w:sz w:val="20"/>
                <w:szCs w:val="20"/>
                <w:color w:val="auto"/>
              </w:rPr>
            </w:pPr>
            <w:r>
              <w:rPr>
                <w:rFonts w:ascii="Arial" w:cs="Arial" w:eastAsia="Arial" w:hAnsi="Arial"/>
                <w:sz w:val="18"/>
                <w:szCs w:val="18"/>
                <w:color w:val="auto"/>
                <w:w w:val="87"/>
              </w:rPr>
              <w:t>Jan. - Dec.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Basis Swap</w:t>
            </w:r>
            <w:r>
              <w:rPr>
                <w:rFonts w:ascii="Arial" w:cs="Arial" w:eastAsia="Arial" w:hAnsi="Arial"/>
                <w:sz w:val="23"/>
                <w:szCs w:val="23"/>
                <w:color w:val="auto"/>
                <w:w w:val="85"/>
                <w:vertAlign w:val="superscript"/>
              </w:rPr>
              <w:t>(4)</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20,000</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$(1.36)</w:t>
            </w:r>
          </w:p>
        </w:tc>
        <w:tc>
          <w:tcPr>
            <w:tcW w:w="100" w:type="dxa"/>
            <w:vAlign w:val="bottom"/>
          </w:tcPr>
          <w:p>
            <w:pPr>
              <w:spacing w:after="0"/>
              <w:rPr>
                <w:sz w:val="24"/>
                <w:szCs w:val="24"/>
                <w:color w:val="auto"/>
              </w:rPr>
            </w:pPr>
          </w:p>
        </w:tc>
        <w:tc>
          <w:tcPr>
            <w:tcW w:w="1520" w:type="dxa"/>
            <w:vAlign w:val="bottom"/>
          </w:tcPr>
          <w:p>
            <w:pPr>
              <w:jc w:val="center"/>
              <w:ind w:right="173"/>
              <w:spacing w:after="0"/>
              <w:rPr>
                <w:sz w:val="20"/>
                <w:szCs w:val="20"/>
                <w:color w:val="auto"/>
              </w:rPr>
            </w:pPr>
            <w:r>
              <w:rPr>
                <w:rFonts w:ascii="Arial" w:cs="Arial" w:eastAsia="Arial" w:hAnsi="Arial"/>
                <w:sz w:val="18"/>
                <w:szCs w:val="18"/>
                <w:color w:val="auto"/>
                <w:w w:val="92"/>
              </w:rPr>
              <w:t>$—</w:t>
            </w: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$1.52/Bbl.</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$1.54/Bbl.</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$1.87/Bbl.</w:t>
      </w:r>
    </w:p>
    <w:p>
      <w:pPr>
        <w:spacing w:after="0" w:line="9" w:lineRule="exact"/>
        <w:rPr>
          <w:rFonts w:ascii="Arial" w:cs="Arial" w:eastAsia="Arial" w:hAnsi="Arial"/>
          <w:sz w:val="18"/>
          <w:szCs w:val="18"/>
          <w:color w:val="auto"/>
        </w:rPr>
      </w:pPr>
    </w:p>
    <w:p>
      <w:pPr>
        <w:ind w:firstLine="8"/>
        <w:spacing w:after="0" w:line="323"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Partnership has fixed price basis swaps for the spread between the Henry Hub natural gas price and the Waha Hub natural gas price. The weighted average differential represents the amount of reduction to the Waha Hub natural gas price for the notional volumes covered by the basis swap contracts.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page20">
        <w:r>
          <w:rPr>
            <w:rFonts w:ascii="Arial" w:cs="Arial" w:eastAsia="Arial" w:hAnsi="Arial"/>
            <w:sz w:val="18"/>
            <w:szCs w:val="18"/>
            <w:u w:val="single" w:color="auto"/>
            <w:color w:val="0000FF"/>
          </w:rPr>
          <w:t>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236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w w:val="92"/>
              </w:rPr>
              <w:t>Six Months Ended June 30,</w:t>
            </w:r>
          </w:p>
        </w:tc>
      </w:tr>
      <w:tr>
        <w:trPr>
          <w:trHeight w:val="210"/>
        </w:trPr>
        <w:tc>
          <w:tcPr>
            <w:tcW w:w="54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09"/>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(61,050)</w:t>
            </w:r>
          </w:p>
        </w:tc>
      </w:tr>
      <w:tr>
        <w:trPr>
          <w:trHeight w:val="304"/>
        </w:trPr>
        <w:tc>
          <w:tcPr>
            <w:tcW w:w="542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(6,765)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(20,940)</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(17,029)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(35,882)</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 The six months ended June 30, 2022 includes cash paid on commodity contracts terminated prior to their contractual maturity of $4.2 million.</w:t>
      </w:r>
    </w:p>
    <w:p>
      <w:pPr>
        <w:spacing w:after="0" w:line="26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and liabilities are reported at fair value on a recurring basis,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firstLine="8"/>
        <w:spacing w:after="0" w:line="255"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in the Partnership’s condensed consolidated balance sheets as of June 30, 2022 and December 31, 2021. The net amounts are classified as current or noncurrent based on their anticipated settlement dates.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6"/>
                <w:szCs w:val="16"/>
                <w:b w:val="1"/>
                <w:bCs w:val="1"/>
                <w:color w:val="auto"/>
                <w:w w:val="90"/>
              </w:rPr>
              <w:t>As of June 30, 2022</w:t>
            </w: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55"/>
              <w:spacing w:after="0"/>
              <w:rPr>
                <w:sz w:val="20"/>
                <w:szCs w:val="20"/>
                <w:color w:val="auto"/>
              </w:rPr>
            </w:pPr>
            <w:r>
              <w:rPr>
                <w:rFonts w:ascii="Arial" w:cs="Arial" w:eastAsia="Arial" w:hAnsi="Arial"/>
                <w:sz w:val="16"/>
                <w:szCs w:val="16"/>
                <w:b w:val="1"/>
                <w:bCs w:val="1"/>
                <w:color w:val="auto"/>
                <w:w w:val="92"/>
              </w:rPr>
              <w:t>Total Gross Fair</w:t>
            </w:r>
          </w:p>
        </w:tc>
        <w:tc>
          <w:tcPr>
            <w:tcW w:w="160" w:type="dxa"/>
            <w:vAlign w:val="bottom"/>
          </w:tcPr>
          <w:p>
            <w:pPr>
              <w:spacing w:after="0"/>
              <w:rPr>
                <w:sz w:val="13"/>
                <w:szCs w:val="13"/>
                <w:color w:val="auto"/>
              </w:rPr>
            </w:pPr>
          </w:p>
        </w:tc>
        <w:tc>
          <w:tcPr>
            <w:tcW w:w="1380" w:type="dxa"/>
            <w:vAlign w:val="bottom"/>
          </w:tcPr>
          <w:p>
            <w:pPr>
              <w:jc w:val="center"/>
              <w:ind w:right="75"/>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center"/>
              <w:ind w:right="94"/>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92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left="775"/>
              <w:spacing w:after="0"/>
              <w:rPr>
                <w:sz w:val="20"/>
                <w:szCs w:val="20"/>
                <w:color w:val="auto"/>
              </w:rPr>
            </w:pPr>
            <w:r>
              <w:rPr>
                <w:rFonts w:ascii="Arial" w:cs="Arial" w:eastAsia="Arial" w:hAnsi="Arial"/>
                <w:sz w:val="16"/>
                <w:szCs w:val="16"/>
                <w:b w:val="1"/>
                <w:bCs w:val="1"/>
                <w:color w:val="auto"/>
                <w:w w:val="90"/>
              </w:rPr>
              <w:t>(In thousands)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12,871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58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12,871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(3,786)</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58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77"/>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center"/>
              <w:ind w:right="595"/>
              <w:spacing w:after="0"/>
              <w:rPr>
                <w:sz w:val="20"/>
                <w:szCs w:val="20"/>
                <w:color w:val="auto"/>
              </w:rPr>
            </w:pPr>
            <w:r>
              <w:rPr>
                <w:rFonts w:ascii="Arial" w:cs="Arial" w:eastAsia="Arial" w:hAnsi="Arial"/>
                <w:sz w:val="16"/>
                <w:szCs w:val="16"/>
                <w:b w:val="1"/>
                <w:bCs w:val="1"/>
                <w:color w:val="auto"/>
                <w:w w:val="91"/>
              </w:rPr>
              <w:t>As of December 31, 2021</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75"/>
              <w:spacing w:after="0"/>
              <w:rPr>
                <w:sz w:val="20"/>
                <w:szCs w:val="20"/>
                <w:color w:val="auto"/>
              </w:rPr>
            </w:pPr>
            <w:r>
              <w:rPr>
                <w:rFonts w:ascii="Arial" w:cs="Arial" w:eastAsia="Arial" w:hAnsi="Arial"/>
                <w:sz w:val="16"/>
                <w:szCs w:val="16"/>
                <w:b w:val="1"/>
                <w:bCs w:val="1"/>
                <w:color w:val="auto"/>
                <w:w w:val="91"/>
              </w:rPr>
              <w:t>Total Gross Fair</w:t>
            </w:r>
          </w:p>
        </w:tc>
        <w:tc>
          <w:tcPr>
            <w:tcW w:w="160" w:type="dxa"/>
            <w:vAlign w:val="bottom"/>
          </w:tcPr>
          <w:p>
            <w:pPr>
              <w:spacing w:after="0"/>
              <w:rPr>
                <w:sz w:val="13"/>
                <w:szCs w:val="13"/>
                <w:color w:val="auto"/>
              </w:rPr>
            </w:pPr>
          </w:p>
        </w:tc>
        <w:tc>
          <w:tcPr>
            <w:tcW w:w="138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center"/>
              <w:ind w:right="94"/>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9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left="775"/>
              <w:spacing w:after="0"/>
              <w:rPr>
                <w:sz w:val="20"/>
                <w:szCs w:val="20"/>
                <w:color w:val="auto"/>
              </w:rPr>
            </w:pPr>
            <w:r>
              <w:rPr>
                <w:rFonts w:ascii="Arial" w:cs="Arial" w:eastAsia="Arial" w:hAnsi="Arial"/>
                <w:sz w:val="16"/>
                <w:szCs w:val="16"/>
                <w:b w:val="1"/>
                <w:bCs w:val="1"/>
                <w:color w:val="auto"/>
                <w:w w:val="90"/>
              </w:rPr>
              <w:t>(In thousands)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5,338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58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5,338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 2022</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4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w w:val="94"/>
              </w:rPr>
              <w:t>Fair Value</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4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250,000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304,000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304,000</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424,383</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472,727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498,992</w:t>
            </w:r>
          </w:p>
        </w:tc>
      </w:tr>
    </w:tbl>
    <w:p>
      <w:pPr>
        <w:spacing w:after="0" w:line="8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carrying value includes associated deferred loan costs and any discount.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June 30, 2022 quoted market price, a Level 1 classification 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mineral and royalty interests acquired in asset acquisitions and subsequent write-downs of our proved oil and natural gas interests to fair value when they are impaired or held for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has other financial instruments consisting of cash and cash equivalents, royalty income receivable, other current assets, accounts payable and accrued liabilities. The carrying value of these instruments approximate their fair value because of the short-term nature of the instruments.</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6" w:lineRule="exact"/>
        <w:rPr>
          <w:sz w:val="20"/>
          <w:szCs w:val="20"/>
          <w:color w:val="auto"/>
        </w:rPr>
      </w:pPr>
    </w:p>
    <w:p>
      <w:pPr>
        <w:jc w:val="both"/>
        <w:ind w:right="80" w:firstLine="648"/>
        <w:spacing w:after="0" w:line="272"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26, 2022, the board of directors of the General Partner approved a cash distribution for the second quarter of 2022 of $0.81 per common unit, payable on August 23, 2022, to eligible unitholders of record at the close of business on August 16,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3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On July 26, 2022, the board of directors of the General Partner increased the authorization of its common unit repurchase program from $250.0 million to $750.0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24">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2021.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35">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4">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operate in one reportable segment. Since May 10, 2018, we have been treated as a corporation for U.S. federal income tax purposes.</w:t>
      </w:r>
    </w:p>
    <w:p>
      <w:pPr>
        <w:spacing w:after="0" w:line="211"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our General Partner held a 100% General Partner interest in us, and Diamondback owned 731,500 of our common units and beneficially owned all of our 90,709,946 outstanding Class B units, representing approximately 55% of our total units outstanding. Diamondback also owns and controls our General Partner.</w:t>
      </w:r>
    </w:p>
    <w:p>
      <w:pPr>
        <w:spacing w:after="0" w:line="207"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39" w:lineRule="exact"/>
        <w:rPr>
          <w:rFonts w:ascii="Arial" w:cs="Arial" w:eastAsia="Arial" w:hAnsi="Arial"/>
          <w:sz w:val="17"/>
          <w:szCs w:val="17"/>
          <w:i w:val="1"/>
          <w:iCs w:val="1"/>
          <w:color w:val="auto"/>
        </w:rPr>
      </w:pPr>
    </w:p>
    <w:p>
      <w:pPr>
        <w:jc w:val="both"/>
        <w:ind w:firstLine="648"/>
        <w:spacing w:after="0" w:line="225" w:lineRule="auto"/>
        <w:rPr>
          <w:sz w:val="20"/>
          <w:szCs w:val="20"/>
          <w:color w:val="auto"/>
        </w:rPr>
      </w:pPr>
      <w:r>
        <w:rPr>
          <w:rFonts w:ascii="Arial" w:cs="Arial" w:eastAsia="Arial" w:hAnsi="Arial"/>
          <w:sz w:val="18"/>
          <w:szCs w:val="18"/>
          <w:color w:val="auto"/>
        </w:rPr>
        <w:t>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During 2021 and the first half of 2022, NYMEX WTI, has ranged from $47.62 to $123.70 per Bbl, and the NYMEX Henry Hub price of natural gas has ranged from $2.45 to $9.32 per MMBtu, with seven-year highs reached in 2022. The war in Ukraine, the COVID-19 pandemic, and recent measures to combat inflation have continued to contribute to economic and pricing volatility during 2022. Additionally, OPEC and its non-OPEC allies, known collectively as OPEC+, continues to meet regularly to evaluate the state of global oil supply, demand and inventory levels, and has planned production increases throughout 2022, however such increases cannot be guaranteed. As such, pricing may remain volatile during the second half of 2022.</w:t>
      </w:r>
    </w:p>
    <w:p>
      <w:pPr>
        <w:spacing w:after="0" w:line="203" w:lineRule="exact"/>
        <w:rPr>
          <w:rFonts w:ascii="Arial" w:cs="Arial" w:eastAsia="Arial" w:hAnsi="Arial"/>
          <w:sz w:val="17"/>
          <w:szCs w:val="17"/>
          <w:i w:val="1"/>
          <w:iCs w:val="1"/>
          <w:color w:val="auto"/>
        </w:rPr>
      </w:pPr>
    </w:p>
    <w:p>
      <w:pPr>
        <w:jc w:val="both"/>
        <w:ind w:firstLine="648"/>
        <w:spacing w:after="0" w:line="242" w:lineRule="auto"/>
        <w:rPr>
          <w:sz w:val="20"/>
          <w:szCs w:val="20"/>
          <w:color w:val="auto"/>
        </w:rPr>
      </w:pPr>
      <w:r>
        <w:rPr>
          <w:rFonts w:ascii="Arial" w:cs="Arial" w:eastAsia="Arial" w:hAnsi="Arial"/>
          <w:sz w:val="17"/>
          <w:szCs w:val="17"/>
          <w:color w:val="auto"/>
        </w:rPr>
        <w:t>Although demand for oil and natural gas and commodity prices have increased in the current year, Diamondback and certain of our other operators have kept production on our acreage relatively flat during 2022, using excess cash flow for debt repayment and/or return to their stockholders rather than expanding their drilling programs. Diamondback also indicated that it intends to continue exercising capital discipline and will maintain its fourth quarter 2021 oil production levels flat in 2022. We cannot reasonably predict whether production levels will remain at current levels or the impact the full extent of the events above and subsequent recovery may have on our industry and our business.</w:t>
      </w:r>
    </w:p>
    <w:p>
      <w:pPr>
        <w:spacing w:after="0" w:line="202" w:lineRule="exact"/>
        <w:rPr>
          <w:rFonts w:ascii="Arial" w:cs="Arial" w:eastAsia="Arial" w:hAnsi="Arial"/>
          <w:sz w:val="17"/>
          <w:szCs w:val="17"/>
          <w:i w:val="1"/>
          <w:iCs w:val="1"/>
          <w:color w:val="auto"/>
        </w:rPr>
      </w:pPr>
    </w:p>
    <w:p>
      <w:pPr>
        <w:jc w:val="both"/>
        <w:ind w:firstLine="648"/>
        <w:spacing w:after="0" w:line="266" w:lineRule="auto"/>
        <w:rPr>
          <w:sz w:val="20"/>
          <w:szCs w:val="20"/>
          <w:color w:val="auto"/>
        </w:rPr>
      </w:pPr>
      <w:r>
        <w:rPr>
          <w:rFonts w:ascii="Arial" w:cs="Arial" w:eastAsia="Arial" w:hAnsi="Arial"/>
          <w:sz w:val="16"/>
          <w:szCs w:val="16"/>
          <w:color w:val="auto"/>
        </w:rPr>
        <w:t>Due to the improved commodity prices and industry conditions, we were not required to record an impairment on our proved oil and natural gas interests for the quarter ended June 30, 2022, based on the results of the quarterly ceiling test. If commodity prices fall below current levels,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spacing w:after="0" w:line="197"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Acquisitions Update</w:t>
      </w:r>
    </w:p>
    <w:p>
      <w:pPr>
        <w:spacing w:after="0" w:line="252" w:lineRule="exact"/>
        <w:rPr>
          <w:rFonts w:ascii="Arial" w:cs="Arial" w:eastAsia="Arial" w:hAnsi="Arial"/>
          <w:sz w:val="17"/>
          <w:szCs w:val="17"/>
          <w:i w:val="1"/>
          <w:iCs w:val="1"/>
          <w:color w:val="auto"/>
        </w:rPr>
      </w:pPr>
    </w:p>
    <w:p>
      <w:pPr>
        <w:ind w:left="660"/>
        <w:spacing w:after="0"/>
        <w:rPr>
          <w:sz w:val="20"/>
          <w:szCs w:val="20"/>
          <w:color w:val="auto"/>
        </w:rPr>
      </w:pPr>
      <w:r>
        <w:rPr>
          <w:rFonts w:ascii="Arial" w:cs="Arial" w:eastAsia="Arial" w:hAnsi="Arial"/>
          <w:sz w:val="16"/>
          <w:szCs w:val="16"/>
          <w:color w:val="auto"/>
        </w:rPr>
        <w:t>We have had no significant acquisitions during of 2022. Our footprint of mineral and royalty interests totaled 26,718 net royalty acres at June 30,</w:t>
      </w:r>
    </w:p>
    <w:p>
      <w:pPr>
        <w:spacing w:after="0" w:line="4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color w:val="auto"/>
        </w:rPr>
        <w:t>2022.</w:t>
      </w:r>
    </w:p>
    <w:p>
      <w:pPr>
        <w:spacing w:after="0" w:line="238"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39" w:lineRule="exact"/>
        <w:rPr>
          <w:rFonts w:ascii="Arial" w:cs="Arial" w:eastAsia="Arial" w:hAnsi="Arial"/>
          <w:sz w:val="17"/>
          <w:szCs w:val="17"/>
          <w:i w:val="1"/>
          <w:iCs w:val="1"/>
          <w:color w:val="auto"/>
        </w:rPr>
      </w:pPr>
    </w:p>
    <w:p>
      <w:pPr>
        <w:ind w:left="40" w:firstLine="648"/>
        <w:spacing w:after="0" w:line="246" w:lineRule="auto"/>
        <w:rPr>
          <w:sz w:val="20"/>
          <w:szCs w:val="20"/>
          <w:color w:val="auto"/>
        </w:rPr>
      </w:pPr>
      <w:r>
        <w:rPr>
          <w:rFonts w:ascii="Arial" w:cs="Arial" w:eastAsia="Arial" w:hAnsi="Arial"/>
          <w:sz w:val="18"/>
          <w:szCs w:val="18"/>
          <w:color w:val="auto"/>
        </w:rPr>
        <w:t>On July 26, 2022, the board of directors of our General Partner declared a cash distribution for the three months ended June 30, 2022 of $0.81 per common unit. The distribution is payable in the third quarter of 2022.</w:t>
      </w:r>
    </w:p>
    <w:p>
      <w:pPr>
        <w:spacing w:after="0" w:line="197" w:lineRule="exact"/>
        <w:rPr>
          <w:rFonts w:ascii="Arial" w:cs="Arial" w:eastAsia="Arial" w:hAnsi="Arial"/>
          <w:sz w:val="17"/>
          <w:szCs w:val="17"/>
          <w:i w:val="1"/>
          <w:iCs w:val="1"/>
          <w:color w:val="auto"/>
        </w:rPr>
      </w:pPr>
    </w:p>
    <w:p>
      <w:pPr>
        <w:jc w:val="both"/>
        <w:ind w:firstLine="648"/>
        <w:spacing w:after="0" w:line="235" w:lineRule="auto"/>
        <w:rPr>
          <w:sz w:val="20"/>
          <w:szCs w:val="20"/>
          <w:color w:val="auto"/>
        </w:rPr>
      </w:pPr>
      <w:r>
        <w:rPr>
          <w:rFonts w:ascii="Arial" w:cs="Arial" w:eastAsia="Arial" w:hAnsi="Arial"/>
          <w:sz w:val="18"/>
          <w:szCs w:val="18"/>
          <w:color w:val="auto"/>
        </w:rPr>
        <w:t>In July 2022, the board of directors of our General Partner approved a distribution policy, consisting of a base and variable distribution, that takes into account capital returned to unitholders via our unit buyback program. This policy will be effective beginning with our distribution payable following the third quarter of 2022 and contemplates that we will return to our</w:t>
      </w:r>
    </w:p>
    <w:p>
      <w:pPr>
        <w:spacing w:after="0" w:line="200" w:lineRule="exact"/>
        <w:rPr>
          <w:rFonts w:ascii="Arial" w:cs="Arial" w:eastAsia="Arial" w:hAnsi="Arial"/>
          <w:sz w:val="17"/>
          <w:szCs w:val="17"/>
          <w:i w:val="1"/>
          <w:iCs w:val="1"/>
          <w:color w:val="auto"/>
        </w:rPr>
      </w:pPr>
    </w:p>
    <w:p>
      <w:pPr>
        <w:spacing w:after="0" w:line="326"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unitholders at least 75% of our cash available for distribution through a combination of base distribution, variable distribution and repurchases of limited partner units. The base distribution is intended initially to be $0.25 per unit quarterly ($1.00 per unit annually).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During the second quarter of 2022, the Partnership repurchased an aggregate $49.6 million principal amount of its outstanding 5.375% 2027 Senior Notes with a combination of cash on hand and borrowing under the Operating Company’s revolving credit facility. For additional discussion of our debt transactions during the second quarter of 2022, see Note 6—</w:t>
      </w:r>
      <w:hyperlink w:anchor="page15">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elsewhere in this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Third party operated net wells turned to production on our acreage during the second quarter of 2022 are at their highest level since the second quarter of 2019, and third party operated gross wells turned to production during the quarter were the highest in the Partnership’s history. There are currently 47 rigs operating on our mineral and royalty acreage, seven of which are operated by Diamondback. Our production and free cash flow outlooks are expected to be driven by Diamondback’s continued focus on developing our acreage, as well as our exposure to other well-capitalized operators in the Permian Basin. As a result of Diamondback’s consistent focus on developing our high concentration royalty acreage, primarily in the Northern Midland Basin, we increased our full year 2022 guidance for oil production by approximately 4% at the midpoint from the previous guidance.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gross well information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Diamondback</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Third Party</w:t>
            </w:r>
          </w:p>
        </w:tc>
        <w:tc>
          <w:tcPr>
            <w:tcW w:w="110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Horizontal wells turned to production (second quarter 2022)</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8.9 %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Horizontal producing well count (as of July 13, 2022):</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Horizontal active development well count (as of July 13, 2022)</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Line of sight wells (as of July 13, 2022)</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lateral length of 9,785.</w:t>
      </w:r>
    </w:p>
    <w:p>
      <w:pPr>
        <w:spacing w:after="0" w:line="11" w:lineRule="exact"/>
        <w:rPr>
          <w:rFonts w:ascii="Arial" w:cs="Arial" w:eastAsia="Arial" w:hAnsi="Arial"/>
          <w:sz w:val="18"/>
          <w:szCs w:val="18"/>
          <w:color w:val="auto"/>
        </w:rPr>
      </w:pPr>
    </w:p>
    <w:p>
      <w:pPr>
        <w:ind w:left="260" w:hanging="252"/>
        <w:spacing w:after="0" w:line="234" w:lineRule="auto"/>
        <w:tabs>
          <w:tab w:leader="none" w:pos="2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550 gross wells currently in the process of active development are those wells that have been spud and are expected to be turned to production within approximately the next six to eight months.</w:t>
      </w:r>
    </w:p>
    <w:p>
      <w:pPr>
        <w:spacing w:after="0" w:line="1" w:lineRule="exact"/>
        <w:rPr>
          <w:rFonts w:ascii="Arial" w:cs="Arial" w:eastAsia="Arial" w:hAnsi="Arial"/>
          <w:sz w:val="18"/>
          <w:szCs w:val="18"/>
          <w:color w:val="auto"/>
        </w:rPr>
      </w:pPr>
    </w:p>
    <w:p>
      <w:pPr>
        <w:jc w:val="both"/>
        <w:ind w:left="260" w:hanging="252"/>
        <w:spacing w:after="0" w:line="238" w:lineRule="auto"/>
        <w:tabs>
          <w:tab w:leader="none" w:pos="2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558 gross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March 31, 2022</w:t>
      </w:r>
    </w:p>
    <w:p>
      <w:pPr>
        <w:spacing w:after="0" w:line="252"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As noted in “</w:t>
      </w:r>
      <w:r>
        <w:rPr>
          <w:rFonts w:ascii="Arial" w:cs="Arial" w:eastAsia="Arial" w:hAnsi="Arial"/>
          <w:sz w:val="18"/>
          <w:szCs w:val="18"/>
          <w:i w:val="1"/>
          <w:iCs w:val="1"/>
          <w:color w:val="auto"/>
        </w:rPr>
        <w:t>—</w:t>
      </w:r>
      <w:hyperlink w:anchor="page23">
        <w:r>
          <w:rPr>
            <w:rFonts w:ascii="Arial" w:cs="Arial" w:eastAsia="Arial" w:hAnsi="Arial"/>
            <w:sz w:val="18"/>
            <w:szCs w:val="18"/>
            <w:i w:val="1"/>
            <w:iCs w:val="1"/>
            <w:u w:val="single" w:color="auto"/>
            <w:color w:val="0000FF"/>
          </w:rPr>
          <w:t>Recent Developments</w:t>
        </w:r>
      </w:hyperlink>
      <w:r>
        <w:rPr>
          <w:rFonts w:ascii="Arial" w:cs="Arial" w:eastAsia="Arial" w:hAnsi="Arial"/>
          <w:sz w:val="18"/>
          <w:szCs w:val="18"/>
          <w:i w:val="1"/>
          <w:iCs w:val="1"/>
          <w:color w:val="auto"/>
        </w:rPr>
        <w:t>,</w:t>
      </w:r>
      <w:r>
        <w:rPr>
          <w:rFonts w:ascii="Arial" w:cs="Arial" w:eastAsia="Arial" w:hAnsi="Arial"/>
          <w:sz w:val="18"/>
          <w:szCs w:val="18"/>
          <w:color w:val="auto"/>
        </w:rPr>
        <w:t>” 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March 31, 2022</w:t>
            </w:r>
          </w:p>
        </w:tc>
      </w:tr>
      <w:tr>
        <w:trPr>
          <w:trHeight w:val="209"/>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gridSpan w:val="4"/>
          </w:tcPr>
          <w:p>
            <w:pPr>
              <w:jc w:val="right"/>
              <w:ind w:right="1210"/>
              <w:spacing w:after="0"/>
              <w:rPr>
                <w:sz w:val="20"/>
                <w:szCs w:val="20"/>
                <w:color w:val="auto"/>
              </w:rPr>
            </w:pPr>
            <w:r>
              <w:rPr>
                <w:rFonts w:ascii="Arial" w:cs="Arial" w:eastAsia="Arial" w:hAnsi="Arial"/>
                <w:sz w:val="16"/>
                <w:szCs w:val="16"/>
                <w:b w:val="1"/>
                <w:bCs w:val="1"/>
                <w:color w:val="auto"/>
              </w:rPr>
              <w:t>(In thousands)</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191,195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155,051</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22,848</w:t>
            </w:r>
          </w:p>
        </w:tc>
      </w:tr>
      <w:tr>
        <w:trPr>
          <w:trHeight w:val="223"/>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193,089</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Lease bonus income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8,682</w:t>
            </w: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7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201,903</w:t>
            </w:r>
          </w:p>
        </w:tc>
      </w:tr>
      <w:tr>
        <w:trPr>
          <w:trHeight w:val="19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13,870</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Depletion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r>
      <w:tr>
        <w:trPr>
          <w:trHeight w:val="223"/>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43,234</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189,441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158,669</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(9,645)</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(27,998)</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177,802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130,671</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171,620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128,041</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111,436</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16,605</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6"/>
                <w:szCs w:val="16"/>
                <w:b w:val="1"/>
                <w:bCs w:val="1"/>
                <w:color w:val="auto"/>
              </w:rPr>
              <w:t>March 31, 2022</w:t>
            </w:r>
          </w:p>
        </w:tc>
      </w:tr>
      <w:tr>
        <w:trPr>
          <w:trHeight w:val="199"/>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29"/>
        </w:trPr>
        <w:tc>
          <w:tcPr>
            <w:tcW w:w="770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1,633</w:t>
            </w:r>
          </w:p>
        </w:tc>
      </w:tr>
      <w:tr>
        <w:trPr>
          <w:trHeight w:val="23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r>
      <w:tr>
        <w:trPr>
          <w:trHeight w:val="229"/>
        </w:trPr>
        <w:tc>
          <w:tcPr>
            <w:tcW w:w="770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7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70"/>
        </w:trPr>
        <w:tc>
          <w:tcPr>
            <w:tcW w:w="7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9"/>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w:t>
            </w:r>
          </w:p>
        </w:tc>
      </w:tr>
      <w:tr>
        <w:trPr>
          <w:trHeight w:val="229"/>
        </w:trPr>
        <w:tc>
          <w:tcPr>
            <w:tcW w:w="770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31,567</w:t>
            </w:r>
          </w:p>
        </w:tc>
      </w:tr>
      <w:tr>
        <w:trPr>
          <w:trHeight w:val="270"/>
        </w:trPr>
        <w:tc>
          <w:tcPr>
            <w:tcW w:w="7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2"/>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r>
      <w:tr>
        <w:trPr>
          <w:trHeight w:val="229"/>
        </w:trPr>
        <w:tc>
          <w:tcPr>
            <w:tcW w:w="770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29"/>
        </w:trPr>
        <w:tc>
          <w:tcPr>
            <w:tcW w:w="7700" w:type="dxa"/>
            <w:vAlign w:val="bottom"/>
          </w:tcPr>
          <w:p>
            <w:pPr>
              <w:ind w:left="180"/>
              <w:spacing w:after="0" w:line="230"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67.97</w:t>
            </w:r>
          </w:p>
        </w:tc>
      </w:tr>
      <w:tr>
        <w:trPr>
          <w:trHeight w:val="270"/>
        </w:trPr>
        <w:tc>
          <w:tcPr>
            <w:tcW w:w="7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29"/>
        </w:trPr>
        <w:tc>
          <w:tcPr>
            <w:tcW w:w="770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92.05</w:t>
            </w:r>
          </w:p>
        </w:tc>
      </w:tr>
      <w:tr>
        <w:trPr>
          <w:trHeight w:val="230"/>
        </w:trPr>
        <w:tc>
          <w:tcPr>
            <w:tcW w:w="7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770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38.99</w:t>
            </w:r>
          </w:p>
        </w:tc>
      </w:tr>
      <w:tr>
        <w:trPr>
          <w:trHeight w:val="230"/>
        </w:trPr>
        <w:tc>
          <w:tcPr>
            <w:tcW w:w="7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r>
      <w:tr>
        <w:trPr>
          <w:trHeight w:val="270"/>
        </w:trPr>
        <w:tc>
          <w:tcPr>
            <w:tcW w:w="7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7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7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9.65</w:t>
            </w:r>
          </w:p>
        </w:tc>
      </w:tr>
    </w:tbl>
    <w:p>
      <w:pPr>
        <w:spacing w:after="0" w:line="7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royalty income is a function of oil, natural gas, and natural gas liquids production volumes sold and average prices received for those volumes.</w:t>
      </w:r>
    </w:p>
    <w:p>
      <w:pPr>
        <w:spacing w:after="0" w:line="197" w:lineRule="exact"/>
        <w:rPr>
          <w:sz w:val="20"/>
          <w:szCs w:val="20"/>
          <w:color w:val="auto"/>
        </w:rPr>
      </w:pPr>
    </w:p>
    <w:p>
      <w:pPr>
        <w:jc w:val="both"/>
        <w:ind w:firstLine="648"/>
        <w:spacing w:after="0" w:line="263" w:lineRule="auto"/>
        <w:rPr>
          <w:rFonts w:ascii="Arial" w:cs="Arial" w:eastAsia="Arial" w:hAnsi="Arial"/>
          <w:sz w:val="18"/>
          <w:szCs w:val="18"/>
          <w:i w:val="1"/>
          <w:iCs w:val="1"/>
          <w:color w:val="0000FF"/>
        </w:rPr>
      </w:pPr>
      <w:hyperlink w:anchor="page23">
        <w:r>
          <w:rPr>
            <w:rFonts w:ascii="Arial" w:cs="Arial" w:eastAsia="Arial" w:hAnsi="Arial"/>
            <w:sz w:val="18"/>
            <w:szCs w:val="18"/>
            <w:color w:val="auto"/>
          </w:rPr>
          <w:t>Royalty income increased $45.7 million during the second quarter of 2022, compared to the first quarter of 2022. As discussed in “—</w:t>
        </w:r>
        <w:r>
          <w:rPr>
            <w:rFonts w:ascii="Arial" w:cs="Arial" w:eastAsia="Arial" w:hAnsi="Arial"/>
            <w:sz w:val="18"/>
            <w:szCs w:val="18"/>
            <w:i w:val="1"/>
            <w:iCs w:val="1"/>
            <w:u w:val="single" w:color="auto"/>
            <w:color w:val="0000FF"/>
          </w:rPr>
          <w:t>Recent</w:t>
        </w:r>
      </w:hyperlink>
      <w:r>
        <w:rPr>
          <w:rFonts w:ascii="Arial" w:cs="Arial" w:eastAsia="Arial" w:hAnsi="Arial"/>
          <w:sz w:val="18"/>
          <w:szCs w:val="18"/>
          <w:color w:val="auto"/>
        </w:rPr>
        <w:t xml:space="preserve"> </w:t>
      </w:r>
      <w:hyperlink w:anchor="page23">
        <w:r>
          <w:rPr>
            <w:rFonts w:ascii="Arial" w:cs="Arial" w:eastAsia="Arial" w:hAnsi="Arial"/>
            <w:sz w:val="18"/>
            <w:szCs w:val="18"/>
            <w:i w:val="1"/>
            <w:iCs w:val="1"/>
            <w:u w:val="single" w:color="auto"/>
            <w:color w:val="0000FF"/>
          </w:rPr>
          <w:t>Developments</w:t>
        </w:r>
        <w:r>
          <w:rPr>
            <w:rFonts w:ascii="Arial" w:cs="Arial" w:eastAsia="Arial" w:hAnsi="Arial"/>
            <w:sz w:val="18"/>
            <w:szCs w:val="18"/>
            <w:i w:val="1"/>
            <w:iCs w:val="1"/>
            <w:color w:val="000000"/>
          </w:rPr>
          <w:t>,”</w:t>
        </w:r>
        <w:r>
          <w:rPr>
            <w:rFonts w:ascii="Arial" w:cs="Arial" w:eastAsia="Arial" w:hAnsi="Arial"/>
            <w:sz w:val="18"/>
            <w:szCs w:val="18"/>
            <w:i w:val="1"/>
            <w:iCs w:val="1"/>
            <w:color w:val="0000FF"/>
          </w:rPr>
          <w:t xml:space="preserve"> </w:t>
        </w:r>
        <w:r>
          <w:rPr>
            <w:rFonts w:ascii="Arial" w:cs="Arial" w:eastAsia="Arial" w:hAnsi="Arial"/>
            <w:sz w:val="18"/>
            <w:szCs w:val="18"/>
            <w:color w:val="000000"/>
          </w:rPr>
          <w:t>higher oil prices and to a lesser extent, natural gas and natural gas liquids prices, contributed approximately $28.5 million of the total</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increase.</w:t>
      </w:r>
    </w:p>
    <w:p>
      <w:pPr>
        <w:spacing w:after="0" w:line="19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remaining increase of $17.2 million stemmed from production growth of 8% primarily attributable to production from new wells and having one additional day of production in the second quarter of 2022 compared to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Bonus Income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Lease bonus income decreased during the second quarter of 2022 as a result of recording non-recurring income from leasing certain assets we acquired in the Swallowtail Acquisition to Diamondback in the first quarter of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production and ad valorem taxes for the three months ended June 30, 2022 and March 31,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June 30, 2022</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March 31, 2022</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374"/>
              <w:spacing w:after="0" w:line="158"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374"/>
              <w:spacing w:after="0" w:line="158"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Arial" w:cs="Arial" w:eastAsia="Arial" w:hAnsi="Arial"/>
                <w:sz w:val="16"/>
                <w:szCs w:val="16"/>
                <w:b w:val="1"/>
                <w:bCs w:val="1"/>
                <w:color w:val="auto"/>
                <w:w w:val="94"/>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Royalty Income</w:t>
            </w:r>
          </w:p>
        </w:tc>
        <w:tc>
          <w:tcPr>
            <w:tcW w:w="18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Arial" w:cs="Arial" w:eastAsia="Arial" w:hAnsi="Arial"/>
                <w:sz w:val="16"/>
                <w:szCs w:val="16"/>
                <w:b w:val="1"/>
                <w:bCs w:val="1"/>
                <w:color w:val="auto"/>
                <w:w w:val="94"/>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5.1 %</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7.2 %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royalty income for the second quarter of 2022 remained consistent with the first quarter of 2022. Ad valorem taxes are based, among other factors, on property values driven by prior year commodity prices. Ad valorem taxes were consistent between periods and decreased as a percentage of royalty income for the second quarter of 2022 compared to the first quarter of 2022, primarily due to the increase in royalty income from higher oil and natural gas prices.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$4.6 million, or 17%, increase in depletion expense for the second quarter of 2022 compared to the first quarter of 2022 was due primarily to higher production, coupled with an increase in the average depletion rate to $10.47 from $9.65, respectively. The rate increase resulted from higher value leasehold being transferred into the amortization base during the second quarter of 2022.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March 31, 2022</w:t>
            </w:r>
          </w:p>
        </w:tc>
      </w:tr>
      <w:tr>
        <w:trPr>
          <w:trHeight w:val="209"/>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gridSpan w:val="3"/>
          </w:tcPr>
          <w:p>
            <w:pPr>
              <w:jc w:val="right"/>
              <w:ind w:right="117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w:t>
            </w:r>
          </w:p>
        </w:tc>
      </w:tr>
      <w:tr>
        <w:trPr>
          <w:trHeight w:val="304"/>
        </w:trPr>
        <w:tc>
          <w:tcPr>
            <w:tcW w:w="770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(6,765)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(10,264)</w:t>
            </w:r>
          </w:p>
        </w:tc>
      </w:tr>
    </w:tbl>
    <w:p>
      <w:pPr>
        <w:spacing w:after="0"/>
        <w:rPr>
          <w:sz w:val="20"/>
          <w:szCs w:val="20"/>
          <w:color w:val="auto"/>
        </w:rPr>
      </w:pPr>
      <w:r>
        <w:rPr>
          <w:rFonts w:ascii="Arial" w:cs="Arial" w:eastAsia="Arial" w:hAnsi="Arial"/>
          <w:sz w:val="17"/>
          <w:szCs w:val="17"/>
          <w:color w:val="auto"/>
        </w:rPr>
        <w:t>(1) The three months ended March 31, 2022 includes cash paid on commodity contracts terminated prior to their contractual maturity of $4.2 million.</w:t>
      </w:r>
    </w:p>
    <w:p>
      <w:pPr>
        <w:spacing w:after="0" w:line="255" w:lineRule="exact"/>
        <w:rPr>
          <w:sz w:val="20"/>
          <w:szCs w:val="20"/>
          <w:color w:val="auto"/>
        </w:rPr>
      </w:pPr>
    </w:p>
    <w:p>
      <w:pPr>
        <w:jc w:val="both"/>
        <w:ind w:firstLine="648"/>
        <w:spacing w:after="0" w:line="290" w:lineRule="auto"/>
        <w:rPr>
          <w:rFonts w:ascii="Arial" w:cs="Arial" w:eastAsia="Arial" w:hAnsi="Arial"/>
          <w:sz w:val="16"/>
          <w:szCs w:val="16"/>
          <w:color w:val="auto"/>
        </w:rPr>
      </w:pPr>
      <w:r>
        <w:rPr>
          <w:rFonts w:ascii="Arial" w:cs="Arial" w:eastAsia="Arial" w:hAnsi="Arial"/>
          <w:sz w:val="16"/>
          <w:szCs w:val="16"/>
          <w:color w:val="auto"/>
        </w:rPr>
        <w:t>We recorded losses on our derivative instruments for the first and second quarters of 2022 primarily due to market prices being higher than the strike prices on our derivative contracts. However, due to the early termination of certain commodity contracts in the first quarter of 2022 and the continued settlement of contracts with more unfavorable pricing in the second quarter of 2022, market prices were closer to the strike prices on our open contracts at June 30, 2022 compared to March 31, 2022, which reduced our overall loss.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 See Note 10—</w:t>
      </w:r>
      <w:hyperlink w:anchor="page18">
        <w:r>
          <w:rPr>
            <w:rFonts w:ascii="Arial" w:cs="Arial" w:eastAsia="Arial" w:hAnsi="Arial"/>
            <w:sz w:val="16"/>
            <w:szCs w:val="16"/>
            <w:u w:val="single" w:color="auto"/>
            <w:color w:val="0000FF"/>
          </w:rPr>
          <w:t>Derivatives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condensed consolidated financial statements included elsewhere in this report for additional discussion of our open contracts at June 30, 2022.</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9" w:lineRule="exact"/>
        <w:rPr>
          <w:sz w:val="20"/>
          <w:szCs w:val="20"/>
          <w:color w:val="auto"/>
        </w:rPr>
      </w:pPr>
    </w:p>
    <w:p>
      <w:pPr>
        <w:jc w:val="both"/>
        <w:ind w:right="20" w:firstLine="648"/>
        <w:spacing w:after="0" w:line="253" w:lineRule="auto"/>
        <w:rPr>
          <w:rFonts w:ascii="Arial" w:cs="Arial" w:eastAsia="Arial" w:hAnsi="Arial"/>
          <w:sz w:val="17"/>
          <w:szCs w:val="17"/>
          <w:color w:val="auto"/>
        </w:rPr>
      </w:pPr>
      <w:r>
        <w:rPr>
          <w:rFonts w:ascii="Arial" w:cs="Arial" w:eastAsia="Arial" w:hAnsi="Arial"/>
          <w:sz w:val="17"/>
          <w:szCs w:val="17"/>
          <w:color w:val="auto"/>
        </w:rPr>
        <w:t>The $3.6 million increase in income tax expense for the second quarter of 2022 compared to the first quarter of 2022. primarily resulted from higher pre-tax net income driven primarily by an increase in royalty income and a decrease in losses on our derivative contracts as discussed above. See Note 9—</w:t>
      </w:r>
      <w:hyperlink w:anchor="page18">
        <w:r>
          <w:rPr>
            <w:rFonts w:ascii="Arial" w:cs="Arial" w:eastAsia="Arial" w:hAnsi="Arial"/>
            <w:sz w:val="17"/>
            <w:szCs w:val="17"/>
            <w:u w:val="single" w:color="auto"/>
            <w:color w:val="0000FF"/>
          </w:rPr>
          <w:t>Income Taxes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elsewhere in this report for further details.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09"/>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18"/>
                <w:szCs w:val="18"/>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346,246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172,296</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19,097</w:t>
            </w:r>
          </w:p>
        </w:tc>
      </w:tr>
      <w:tr>
        <w:trPr>
          <w:trHeight w:val="223"/>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209,970</w:t>
            </w: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Lease bonus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441,225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211,126</w:t>
            </w:r>
          </w:p>
        </w:tc>
      </w:tr>
      <w:tr>
        <w:trPr>
          <w:trHeight w:val="19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29,909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14,801</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Depletion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48,864</w:t>
            </w: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68,048</w:t>
            </w: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348,110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143,078</w:t>
            </w: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(19,427)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(15,833)</w:t>
            </w: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(61,050)</w:t>
            </w: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(76,806)</w:t>
            </w: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308,473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66,272</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299,661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66,237</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249,034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64,595</w:t>
            </w: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8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8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r>
      <w:tr>
        <w:trPr>
          <w:trHeight w:val="270"/>
        </w:trPr>
        <w:tc>
          <w:tcPr>
            <w:tcW w:w="8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w:t>
            </w: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26,707</w:t>
            </w:r>
          </w:p>
        </w:tc>
      </w:tr>
      <w:tr>
        <w:trPr>
          <w:trHeight w:val="270"/>
        </w:trPr>
        <w:tc>
          <w:tcPr>
            <w:tcW w:w="8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r>
      <w:tr>
        <w:trPr>
          <w:trHeight w:val="229"/>
        </w:trPr>
        <w:tc>
          <w:tcPr>
            <w:tcW w:w="8320" w:type="dxa"/>
            <w:vAlign w:val="bottom"/>
          </w:tcPr>
          <w:p>
            <w:pPr>
              <w:ind w:left="180"/>
              <w:spacing w:after="0" w:line="230"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73.27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43.44</w:t>
            </w:r>
          </w:p>
        </w:tc>
      </w:tr>
      <w:tr>
        <w:trPr>
          <w:trHeight w:val="270"/>
        </w:trPr>
        <w:tc>
          <w:tcPr>
            <w:tcW w:w="8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9"/>
        </w:trPr>
        <w:tc>
          <w:tcPr>
            <w:tcW w:w="832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47.07</w:t>
            </w:r>
          </w:p>
        </w:tc>
      </w:tr>
      <w:tr>
        <w:trPr>
          <w:trHeight w:val="230"/>
        </w:trPr>
        <w:tc>
          <w:tcPr>
            <w:tcW w:w="8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832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30"/>
        </w:trPr>
        <w:tc>
          <w:tcPr>
            <w:tcW w:w="8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r>
      <w:tr>
        <w:trPr>
          <w:trHeight w:val="270"/>
        </w:trPr>
        <w:tc>
          <w:tcPr>
            <w:tcW w:w="8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8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10.11</w:t>
            </w:r>
          </w:p>
        </w:tc>
      </w:tr>
    </w:tbl>
    <w:p>
      <w:pPr>
        <w:spacing w:after="0" w:line="7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royalty income is a function of oil, natural gas, and natural gas liquids production volumes sold and average prices received for those volumes.</w:t>
      </w:r>
    </w:p>
    <w:p>
      <w:pPr>
        <w:spacing w:after="0" w:line="197" w:lineRule="exact"/>
        <w:rPr>
          <w:sz w:val="20"/>
          <w:szCs w:val="20"/>
          <w:color w:val="auto"/>
        </w:rPr>
      </w:pPr>
    </w:p>
    <w:p>
      <w:pPr>
        <w:jc w:val="both"/>
        <w:ind w:firstLine="648"/>
        <w:spacing w:after="0" w:line="263" w:lineRule="auto"/>
        <w:rPr>
          <w:rFonts w:ascii="Arial" w:cs="Arial" w:eastAsia="Arial" w:hAnsi="Arial"/>
          <w:sz w:val="18"/>
          <w:szCs w:val="18"/>
          <w:i w:val="1"/>
          <w:iCs w:val="1"/>
          <w:color w:val="0000FF"/>
        </w:rPr>
      </w:pPr>
      <w:r>
        <w:rPr>
          <w:rFonts w:ascii="Arial" w:cs="Arial" w:eastAsia="Arial" w:hAnsi="Arial"/>
          <w:sz w:val="18"/>
          <w:szCs w:val="18"/>
          <w:color w:val="auto"/>
        </w:rPr>
        <w:t xml:space="preserve">Royalty income increased $221.9 million during the six months ended June 30, 2022 compared to the same period in 2021. As discussed in “— </w:t>
      </w:r>
      <w:hyperlink w:anchor="page23">
        <w:r>
          <w:rPr>
            <w:rFonts w:ascii="Arial" w:cs="Arial" w:eastAsia="Arial" w:hAnsi="Arial"/>
            <w:sz w:val="18"/>
            <w:szCs w:val="18"/>
            <w:i w:val="1"/>
            <w:iCs w:val="1"/>
            <w:u w:val="single" w:color="auto"/>
            <w:color w:val="0000FF"/>
          </w:rPr>
          <w:t>Recent Developments</w:t>
        </w:r>
      </w:hyperlink>
      <w:r>
        <w:rPr>
          <w:rFonts w:ascii="Arial" w:cs="Arial" w:eastAsia="Arial" w:hAnsi="Arial"/>
          <w:sz w:val="18"/>
          <w:szCs w:val="18"/>
          <w:i w:val="1"/>
          <w:iCs w:val="1"/>
          <w:color w:val="000000"/>
        </w:rPr>
        <w:t>,”</w:t>
      </w:r>
      <w:r>
        <w:rPr>
          <w:rFonts w:ascii="Arial" w:cs="Arial" w:eastAsia="Arial" w:hAnsi="Arial"/>
          <w:sz w:val="18"/>
          <w:szCs w:val="18"/>
          <w:i w:val="1"/>
          <w:iCs w:val="1"/>
          <w:color w:val="0000FF"/>
        </w:rPr>
        <w:t xml:space="preserve"> </w:t>
      </w:r>
      <w:r>
        <w:rPr>
          <w:rFonts w:ascii="Arial" w:cs="Arial" w:eastAsia="Arial" w:hAnsi="Arial"/>
          <w:sz w:val="18"/>
          <w:szCs w:val="18"/>
          <w:color w:val="000000"/>
        </w:rPr>
        <w:t>the record high oil prices and to a lesser extent, the continuing recovery in natural gas and natural gas liquids prices, contributed</w:t>
      </w:r>
      <w:r>
        <w:rPr>
          <w:rFonts w:ascii="Arial" w:cs="Arial" w:eastAsia="Arial" w:hAnsi="Arial"/>
          <w:sz w:val="18"/>
          <w:szCs w:val="18"/>
          <w:i w:val="1"/>
          <w:iCs w:val="1"/>
          <w:color w:val="0000FF"/>
        </w:rPr>
        <w:t xml:space="preserve"> </w:t>
      </w:r>
      <w:r>
        <w:rPr>
          <w:rFonts w:ascii="Arial" w:cs="Arial" w:eastAsia="Arial" w:hAnsi="Arial"/>
          <w:sz w:val="18"/>
          <w:szCs w:val="18"/>
          <w:color w:val="000000"/>
        </w:rPr>
        <w:t>approximately $179.4 million of the total increase.</w:t>
      </w:r>
    </w:p>
    <w:p>
      <w:pPr>
        <w:spacing w:after="0" w:line="19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22% increase in production volumes during the six months ended June 30, 2022 compared to the same period in 2021 contributed to the remaining $42.5 million of the total increase in royalty income. This production growth is primarily attributable to new well additions between periods, largely resulting from the Swallowtail Acquisition.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Bonus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Lease bonus income increased during the six months ended June 30, 2022 compared to the same period in 2021 due primarily to leasing certain assets we acquired in the Swallowtail Acquisition to Diamondback in the first quarter of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production and ad valorem taxes for the six months ended June 30,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Royalty Income</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5.1 %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5.0 %</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7.0 %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royalty income for the six months ended June 30, 2022 remained consistent with the same period in 2021. Ad valorem taxes are based, among other factors, on property values driven by prior year commodity prices. The increase in ad valorem taxes is primarily due to accruing taxes for the properties acquired in the Swallowtail Acquisition, as well as higher valuations assigned to our other oil and natural gas interests period over period driven by higher commodity prices. Ad valorem taxes remained consistent as a percentage of royalty income for the six months ended June 30, 2022 compared to the same period in 2021.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$10.5 million, or 22%, increase in depletion expense for the six months ended June 30, 2022 compared to the same period in 2021 was due primarily to production growth between the periods. The average depletion rate of $10.07 for the six months ended June 30, 2022 remained consistent with the rate of $10.11 for the same period in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8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2021</w:t>
            </w:r>
          </w:p>
        </w:tc>
      </w:tr>
      <w:tr>
        <w:trPr>
          <w:trHeight w:val="209"/>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232"/>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(61,050)</w:t>
            </w:r>
          </w:p>
        </w:tc>
      </w:tr>
      <w:tr>
        <w:trPr>
          <w:trHeight w:val="312"/>
        </w:trPr>
        <w:tc>
          <w:tcPr>
            <w:tcW w:w="856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(17,029)</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(35,882)</w:t>
            </w:r>
          </w:p>
        </w:tc>
      </w:tr>
    </w:tbl>
    <w:p>
      <w:pPr>
        <w:spacing w:after="0"/>
        <w:rPr>
          <w:sz w:val="20"/>
          <w:szCs w:val="20"/>
          <w:color w:val="auto"/>
        </w:rPr>
      </w:pPr>
      <w:r>
        <w:rPr>
          <w:rFonts w:ascii="Arial" w:cs="Arial" w:eastAsia="Arial" w:hAnsi="Arial"/>
          <w:sz w:val="17"/>
          <w:szCs w:val="17"/>
          <w:color w:val="auto"/>
        </w:rPr>
        <w:t>(1) The six months ended June 30, 2022 includes cash paid on commodity contracts terminated prior to their contractual maturity of $4.2 million.</w:t>
      </w:r>
    </w:p>
    <w:p>
      <w:pPr>
        <w:spacing w:after="0" w:line="2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recorded losses on our derivative instruments for the six months ended June 30, 2022 and 2021 primarily due to market prices being higher than the strike prices on our derivative contracts.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9" w:lineRule="exact"/>
        <w:rPr>
          <w:sz w:val="20"/>
          <w:szCs w:val="20"/>
          <w:color w:val="auto"/>
        </w:rPr>
      </w:pPr>
    </w:p>
    <w:p>
      <w:pPr>
        <w:jc w:val="both"/>
        <w:ind w:firstLine="648"/>
        <w:spacing w:after="0" w:line="253" w:lineRule="auto"/>
        <w:rPr>
          <w:rFonts w:ascii="Arial" w:cs="Arial" w:eastAsia="Arial" w:hAnsi="Arial"/>
          <w:sz w:val="17"/>
          <w:szCs w:val="17"/>
          <w:color w:val="0000FF"/>
        </w:rPr>
      </w:pPr>
      <w:r>
        <w:rPr>
          <w:rFonts w:ascii="Arial" w:cs="Arial" w:eastAsia="Arial" w:hAnsi="Arial"/>
          <w:sz w:val="17"/>
          <w:szCs w:val="17"/>
          <w:color w:val="auto"/>
        </w:rPr>
        <w:t xml:space="preserve">Income tax expense for the six months ended June 30, 2022 of $8.8 million resulted from the increase in pre-tax income, which was driven largely by increases in royalty income and lease bonus income as well as a decrease in losses from our derivative contracts as discussed above. See Note 9— </w:t>
      </w:r>
      <w:hyperlink w:anchor="page18">
        <w:r>
          <w:rPr>
            <w:rFonts w:ascii="Arial" w:cs="Arial" w:eastAsia="Arial" w:hAnsi="Arial"/>
            <w:sz w:val="17"/>
            <w:szCs w:val="17"/>
            <w:u w:val="single" w:color="auto"/>
            <w:color w:val="0000FF"/>
          </w:rPr>
          <w:t>Income Taxes</w:t>
        </w:r>
        <w:r>
          <w:rPr>
            <w:rFonts w:ascii="Arial" w:cs="Arial" w:eastAsia="Arial" w:hAnsi="Arial"/>
            <w:sz w:val="17"/>
            <w:szCs w:val="17"/>
            <w:color w:val="0000FF"/>
          </w:rPr>
          <w:t xml:space="preserve"> </w:t>
        </w:r>
      </w:hyperlink>
      <w:r>
        <w:rPr>
          <w:rFonts w:ascii="Arial" w:cs="Arial" w:eastAsia="Arial" w:hAnsi="Arial"/>
          <w:sz w:val="17"/>
          <w:szCs w:val="17"/>
          <w:color w:val="000000"/>
        </w:rPr>
        <w:t>of</w:t>
      </w:r>
      <w:r>
        <w:rPr>
          <w:rFonts w:ascii="Arial" w:cs="Arial" w:eastAsia="Arial" w:hAnsi="Arial"/>
          <w:sz w:val="17"/>
          <w:szCs w:val="17"/>
          <w:color w:val="0000FF"/>
        </w:rPr>
        <w:t xml:space="preserve"> </w:t>
      </w:r>
      <w:r>
        <w:rPr>
          <w:rFonts w:ascii="Arial" w:cs="Arial" w:eastAsia="Arial" w:hAnsi="Arial"/>
          <w:sz w:val="17"/>
          <w:szCs w:val="17"/>
          <w:color w:val="000000"/>
        </w:rPr>
        <w:t>the notes to the condensed consolidated financial statements included elsewhere in this report for further details.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and investments, equity and debt offerings and borrowings under the Operating Company’s credit agreement. Our primary uses of cash have been distributions to our unitholders, repayment of debt, capital expenditures for the acquisition of our mineral interests and royalty interests in oil and natural gas properties and repurchases of our common units and senior notes. At June 30, 2022, we had approximately $254.3 million of liquidity consisting of $4.3 million in cash and cash equivalents and $250.0 million available under the Operating Company’s credit agreement.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working capital requirements are supported by our cash and cash equivalents and the Operating Company’s credit agreement. We may draw on the Operating Company’s credit agreement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distributions, debt service obligations and repayment of debt maturities, common unit and senior note repurchases and any amounts that may ultimately be paid in connection with contingencies.</w:t>
      </w:r>
    </w:p>
    <w:p>
      <w:pPr>
        <w:spacing w:after="0" w:line="219" w:lineRule="exact"/>
        <w:rPr>
          <w:sz w:val="20"/>
          <w:szCs w:val="20"/>
          <w:color w:val="auto"/>
        </w:rPr>
      </w:pPr>
    </w:p>
    <w:p>
      <w:pPr>
        <w:ind w:left="660"/>
        <w:spacing w:after="0"/>
        <w:rPr>
          <w:rFonts w:ascii="Arial" w:cs="Arial" w:eastAsia="Arial" w:hAnsi="Arial"/>
          <w:sz w:val="17"/>
          <w:szCs w:val="17"/>
          <w:color w:val="auto"/>
        </w:rPr>
      </w:pPr>
      <w:hyperlink w:anchor="page33">
        <w:r>
          <w:rPr>
            <w:rFonts w:ascii="Arial" w:cs="Arial" w:eastAsia="Arial" w:hAnsi="Arial"/>
            <w:sz w:val="17"/>
            <w:szCs w:val="17"/>
            <w:color w:val="auto"/>
          </w:rPr>
          <w:t xml:space="preserve">In order to mitigate volatility in oil and natural gas prices, we have entered into commodity derivative contracts as discussed further in </w:t>
        </w:r>
        <w:r>
          <w:rPr>
            <w:rFonts w:ascii="Arial" w:cs="Arial" w:eastAsia="Arial" w:hAnsi="Arial"/>
            <w:sz w:val="17"/>
            <w:szCs w:val="17"/>
            <w:u w:val="single" w:color="auto"/>
            <w:color w:val="0000FF"/>
          </w:rPr>
          <w:t>Item 3.</w:t>
        </w:r>
      </w:hyperlink>
    </w:p>
    <w:p>
      <w:pPr>
        <w:spacing w:after="0" w:line="35" w:lineRule="exact"/>
        <w:rPr>
          <w:sz w:val="20"/>
          <w:szCs w:val="20"/>
          <w:color w:val="auto"/>
        </w:rPr>
      </w:pPr>
    </w:p>
    <w:p>
      <w:pPr>
        <w:spacing w:after="0"/>
        <w:rPr>
          <w:rFonts w:ascii="Arial" w:cs="Arial" w:eastAsia="Arial" w:hAnsi="Arial"/>
          <w:sz w:val="18"/>
          <w:szCs w:val="18"/>
          <w:color w:val="0000FF"/>
        </w:rPr>
      </w:pPr>
      <w:hyperlink w:anchor="page33">
        <w:r>
          <w:rPr>
            <w:rFonts w:ascii="Arial" w:cs="Arial" w:eastAsia="Arial" w:hAnsi="Arial"/>
            <w:sz w:val="18"/>
            <w:szCs w:val="18"/>
            <w:u w:val="single" w:color="auto"/>
            <w:color w:val="0000FF"/>
          </w:rPr>
          <w:t>Quantitative and Qualitative Disclosures About Market Risk—Commodity Price Risk</w:t>
        </w:r>
        <w:r>
          <w:rPr>
            <w:rFonts w:ascii="Arial" w:cs="Arial" w:eastAsia="Arial" w:hAnsi="Arial"/>
            <w:sz w:val="18"/>
            <w:szCs w:val="18"/>
            <w:color w:val="000000"/>
          </w:rPr>
          <w:t>.</w:t>
        </w:r>
      </w:hyperlink>
    </w:p>
    <w:p>
      <w:pPr>
        <w:spacing w:after="0" w:line="22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Continued prolonged volatility in the capital, financial and/or credit markets due to the COVID-19 pandemic, the war in Ukraine, the depressed commodity markets and, or adverse macroeconomic conditions, including persistent inflation, rising interests rates and increasing concerns over a potential recession,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w w:val="95"/>
              </w:rPr>
              <w:t>2021</w:t>
            </w:r>
          </w:p>
        </w:tc>
      </w:tr>
      <w:tr>
        <w:trPr>
          <w:trHeight w:val="210"/>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34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299,020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129,680</w:t>
            </w:r>
          </w:p>
        </w:tc>
      </w:tr>
      <w:tr>
        <w:trPr>
          <w:trHeight w:val="23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29"/>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(105,560)</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Our operating cash flow is sensitive to many variables, the most significant of which are the volatility of prices for oil and natural gas and the volumes of oil and natural gas sold by our producers as discussed in “—</w:t>
      </w:r>
      <w:hyperlink w:anchor="page28">
        <w:r>
          <w:rPr>
            <w:rFonts w:ascii="Arial" w:cs="Arial" w:eastAsia="Arial" w:hAnsi="Arial"/>
            <w:sz w:val="18"/>
            <w:szCs w:val="18"/>
            <w:i w:val="1"/>
            <w:iCs w:val="1"/>
            <w:u w:val="single" w:color="auto"/>
            <w:color w:val="0000FF"/>
          </w:rPr>
          <w:t>Results of Operations</w:t>
        </w:r>
      </w:hyperlink>
      <w:r>
        <w:rPr>
          <w:rFonts w:ascii="Arial" w:cs="Arial" w:eastAsia="Arial" w:hAnsi="Arial"/>
          <w:sz w:val="18"/>
          <w:szCs w:val="18"/>
          <w:color w:val="auto"/>
        </w:rPr>
        <w:t>” above. The increase in net cash provided by operating activities during the six months ended June 30, 2022 compared to the same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period in 2021 was primarily driven by (i) higher royalty income, (ii) an increase in lease bonus income and (iii) a decrease in cash paid for derivative settlements. These increases in cash flow were partially offset by (i) changes in our working capital accounts, most notably through an increase in our accounts receivable in 2022 compared to 2021 due primarily to higher market prices for our oil sales and the timing of our receipt of royalty income payments from our operators (ii) an increase in production and ad valorem expenses due to the corresponding increase in royalty income and (iii) an increase in cash paid for taxes, as our tax provision reflects an increase in current cash income taxes.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Net cash provided by investing activities during the six months ended June 30, 2022, was primarily related to proceeds from the divestitures of oil and natural gas interests. There were no significant acquisitions or divestitures of oil and natural gas interests during the six months ended June 30, 2021.</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Consistent with our previously announced strategy to return cash flow to unitholders, net cash used in financing activities during the six months ended June 30, 2022 was primarily related to distributions of $194.1 million to our unitholders and $68.2 million of common unit repurchases which included approximately $37.3 million for the repurchase of 1.5 million common units from a significant unitholder in a privately negotiated transaction. Additionally, we paid $49.0 million for the repurchase of principal outstanding on the Notes as discussed in </w:t>
      </w:r>
      <w:r>
        <w:rPr>
          <w:rFonts w:ascii="Arial" w:cs="Arial" w:eastAsia="Arial" w:hAnsi="Arial"/>
          <w:sz w:val="18"/>
          <w:szCs w:val="18"/>
          <w:i w:val="1"/>
          <w:iCs w:val="1"/>
          <w:color w:val="auto"/>
        </w:rPr>
        <w:t>“—</w:t>
      </w:r>
      <w:hyperlink w:anchor="page31">
        <w:r>
          <w:rPr>
            <w:rFonts w:ascii="Arial" w:cs="Arial" w:eastAsia="Arial" w:hAnsi="Arial"/>
            <w:sz w:val="18"/>
            <w:szCs w:val="18"/>
            <w:i w:val="1"/>
            <w:iCs w:val="1"/>
            <w:u w:val="single" w:color="auto"/>
            <w:color w:val="0000FF"/>
          </w:rPr>
          <w:t>2022 Debt Transactions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below and made net repayments of $54.0 million on the Operating Company’s revolving credit facility.</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during the six months ended June 30, 2021, was primarily related to the net repayment of $22.0 million of borrowings under the Operating Company’s revolving credit facility, distributions of $60.8 million to our unitholders and $19.8 million of repurchases of our common units during the second quarter of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Operating Company’s Revolving Credit Facility</w:t>
      </w:r>
    </w:p>
    <w:p>
      <w:pPr>
        <w:spacing w:after="0" w:line="239" w:lineRule="exact"/>
        <w:rPr>
          <w:sz w:val="20"/>
          <w:szCs w:val="20"/>
          <w:color w:val="auto"/>
        </w:rPr>
      </w:pPr>
    </w:p>
    <w:p>
      <w:pPr>
        <w:jc w:val="both"/>
        <w:ind w:left="40" w:firstLine="648"/>
        <w:spacing w:after="0" w:line="228" w:lineRule="auto"/>
        <w:rPr>
          <w:sz w:val="20"/>
          <w:szCs w:val="20"/>
          <w:color w:val="auto"/>
        </w:rPr>
      </w:pPr>
      <w:r>
        <w:rPr>
          <w:rFonts w:ascii="Arial" w:cs="Arial" w:eastAsia="Arial" w:hAnsi="Arial"/>
          <w:sz w:val="18"/>
          <w:szCs w:val="18"/>
          <w:color w:val="auto"/>
        </w:rPr>
        <w:t>The Operating Company’s credit agreement, as amended to date, provides for a revolving credit facility in the maximum credit amount of $2.0 billion, with a borrowing base of $580.0 million as of June 30, 2022, based on the Operating Company’s oil and natural gas reserves and other factors. At June 30, 2022, the Operating Company had elected a commitment amount of $500.0 million on its credit agreement with $250.0 million of outstanding borrowings. During the three and six months ended June 30, 2022, the weighted average interest rate on borrowings under the Operating Company’s revolving credit facility was 3.20% and 2.88%, respectively.</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2022 Debt Transactions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second quarter of 2022, the Operating Company used a combination of cash on hand and borrowings under the Operating Company’s credit agreement to repurchase a portion of the 5.375% 2027 Senior Notes in the aggregate principal amount of $49.6 million.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Operating Company is currently in compliance, and expects to be in compliance, with all financial maintenance covenants under its credit agreement.</w:t>
      </w:r>
    </w:p>
    <w:p>
      <w:pPr>
        <w:spacing w:after="0" w:line="197"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6—</w:t>
      </w:r>
      <w:hyperlink w:anchor="page15">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elsewhere in this report for additional discussion of our outstanding debt at June 30,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Repurchases of Securities</w:t>
      </w:r>
    </w:p>
    <w:p>
      <w:pPr>
        <w:spacing w:after="0" w:line="252" w:lineRule="exact"/>
        <w:rPr>
          <w:sz w:val="20"/>
          <w:szCs w:val="20"/>
          <w:color w:val="auto"/>
        </w:rPr>
      </w:pPr>
    </w:p>
    <w:p>
      <w:pPr>
        <w:jc w:val="both"/>
        <w:ind w:firstLine="648"/>
        <w:spacing w:after="0" w:line="284" w:lineRule="auto"/>
        <w:rPr>
          <w:rFonts w:ascii="Arial" w:cs="Arial" w:eastAsia="Arial" w:hAnsi="Arial"/>
          <w:sz w:val="16"/>
          <w:szCs w:val="16"/>
          <w:color w:val="auto"/>
        </w:rPr>
      </w:pPr>
      <w:r>
        <w:rPr>
          <w:rFonts w:ascii="Arial" w:cs="Arial" w:eastAsia="Arial" w:hAnsi="Arial"/>
          <w:sz w:val="16"/>
          <w:szCs w:val="16"/>
          <w:color w:val="auto"/>
        </w:rPr>
        <w:t>On April 27, 2022, the board of directors of our General Partner approved an increase of the authorization of its common unit repurchase program to $250.0 million of our outstanding common units and extended the authorization indefinitely. On July 26, 2022, the board of directors of our General Partner increased the authorization of our common unit repurchase program from $250.0 million to $750.0 million. As of June 30, 2022, $111.8 million remains available for use to repurchase units under the repurchase program. See Note 7—</w:t>
      </w:r>
      <w:hyperlink w:anchor="page15">
        <w:r>
          <w:rPr>
            <w:rFonts w:ascii="Arial" w:cs="Arial" w:eastAsia="Arial" w:hAnsi="Arial"/>
            <w:sz w:val="16"/>
            <w:szCs w:val="16"/>
            <w:u w:val="single" w:color="auto"/>
            <w:color w:val="0000FF"/>
          </w:rPr>
          <w:t>Unitholders' Equity and Distributions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our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included elsewhere in this report for further discussion of the unit repurchase program.</w:t>
      </w:r>
    </w:p>
    <w:p>
      <w:pPr>
        <w:spacing w:after="0" w:line="225"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We may also from time to time opportunistically repurchase some of the outstanding Notes in open market purchases or in privately negotiated transactions.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Distributions</w:t>
      </w:r>
    </w:p>
    <w:p>
      <w:pPr>
        <w:spacing w:after="0" w:line="225" w:lineRule="exact"/>
        <w:rPr>
          <w:sz w:val="20"/>
          <w:szCs w:val="20"/>
          <w:color w:val="auto"/>
        </w:rPr>
      </w:pPr>
    </w:p>
    <w:p>
      <w:pPr>
        <w:jc w:val="both"/>
        <w:ind w:left="40" w:firstLine="648"/>
        <w:spacing w:after="0" w:line="276" w:lineRule="auto"/>
        <w:rPr>
          <w:rFonts w:ascii="Arial" w:cs="Arial" w:eastAsia="Arial" w:hAnsi="Arial"/>
          <w:sz w:val="16"/>
          <w:szCs w:val="16"/>
          <w:color w:val="0000FF"/>
        </w:rPr>
      </w:pPr>
      <w:r>
        <w:rPr>
          <w:rFonts w:ascii="Arial" w:cs="Arial" w:eastAsia="Arial" w:hAnsi="Arial"/>
          <w:sz w:val="16"/>
          <w:szCs w:val="16"/>
          <w:color w:val="auto"/>
        </w:rPr>
        <w:t xml:space="preserve">The distribution for the second quarter of 2022 was $0.81 per common unit payable on August 23, 2022 to common unitholders of record at the </w:t>
      </w:r>
      <w:hyperlink w:anchor="page15">
        <w:r>
          <w:rPr>
            <w:rFonts w:ascii="Arial" w:cs="Arial" w:eastAsia="Arial" w:hAnsi="Arial"/>
            <w:sz w:val="16"/>
            <w:szCs w:val="16"/>
            <w:color w:val="auto"/>
          </w:rPr>
          <w:t>close of business on August 16, 2022. See “</w:t>
        </w:r>
        <w:r>
          <w:rPr>
            <w:rFonts w:ascii="Arial" w:cs="Arial" w:eastAsia="Arial" w:hAnsi="Arial"/>
            <w:sz w:val="16"/>
            <w:szCs w:val="16"/>
            <w:u w:val="single" w:color="auto"/>
            <w:color w:val="0000FF"/>
          </w:rPr>
          <w:t>—</w:t>
        </w:r>
        <w:r>
          <w:rPr>
            <w:rFonts w:ascii="Arial" w:cs="Arial" w:eastAsia="Arial" w:hAnsi="Arial"/>
            <w:sz w:val="16"/>
            <w:szCs w:val="16"/>
            <w:i w:val="1"/>
            <w:iCs w:val="1"/>
            <w:u w:val="single" w:color="auto"/>
            <w:color w:val="0000FF"/>
          </w:rPr>
          <w:t>Recent Developments—Cash Distributions on Common Units</w:t>
        </w:r>
        <w:r>
          <w:rPr>
            <w:rFonts w:ascii="Arial" w:cs="Arial" w:eastAsia="Arial" w:hAnsi="Arial"/>
            <w:sz w:val="16"/>
            <w:szCs w:val="16"/>
            <w:color w:val="auto"/>
          </w:rPr>
          <w:t>” and Note 7—</w:t>
        </w:r>
        <w:r>
          <w:rPr>
            <w:rFonts w:ascii="Arial" w:cs="Arial" w:eastAsia="Arial" w:hAnsi="Arial"/>
            <w:sz w:val="16"/>
            <w:szCs w:val="16"/>
            <w:u w:val="single" w:color="auto"/>
            <w:color w:val="0000FF"/>
          </w:rPr>
          <w:t>Unitholders' Equity and</w:t>
        </w:r>
      </w:hyperlink>
      <w:r>
        <w:rPr>
          <w:rFonts w:ascii="Arial" w:cs="Arial" w:eastAsia="Arial" w:hAnsi="Arial"/>
          <w:sz w:val="16"/>
          <w:szCs w:val="16"/>
          <w:color w:val="auto"/>
        </w:rPr>
        <w:t xml:space="preserve"> </w:t>
      </w:r>
      <w:hyperlink w:anchor="page15">
        <w:r>
          <w:rPr>
            <w:rFonts w:ascii="Arial" w:cs="Arial" w:eastAsia="Arial" w:hAnsi="Arial"/>
            <w:sz w:val="16"/>
            <w:szCs w:val="16"/>
            <w:u w:val="single" w:color="auto"/>
            <w:color w:val="0000FF"/>
          </w:rPr>
          <w:t>Distributions</w:t>
        </w:r>
        <w:r>
          <w:rPr>
            <w:rFonts w:ascii="Arial" w:cs="Arial" w:eastAsia="Arial" w:hAnsi="Arial"/>
            <w:sz w:val="16"/>
            <w:szCs w:val="16"/>
            <w:color w:val="0000FF"/>
          </w:rPr>
          <w:t xml:space="preserve"> </w:t>
        </w:r>
        <w:r>
          <w:rPr>
            <w:rFonts w:ascii="Arial" w:cs="Arial" w:eastAsia="Arial" w:hAnsi="Arial"/>
            <w:sz w:val="16"/>
            <w:szCs w:val="16"/>
            <w:color w:val="000000"/>
          </w:rPr>
          <w:t>of the notes to the condensed consolidated financial statements included elsewhere in this report for further discussion of our distributions.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to our critical accounting estimates from those disclosed in our </w:t>
      </w:r>
      <w:hyperlink r:id="rId24">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61" w:lineRule="auto"/>
        <w:rPr>
          <w:rFonts w:ascii="Arial" w:cs="Arial" w:eastAsia="Arial" w:hAnsi="Arial"/>
          <w:sz w:val="18"/>
          <w:szCs w:val="18"/>
          <w:color w:val="auto"/>
        </w:rPr>
      </w:pPr>
      <w:r>
        <w:rPr>
          <w:rFonts w:ascii="Arial" w:cs="Arial" w:eastAsia="Arial" w:hAnsi="Arial"/>
          <w:sz w:val="18"/>
          <w:szCs w:val="18"/>
          <w:color w:val="auto"/>
        </w:rPr>
        <w:t>See Note 2—</w:t>
      </w:r>
      <w:hyperlink w:anchor="page12">
        <w:r>
          <w:rPr>
            <w:rFonts w:ascii="Arial" w:cs="Arial" w:eastAsia="Arial" w:hAnsi="Arial"/>
            <w:sz w:val="18"/>
            <w:szCs w:val="18"/>
            <w:u w:val="single" w:color="auto"/>
            <w:color w:val="0000FF"/>
          </w:rPr>
          <w:t>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notes of our condensed consolidated financial statements included elsewhere in this report for a listing of our significant accounting policies.</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war in Ukraine, the COVID-19 pandemic and actions taken by OPEC members and other exporting nations. We cannot predict events that may lead to future price volatility and the near term energy outlook remains subject to heightened levels of uncertainty.</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historically have used fixed price swap contracts, fixed price basis swap contracts and costless collars with corresponding put and call options to reduce price volatility associated with certain of our royalty income. Under our costless collar contracts, each collar has an established floor price and ceiling price. When the settlement price is below the floor price, the counterparty is required to make a payment to us and when the settlement price is above the ceiling price, we are required to make a payment to the counterparty. When the settlement price is between the floor and the ceiling, there is no payment required.</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June 30, 2022, we had a net liability derivative position related to our commodity price derivatives of $6.6 million. Utilizing actual derivative contractual volumes under our contracts as of June 30, 2022, a 10% increase in forward curves associated with the underlying commodity would have increased the net liability position by $4.7 million to $11.3 million, while a 10% decrease in forward curves associated with the underlying commodity would have decreased the net liability derivative position by $3.7 million to $2.9 million. However, any cash derivative gain or loss would be substantially offset by a decrease or increase, respectively, in the actual sales value of production covered by the derivative instrument.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commodity pricing environment and macroeconomic conditions may enhance our purchaser credit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We are obligated to pay a quarterly commitment fee ranging from 0.375% to 0.500% per year on the unused portion of the borrowing base, which is the least of the maximum credit amount, the aggregate elected commitment amount and the borrowing base. As of June 30, 2022, we had $250.0 million in outstanding borrowings. During the three and six months ended June 30, 2022, the weighted average interest rate on the Operating Company’s revolving credit facility was 3.20% and 2.88%, respectively.</w:t>
      </w:r>
    </w:p>
    <w:p>
      <w:pPr>
        <w:spacing w:after="0" w:line="18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2022,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June 30, 2022, our disclosure controls and procedures are effective.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June 30, 2022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86" w:lineRule="auto"/>
        <w:rPr>
          <w:rFonts w:ascii="Arial" w:cs="Arial" w:eastAsia="Arial" w:hAnsi="Arial"/>
          <w:sz w:val="17"/>
          <w:szCs w:val="17"/>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page22">
        <w:r>
          <w:rPr>
            <w:rFonts w:ascii="Arial" w:cs="Arial" w:eastAsia="Arial" w:hAnsi="Arial"/>
            <w:sz w:val="17"/>
            <w:szCs w:val="17"/>
            <w:u w:val="single" w:color="auto"/>
            <w:color w:val="0000FF"/>
          </w:rPr>
          <w:t>Commitments and Contingencies</w:t>
        </w:r>
      </w:hyperlink>
      <w:r>
        <w:rPr>
          <w:rFonts w:ascii="Arial" w:cs="Arial" w:eastAsia="Arial" w:hAnsi="Arial"/>
          <w:sz w:val="17"/>
          <w:szCs w:val="17"/>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79" w:lineRule="auto"/>
        <w:rPr>
          <w:rFonts w:ascii="Arial" w:cs="Arial" w:eastAsia="Arial" w:hAnsi="Arial"/>
          <w:sz w:val="17"/>
          <w:szCs w:val="17"/>
          <w:color w:val="0000FF"/>
        </w:rPr>
      </w:pPr>
      <w:hyperlink r:id="rId49">
        <w:r>
          <w:rPr>
            <w:rFonts w:ascii="Arial" w:cs="Arial" w:eastAsia="Arial" w:hAnsi="Arial"/>
            <w:sz w:val="17"/>
            <w:szCs w:val="17"/>
            <w:color w:val="auto"/>
          </w:rPr>
          <w:t xml:space="preserve">As of the date of this filing, we continue to be subject to the risk factors previously disclosed in </w:t>
        </w:r>
        <w:r>
          <w:rPr>
            <w:rFonts w:ascii="Arial" w:cs="Arial" w:eastAsia="Arial" w:hAnsi="Arial"/>
            <w:sz w:val="17"/>
            <w:szCs w:val="17"/>
            <w:u w:val="single" w:color="auto"/>
            <w:color w:val="0000FF"/>
          </w:rPr>
          <w:t>Part I, Item 1A. Risk Factors in our Annual Report</w:t>
        </w:r>
      </w:hyperlink>
      <w:r>
        <w:rPr>
          <w:rFonts w:ascii="Arial" w:cs="Arial" w:eastAsia="Arial" w:hAnsi="Arial"/>
          <w:sz w:val="17"/>
          <w:szCs w:val="17"/>
          <w:color w:val="auto"/>
        </w:rPr>
        <w:t xml:space="preserve"> </w:t>
      </w:r>
      <w:hyperlink r:id="rId16">
        <w:r>
          <w:rPr>
            <w:rFonts w:ascii="Arial" w:cs="Arial" w:eastAsia="Arial" w:hAnsi="Arial"/>
            <w:sz w:val="17"/>
            <w:szCs w:val="17"/>
            <w:u w:val="single" w:color="auto"/>
            <w:color w:val="0000FF"/>
          </w:rPr>
          <w:t>on Form 10-K</w:t>
        </w:r>
        <w:r>
          <w:rPr>
            <w:rFonts w:ascii="Arial" w:cs="Arial" w:eastAsia="Arial" w:hAnsi="Arial"/>
            <w:sz w:val="17"/>
            <w:szCs w:val="17"/>
            <w:color w:val="0000FF"/>
          </w:rPr>
          <w:t xml:space="preserve"> </w:t>
        </w:r>
        <w:r>
          <w:rPr>
            <w:rFonts w:ascii="Arial" w:cs="Arial" w:eastAsia="Arial" w:hAnsi="Arial"/>
            <w:sz w:val="17"/>
            <w:szCs w:val="17"/>
            <w:color w:val="000000"/>
          </w:rPr>
          <w:t>for the year ended December 31, 2021, filed with the SEC on February 24, 2022,</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Part II, Item 1A. Risk Factors in our Quarterly Report on</w:t>
        </w:r>
      </w:hyperlink>
      <w:r>
        <w:rPr>
          <w:rFonts w:ascii="Arial" w:cs="Arial" w:eastAsia="Arial" w:hAnsi="Arial"/>
          <w:sz w:val="17"/>
          <w:szCs w:val="17"/>
          <w:color w:val="0000FF"/>
        </w:rPr>
        <w:t xml:space="preserve"> </w:t>
      </w:r>
      <w:hyperlink r:id="rId16">
        <w:r>
          <w:rPr>
            <w:rFonts w:ascii="Arial" w:cs="Arial" w:eastAsia="Arial" w:hAnsi="Arial"/>
            <w:sz w:val="17"/>
            <w:szCs w:val="17"/>
            <w:u w:val="single" w:color="auto"/>
            <w:color w:val="0000FF"/>
          </w:rPr>
          <w:t>Form 10-Q</w:t>
        </w:r>
        <w:r>
          <w:rPr>
            <w:rFonts w:ascii="Arial" w:cs="Arial" w:eastAsia="Arial" w:hAnsi="Arial"/>
            <w:sz w:val="17"/>
            <w:szCs w:val="17"/>
            <w:color w:val="0000FF"/>
          </w:rPr>
          <w:t xml:space="preserve"> </w:t>
        </w:r>
        <w:r>
          <w:rPr>
            <w:rFonts w:ascii="Arial" w:cs="Arial" w:eastAsia="Arial" w:hAnsi="Arial"/>
            <w:sz w:val="17"/>
            <w:szCs w:val="17"/>
            <w:color w:val="000000"/>
          </w:rPr>
          <w:t>for the quarterly period ended March 31, 2022, filed with the SEC on May 5, 2022, and in subsequent filings we make with the SEC. Except as</w:t>
        </w:r>
      </w:hyperlink>
      <w:r>
        <w:rPr>
          <w:rFonts w:ascii="Arial" w:cs="Arial" w:eastAsia="Arial" w:hAnsi="Arial"/>
          <w:sz w:val="17"/>
          <w:szCs w:val="17"/>
          <w:color w:val="0000FF"/>
        </w:rPr>
        <w:t xml:space="preserve"> </w:t>
      </w:r>
      <w:r>
        <w:rPr>
          <w:rFonts w:ascii="Arial" w:cs="Arial" w:eastAsia="Arial" w:hAnsi="Arial"/>
          <w:sz w:val="17"/>
          <w:szCs w:val="17"/>
          <w:color w:val="000000"/>
        </w:rPr>
        <w:t>provided below, there have been no material changes in our risk factors from those described in such reports.</w:t>
      </w:r>
    </w:p>
    <w:p>
      <w:pPr>
        <w:spacing w:after="0" w:line="19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i w:val="1"/>
          <w:iCs w:val="1"/>
          <w:color w:val="auto"/>
        </w:rPr>
        <w:t>Transition risks relating to climate change may have a material and adverse effect on us.</w:t>
      </w:r>
    </w:p>
    <w:p>
      <w:pPr>
        <w:spacing w:after="0" w:line="252" w:lineRule="exact"/>
        <w:rPr>
          <w:rFonts w:ascii="Arial" w:cs="Arial" w:eastAsia="Arial" w:hAnsi="Arial"/>
          <w:sz w:val="17"/>
          <w:szCs w:val="17"/>
          <w:color w:val="auto"/>
        </w:rPr>
      </w:pPr>
    </w:p>
    <w:p>
      <w:pPr>
        <w:jc w:val="both"/>
        <w:ind w:firstLine="648"/>
        <w:spacing w:after="0" w:line="311" w:lineRule="auto"/>
        <w:rPr>
          <w:sz w:val="20"/>
          <w:szCs w:val="20"/>
          <w:color w:val="auto"/>
        </w:rPr>
      </w:pPr>
      <w:r>
        <w:rPr>
          <w:rFonts w:ascii="Arial" w:cs="Arial" w:eastAsia="Arial" w:hAnsi="Arial"/>
          <w:sz w:val="16"/>
          <w:szCs w:val="16"/>
          <w:color w:val="auto"/>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w:t>
      </w:r>
    </w:p>
    <w:p>
      <w:pPr>
        <w:spacing w:after="0" w:line="162" w:lineRule="exact"/>
        <w:rPr>
          <w:rFonts w:ascii="Arial" w:cs="Arial" w:eastAsia="Arial" w:hAnsi="Arial"/>
          <w:sz w:val="17"/>
          <w:szCs w:val="17"/>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enactment of climate change-related regulations, policies and initiatives by governments, investors, and other companies, including alternative energy or “zero carbon” requirements and fuel or energy conservation measures;</w:t>
      </w:r>
    </w:p>
    <w:p>
      <w:pPr>
        <w:spacing w:after="0" w:line="61"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advances with respect to the generation, transmission, storage and consumption of energy (including advances in wind, solar and hydrogen power, as well as battery technology);</w:t>
      </w:r>
    </w:p>
    <w:p>
      <w:pPr>
        <w:spacing w:after="0" w:line="61"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availability of, and increased demand from consumers and industry for, energy sources other than oil and natural gas (including wind, solar, nuclear, and geothermal sources as well as electric vehicles); and</w:t>
      </w:r>
    </w:p>
    <w:p>
      <w:pPr>
        <w:spacing w:after="0" w:line="61"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of, and increased demand from consumers and industry for, lower-emission products and services (including electric vehicles and renewable residential and commercial power supplies) as well as more efficient products and services.</w:t>
      </w:r>
    </w:p>
    <w:p>
      <w:pPr>
        <w:spacing w:after="0" w:line="318" w:lineRule="exact"/>
        <w:rPr>
          <w:rFonts w:ascii="Arial" w:cs="Arial" w:eastAsia="Arial" w:hAnsi="Arial"/>
          <w:sz w:val="17"/>
          <w:szCs w:val="17"/>
          <w:color w:val="auto"/>
        </w:rPr>
      </w:pPr>
    </w:p>
    <w:p>
      <w:pPr>
        <w:jc w:val="both"/>
        <w:ind w:firstLine="648"/>
        <w:spacing w:after="0" w:line="290" w:lineRule="auto"/>
        <w:rPr>
          <w:rFonts w:ascii="Arial" w:cs="Arial" w:eastAsia="Arial" w:hAnsi="Arial"/>
          <w:sz w:val="16"/>
          <w:szCs w:val="16"/>
          <w:color w:val="0000FF"/>
        </w:rPr>
      </w:pPr>
      <w:r>
        <w:rPr>
          <w:rFonts w:ascii="Arial" w:cs="Arial" w:eastAsia="Arial" w:hAnsi="Arial"/>
          <w:sz w:val="16"/>
          <w:szCs w:val="16"/>
          <w:color w:val="auto"/>
        </w:rPr>
        <w:t xml:space="preserve">Any of these developments, which relate to the transition from hydrocarbon energy sources to alternative energy sources and therefore to a lower-carbon economy, may reduce the demand for products manufactured with (or powered by) hydrocarbons and the demand for, and in turn the prices of, the oil and natural gas that our operators produce and sell, which would likely have a material and adverse impact on us. Please see the risk factor in our </w:t>
      </w:r>
      <w:hyperlink r:id="rId49">
        <w:r>
          <w:rPr>
            <w:rFonts w:ascii="Arial" w:cs="Arial" w:eastAsia="Arial" w:hAnsi="Arial"/>
            <w:sz w:val="16"/>
            <w:szCs w:val="16"/>
            <w:u w:val="single" w:color="auto"/>
            <w:color w:val="0000FF"/>
          </w:rPr>
          <w:t>Annual Report on Form 10-K</w:t>
        </w:r>
        <w:r>
          <w:rPr>
            <w:rFonts w:ascii="Arial" w:cs="Arial" w:eastAsia="Arial" w:hAnsi="Arial"/>
            <w:sz w:val="16"/>
            <w:szCs w:val="16"/>
            <w:color w:val="0000FF"/>
          </w:rPr>
          <w:t xml:space="preserve"> </w:t>
        </w:r>
      </w:hyperlink>
      <w:r>
        <w:rPr>
          <w:rFonts w:ascii="Arial" w:cs="Arial" w:eastAsia="Arial" w:hAnsi="Arial"/>
          <w:sz w:val="16"/>
          <w:szCs w:val="16"/>
          <w:color w:val="000000"/>
        </w:rPr>
        <w:t>for</w:t>
      </w:r>
      <w:r>
        <w:rPr>
          <w:rFonts w:ascii="Arial" w:cs="Arial" w:eastAsia="Arial" w:hAnsi="Arial"/>
          <w:sz w:val="16"/>
          <w:szCs w:val="16"/>
          <w:color w:val="0000FF"/>
        </w:rPr>
        <w:t xml:space="preserve"> </w:t>
      </w:r>
      <w:r>
        <w:rPr>
          <w:rFonts w:ascii="Arial" w:cs="Arial" w:eastAsia="Arial" w:hAnsi="Arial"/>
          <w:sz w:val="16"/>
          <w:szCs w:val="16"/>
          <w:color w:val="000000"/>
        </w:rPr>
        <w:t>the year ended December 31, 2021 titled “</w:t>
      </w:r>
      <w:r>
        <w:rPr>
          <w:rFonts w:ascii="Arial" w:cs="Arial" w:eastAsia="Arial" w:hAnsi="Arial"/>
          <w:sz w:val="16"/>
          <w:szCs w:val="16"/>
          <w:i w:val="1"/>
          <w:iCs w:val="1"/>
          <w:color w:val="000000"/>
        </w:rPr>
        <w:t>Our business has been and could continue to be adversely affected by the</w:t>
      </w:r>
      <w:r>
        <w:rPr>
          <w:rFonts w:ascii="Arial" w:cs="Arial" w:eastAsia="Arial" w:hAnsi="Arial"/>
          <w:sz w:val="16"/>
          <w:szCs w:val="16"/>
          <w:color w:val="0000FF"/>
        </w:rPr>
        <w:t xml:space="preserve"> </w:t>
      </w:r>
      <w:r>
        <w:rPr>
          <w:rFonts w:ascii="Arial" w:cs="Arial" w:eastAsia="Arial" w:hAnsi="Arial"/>
          <w:sz w:val="16"/>
          <w:szCs w:val="16"/>
          <w:i w:val="1"/>
          <w:iCs w:val="1"/>
          <w:color w:val="000000"/>
        </w:rPr>
        <w:t>ongoing COVID-19 pandemic and volatility in the oil and natural gas markets” and “We depend on a small number of operators for a substantial portion of the development and production on the properties underlying our mineral interests. A reduction in the expected number of wells to be drilled on our acreage by these operators or the failure of an operator to adequately and efficiently develop and operate our acreage could have an adverse effect on our expected growth and our results of operations</w:t>
      </w:r>
      <w:r>
        <w:rPr>
          <w:rFonts w:ascii="Arial" w:cs="Arial" w:eastAsia="Arial" w:hAnsi="Arial"/>
          <w:sz w:val="16"/>
          <w:szCs w:val="16"/>
          <w:color w:val="000000"/>
        </w:rPr>
        <w:t>” for more information regarding the potential impact on us of reduced demand for oil and natural gas.</w:t>
      </w:r>
    </w:p>
    <w:p>
      <w:pPr>
        <w:spacing w:after="0" w:line="192" w:lineRule="exact"/>
        <w:rPr>
          <w:rFonts w:ascii="Arial" w:cs="Arial" w:eastAsia="Arial" w:hAnsi="Arial"/>
          <w:sz w:val="17"/>
          <w:szCs w:val="17"/>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any of these developments reduce the desirability of participating in the oilfield services, midstream or downstream portions of the oil and gas industry, then these developments may also reduce the availability to our operators of necessary third-party services and facilities that they rely on, which could increase their operational costs and adversely affect their ability to explore for, produce, transport and process oil and natural gas and successfully carry out their business and financial strategy, which in turn could have an adverse effect on our business, financial condition and cash flow. These developments could also reduce the number of customers willing to purchase the oil and natural gas that our operators produce.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5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1" w:lineRule="auto"/>
        <w:rPr>
          <w:rFonts w:ascii="Arial" w:cs="Arial" w:eastAsia="Arial" w:hAnsi="Arial"/>
          <w:sz w:val="17"/>
          <w:szCs w:val="17"/>
          <w:color w:val="0000FF"/>
        </w:rPr>
      </w:pPr>
      <w:r>
        <w:rPr>
          <w:rFonts w:ascii="Arial" w:cs="Arial" w:eastAsia="Arial" w:hAnsi="Arial"/>
          <w:sz w:val="17"/>
          <w:szCs w:val="17"/>
          <w:color w:val="auto"/>
        </w:rPr>
        <w:t xml:space="preserve">In addition to potentially reducing demand for oil and natural gas and potentially reducing the availability of oilfield services and midstream and downstream customers to our operators, any of these developments may also create reputational risks associated with the oil and gas sector, which may adversely affect the availability and cost of capital to us. For example, a number of prominent investors have publicly announced their intention to no longer invest in the oil and gas sector in response to concerns related to climate change, and other financial institutions and investors may decide to do likewise in the future. If financial institutions and other investors refuse to invest in or provide capital to the oil and gas sector in the future because of these </w:t>
      </w:r>
      <w:hyperlink r:id="rId49">
        <w:r>
          <w:rPr>
            <w:rFonts w:ascii="Arial" w:cs="Arial" w:eastAsia="Arial" w:hAnsi="Arial"/>
            <w:sz w:val="17"/>
            <w:szCs w:val="17"/>
            <w:color w:val="auto"/>
          </w:rPr>
          <w:t xml:space="preserve">reputational risks, that could result in capital being unavailable to us, or only at significantly increased cost. Please see the risk factor in our </w:t>
        </w:r>
        <w:r>
          <w:rPr>
            <w:rFonts w:ascii="Arial" w:cs="Arial" w:eastAsia="Arial" w:hAnsi="Arial"/>
            <w:sz w:val="17"/>
            <w:szCs w:val="17"/>
            <w:u w:val="single" w:color="auto"/>
            <w:color w:val="0000FF"/>
          </w:rPr>
          <w:t>Annual Report</w:t>
        </w:r>
      </w:hyperlink>
      <w:r>
        <w:rPr>
          <w:rFonts w:ascii="Arial" w:cs="Arial" w:eastAsia="Arial" w:hAnsi="Arial"/>
          <w:sz w:val="17"/>
          <w:szCs w:val="17"/>
          <w:color w:val="auto"/>
        </w:rPr>
        <w:t xml:space="preserve"> </w:t>
      </w:r>
      <w:hyperlink r:id="rId49">
        <w:r>
          <w:rPr>
            <w:rFonts w:ascii="Arial" w:cs="Arial" w:eastAsia="Arial" w:hAnsi="Arial"/>
            <w:sz w:val="17"/>
            <w:szCs w:val="17"/>
            <w:u w:val="single" w:color="auto"/>
            <w:color w:val="0000FF"/>
          </w:rPr>
          <w:t>on Form 10-K</w:t>
        </w:r>
        <w:r>
          <w:rPr>
            <w:rFonts w:ascii="Arial" w:cs="Arial" w:eastAsia="Arial" w:hAnsi="Arial"/>
            <w:sz w:val="17"/>
            <w:szCs w:val="17"/>
            <w:color w:val="0000FF"/>
          </w:rPr>
          <w:t xml:space="preserve"> </w:t>
        </w:r>
        <w:r>
          <w:rPr>
            <w:rFonts w:ascii="Arial" w:cs="Arial" w:eastAsia="Arial" w:hAnsi="Arial"/>
            <w:sz w:val="17"/>
            <w:szCs w:val="17"/>
            <w:color w:val="000000"/>
          </w:rPr>
          <w:t>for the year ended December 31, 2021 titled “</w:t>
        </w:r>
        <w:r>
          <w:rPr>
            <w:rFonts w:ascii="Arial" w:cs="Arial" w:eastAsia="Arial" w:hAnsi="Arial"/>
            <w:sz w:val="17"/>
            <w:szCs w:val="17"/>
            <w:i w:val="1"/>
            <w:iCs w:val="1"/>
            <w:color w:val="000000"/>
          </w:rPr>
          <w:t>Increased costs of capital could adversely affect our business</w:t>
        </w:r>
        <w:r>
          <w:rPr>
            <w:rFonts w:ascii="Arial" w:cs="Arial" w:eastAsia="Arial" w:hAnsi="Arial"/>
            <w:sz w:val="17"/>
            <w:szCs w:val="17"/>
            <w:color w:val="000000"/>
          </w:rPr>
          <w:t>” for more information regarding</w:t>
        </w:r>
      </w:hyperlink>
      <w:r>
        <w:rPr>
          <w:rFonts w:ascii="Arial" w:cs="Arial" w:eastAsia="Arial" w:hAnsi="Arial"/>
          <w:sz w:val="17"/>
          <w:szCs w:val="17"/>
          <w:color w:val="0000FF"/>
        </w:rPr>
        <w:t xml:space="preserve"> </w:t>
      </w:r>
      <w:r>
        <w:rPr>
          <w:rFonts w:ascii="Arial" w:cs="Arial" w:eastAsia="Arial" w:hAnsi="Arial"/>
          <w:sz w:val="17"/>
          <w:szCs w:val="17"/>
          <w:color w:val="000000"/>
        </w:rPr>
        <w:t>our need for capital and the potential impact on us of an increased cost of, or unavailability of, capital.</w:t>
      </w:r>
    </w:p>
    <w:p>
      <w:pPr>
        <w:spacing w:after="0" w:line="205" w:lineRule="exact"/>
        <w:rPr>
          <w:sz w:val="20"/>
          <w:szCs w:val="20"/>
          <w:color w:val="auto"/>
        </w:rPr>
      </w:pPr>
    </w:p>
    <w:p>
      <w:pPr>
        <w:jc w:val="both"/>
        <w:ind w:firstLine="648"/>
        <w:spacing w:after="0" w:line="271" w:lineRule="auto"/>
        <w:rPr>
          <w:rFonts w:ascii="Arial" w:cs="Arial" w:eastAsia="Arial" w:hAnsi="Arial"/>
          <w:sz w:val="17"/>
          <w:szCs w:val="17"/>
          <w:color w:val="auto"/>
        </w:rPr>
      </w:pPr>
      <w:r>
        <w:rPr>
          <w:rFonts w:ascii="Arial" w:cs="Arial" w:eastAsia="Arial" w:hAnsi="Arial"/>
          <w:sz w:val="17"/>
          <w:szCs w:val="17"/>
          <w:color w:val="auto"/>
        </w:rPr>
        <w:t>In addition, the enactment of climate change-related regulations, policies and initiatives may also result in increases in our operators’ compliance and other operating costs and have other adverse effects, such as a greater potential for governmental investigations or litigation, which may impair their ability to explore and develop our mineral and royalty acreage, all of which could adversely impact our business, financial condition and cash flows. For further discussion regarding the risks to us and our operators of climate change-related regulations, policies and initiatives, please see the discussion in our Annual Report on Form 10-K for the year ended December 31, 2021 in the section entitled “</w:t>
      </w:r>
      <w:r>
        <w:rPr>
          <w:rFonts w:ascii="Arial" w:cs="Arial" w:eastAsia="Arial" w:hAnsi="Arial"/>
          <w:sz w:val="17"/>
          <w:szCs w:val="17"/>
          <w:i w:val="1"/>
          <w:iCs w:val="1"/>
          <w:color w:val="auto"/>
        </w:rPr>
        <w:t>Business—Regulation—Climate Change.</w:t>
      </w:r>
      <w:r>
        <w:rPr>
          <w:rFonts w:ascii="Arial" w:cs="Arial" w:eastAsia="Arial" w:hAnsi="Arial"/>
          <w:sz w:val="17"/>
          <w:szCs w:val="17"/>
          <w:color w:val="auto"/>
        </w:rPr>
        <w:t xml:space="preserve">” Please also see the risk factors in our </w:t>
      </w:r>
      <w:hyperlink r:id="rId49">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titled “</w:t>
      </w:r>
      <w:r>
        <w:rPr>
          <w:rFonts w:ascii="Arial" w:cs="Arial" w:eastAsia="Arial" w:hAnsi="Arial"/>
          <w:sz w:val="17"/>
          <w:szCs w:val="17"/>
          <w:i w:val="1"/>
          <w:iCs w:val="1"/>
          <w:color w:val="auto"/>
        </w:rPr>
        <w:t>Changes in environmental laws could increase our</w:t>
      </w:r>
      <w:r>
        <w:rPr>
          <w:rFonts w:ascii="Arial" w:cs="Arial" w:eastAsia="Arial" w:hAnsi="Arial"/>
          <w:sz w:val="17"/>
          <w:szCs w:val="17"/>
          <w:color w:val="auto"/>
        </w:rPr>
        <w:t xml:space="preserve"> </w:t>
      </w:r>
      <w:r>
        <w:rPr>
          <w:rFonts w:ascii="Arial" w:cs="Arial" w:eastAsia="Arial" w:hAnsi="Arial"/>
          <w:sz w:val="17"/>
          <w:szCs w:val="17"/>
          <w:i w:val="1"/>
          <w:iCs w:val="1"/>
          <w:color w:val="auto"/>
        </w:rPr>
        <w:t>operators’ costs and adversely impact our business, financial condition and cash flows</w:t>
      </w:r>
      <w:r>
        <w:rPr>
          <w:rFonts w:ascii="Arial" w:cs="Arial" w:eastAsia="Arial" w:hAnsi="Arial"/>
          <w:sz w:val="17"/>
          <w:szCs w:val="17"/>
          <w:color w:val="auto"/>
        </w:rPr>
        <w:t>” for more information regarding the potential impact on us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operators of increased environmental regulations.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political and social concerns relating to climate change may result in significant litigation and related expenses.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Increasing attention to global climate change has resulted in increased investor attention and an increased risk of public and private litigation, which could increase our costs or otherwise adversely affect us. For example, shareholder activism has recently been increasing in our industry. Because of our structure as a limited partnership, we do not hold annual meetings or file proxy statements and our unitholders have limited voting rights. They may, however, attempt to effect changes to our business or governance to deal with climate change-related issues by public campaigns, investor communications, regulatory lobbying efforts or otherwise, which may result in significant management distraction and potentially significant expense.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we could incur substantial legal defense costs and, if any such litigation were adversely determined, we could incur substantial damages.</w:t>
      </w:r>
    </w:p>
    <w:p>
      <w:pPr>
        <w:spacing w:after="0" w:line="19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Any of these climate change-related litigation risks could result in unexpected costs, negative sentiments about our company, disruptions to our business, and increases to our operating expenses, which in turn could have an adverse effect on our business, financial condition and cash flow.</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producing properties in which we have mineral and royalty interests are concentrated in the Permian Basin of West Texas, making us vulnerable to risks (including weather-related risks) associated with a single geographic area. In addition, a large amount of our proved reserves is attributable to a small number of producing horizons within this area.</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producing properties in which we have mineral and royalty interests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faced by our operators or their customers, availability of equipment, facilities, personnel or services market limitations or interruption of the processing or transportation of crude oil, natural gas or natural gas liquids on our mineral and royalty acreage, and extreme weather conditions, such as the severe winter storms in the Permian Basin in February 2021, and their adverse impact on production volumes, availability of electrical power, road accessibility and transportation facilities on our mineral and royalty acreage.</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Extreme regional weather events may occur that can affect our operators’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(including potentially production on our mineral and royalty acreage) to be curtailed or shut in or (in the case of natural gas) flared. Further, any increase in flaring of natural gas production on our mineral and royalty acreage due to weather-related events or otherwise could expose us to reputational risks and adversely impact our or our operators’ contractual and other business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relationships. Any of the above-referenced events could have a material adverse effect on us. Likewise, a weather event like the severe winter storms in the Permian Basin in February 2021 could reduce the availability of electrical power, road accessibility, and transportation facilities, which could have an adverse impact on production volumes on our mineral and royalty acreage (and therefore on our financial condition and results of operations).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mineral and royalty acreage, we could experience any of these conditions at the same time, resulting in a relatively greater impact on us than they might have on other companies that have a more diversified portfolio of assets. Such delays or interruptions could have a material adverse effect on our business, financial condition and cash flow.</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geographic concentration of our mineral and royalty acreage, as of December 31, 2021, most of our proved reserves are concentrated in the Wolfberry play in the Midland Basin. This concentration of assets within a small number of producing horizons exposes us to additional risks, such as changes in field-wide rules and regulations that could cause our operators to permanently or temporarily shut-in all of wells on our mineral and royalty acreage.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June 30, 2022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 of Units</w:t>
            </w:r>
          </w:p>
        </w:tc>
        <w:tc>
          <w:tcPr>
            <w:tcW w:w="260" w:type="dxa"/>
            <w:vAlign w:val="bottom"/>
          </w:tcPr>
          <w:p>
            <w:pPr>
              <w:spacing w:after="0"/>
              <w:rPr>
                <w:sz w:val="16"/>
                <w:szCs w:val="16"/>
                <w:color w:val="auto"/>
              </w:rPr>
            </w:pPr>
          </w:p>
        </w:tc>
        <w:tc>
          <w:tcPr>
            <w:tcW w:w="164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Total Number of Units</w:t>
            </w:r>
          </w:p>
        </w:tc>
        <w:tc>
          <w:tcPr>
            <w:tcW w:w="1740" w:type="dxa"/>
            <w:vAlign w:val="bottom"/>
            <w:gridSpan w:val="2"/>
            <w:vMerge w:val="restart"/>
          </w:tcPr>
          <w:p>
            <w:pPr>
              <w:jc w:val="right"/>
              <w:ind w:right="133"/>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center"/>
              <w:ind w:left="14"/>
              <w:spacing w:after="0" w:line="162" w:lineRule="exact"/>
              <w:rPr>
                <w:sz w:val="20"/>
                <w:szCs w:val="20"/>
                <w:color w:val="auto"/>
              </w:rPr>
            </w:pPr>
            <w:r>
              <w:rPr>
                <w:rFonts w:ascii="Arial" w:cs="Arial" w:eastAsia="Arial" w:hAnsi="Arial"/>
                <w:sz w:val="16"/>
                <w:szCs w:val="16"/>
                <w:b w:val="1"/>
                <w:bCs w:val="1"/>
                <w:color w:val="auto"/>
                <w:w w:val="93"/>
              </w:rPr>
              <w:t>Value of Units that May</w:t>
            </w:r>
          </w:p>
        </w:tc>
        <w:tc>
          <w:tcPr>
            <w:tcW w:w="0" w:type="dxa"/>
            <w:vAlign w:val="bottom"/>
          </w:tcPr>
          <w:p>
            <w:pPr>
              <w:spacing w:after="0"/>
              <w:rPr>
                <w:sz w:val="1"/>
                <w:szCs w:val="1"/>
                <w:color w:val="auto"/>
              </w:rPr>
            </w:pPr>
          </w:p>
        </w:tc>
      </w:tr>
      <w:tr>
        <w:trPr>
          <w:trHeight w:val="162"/>
        </w:trPr>
        <w:tc>
          <w:tcPr>
            <w:tcW w:w="3880" w:type="dxa"/>
            <w:vAlign w:val="bottom"/>
            <w:gridSpan w:val="2"/>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900" w:type="dxa"/>
            <w:vAlign w:val="bottom"/>
            <w:gridSpan w:val="2"/>
          </w:tcPr>
          <w:p>
            <w:pPr>
              <w:jc w:val="center"/>
              <w:ind w:left="14"/>
              <w:spacing w:after="0" w:line="162" w:lineRule="exact"/>
              <w:rPr>
                <w:sz w:val="20"/>
                <w:szCs w:val="20"/>
                <w:color w:val="auto"/>
              </w:rPr>
            </w:pPr>
            <w:r>
              <w:rPr>
                <w:rFonts w:ascii="Arial" w:cs="Arial" w:eastAsia="Arial" w:hAnsi="Arial"/>
                <w:sz w:val="16"/>
                <w:szCs w:val="16"/>
                <w:b w:val="1"/>
                <w:bCs w:val="1"/>
                <w:color w:val="auto"/>
                <w:w w:val="89"/>
              </w:rPr>
              <w:t>Yet Be Purchased Under</w:t>
            </w:r>
          </w:p>
        </w:tc>
        <w:tc>
          <w:tcPr>
            <w:tcW w:w="0" w:type="dxa"/>
            <w:vAlign w:val="bottom"/>
          </w:tcPr>
          <w:p>
            <w:pPr>
              <w:spacing w:after="0"/>
              <w:rPr>
                <w:sz w:val="1"/>
                <w:szCs w:val="1"/>
                <w:color w:val="auto"/>
              </w:rPr>
            </w:pPr>
          </w:p>
        </w:tc>
      </w:tr>
      <w:tr>
        <w:trPr>
          <w:trHeight w:val="216"/>
        </w:trPr>
        <w:tc>
          <w:tcPr>
            <w:tcW w:w="3880" w:type="dxa"/>
            <w:vAlign w:val="bottom"/>
            <w:gridSpan w:val="2"/>
            <w:vMerge w:val="continue"/>
          </w:tcPr>
          <w:p>
            <w:pPr>
              <w:spacing w:after="0"/>
              <w:rPr>
                <w:sz w:val="18"/>
                <w:szCs w:val="18"/>
                <w:color w:val="auto"/>
              </w:rPr>
            </w:pPr>
          </w:p>
        </w:tc>
        <w:tc>
          <w:tcPr>
            <w:tcW w:w="18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360" w:type="dxa"/>
            <w:vAlign w:val="bottom"/>
          </w:tcPr>
          <w:p>
            <w:pPr>
              <w:spacing w:after="0"/>
              <w:rPr>
                <w:sz w:val="18"/>
                <w:szCs w:val="18"/>
                <w:color w:val="auto"/>
              </w:rPr>
            </w:pPr>
          </w:p>
        </w:tc>
        <w:tc>
          <w:tcPr>
            <w:tcW w:w="1380" w:type="dxa"/>
            <w:vAlign w:val="bottom"/>
          </w:tcPr>
          <w:p>
            <w:pPr>
              <w:jc w:val="right"/>
              <w:ind w:right="433"/>
              <w:spacing w:after="0" w:line="216" w:lineRule="exact"/>
              <w:rPr>
                <w:sz w:val="20"/>
                <w:szCs w:val="20"/>
                <w:color w:val="auto"/>
              </w:rPr>
            </w:pPr>
            <w:r>
              <w:rPr>
                <w:rFonts w:ascii="Arial" w:cs="Arial" w:eastAsia="Arial" w:hAnsi="Arial"/>
                <w:sz w:val="16"/>
                <w:szCs w:val="16"/>
                <w:b w:val="1"/>
                <w:bCs w:val="1"/>
                <w:color w:val="auto"/>
              </w:rPr>
              <w:t>Per Unit</w:t>
            </w:r>
            <w:r>
              <w:rPr>
                <w:rFonts w:ascii="Arial" w:cs="Arial" w:eastAsia="Arial" w:hAnsi="Arial"/>
                <w:sz w:val="21"/>
                <w:szCs w:val="21"/>
                <w:b w:val="1"/>
                <w:bCs w:val="1"/>
                <w:color w:val="auto"/>
                <w:vertAlign w:val="superscript"/>
              </w:rPr>
              <w:t>(2)</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260" w:type="dxa"/>
            <w:vAlign w:val="bottom"/>
          </w:tcPr>
          <w:p>
            <w:pPr>
              <w:spacing w:after="0"/>
              <w:rPr>
                <w:sz w:val="18"/>
                <w:szCs w:val="18"/>
                <w:color w:val="auto"/>
              </w:rPr>
            </w:pPr>
          </w:p>
        </w:tc>
        <w:tc>
          <w:tcPr>
            <w:tcW w:w="1640" w:type="dxa"/>
            <w:vAlign w:val="bottom"/>
          </w:tcPr>
          <w:p>
            <w:pPr>
              <w:jc w:val="center"/>
              <w:ind w:right="74"/>
              <w:spacing w:after="0" w:line="216" w:lineRule="exact"/>
              <w:rPr>
                <w:sz w:val="20"/>
                <w:szCs w:val="20"/>
                <w:color w:val="auto"/>
              </w:rPr>
            </w:pPr>
            <w:r>
              <w:rPr>
                <w:rFonts w:ascii="Arial" w:cs="Arial" w:eastAsia="Arial" w:hAnsi="Arial"/>
                <w:sz w:val="16"/>
                <w:szCs w:val="16"/>
                <w:b w:val="1"/>
                <w:bCs w:val="1"/>
                <w:color w:val="auto"/>
                <w:w w:val="85"/>
              </w:rPr>
              <w:t>the Plan</w:t>
            </w:r>
            <w:r>
              <w:rPr>
                <w:rFonts w:ascii="Arial" w:cs="Arial" w:eastAsia="Arial" w:hAnsi="Arial"/>
                <w:sz w:val="21"/>
                <w:szCs w:val="21"/>
                <w:b w:val="1"/>
                <w:bCs w:val="1"/>
                <w:color w:val="auto"/>
                <w:w w:val="85"/>
                <w:vertAlign w:val="superscript"/>
              </w:rPr>
              <w:t>(3)</w:t>
            </w:r>
          </w:p>
        </w:tc>
        <w:tc>
          <w:tcPr>
            <w:tcW w:w="0" w:type="dxa"/>
            <w:vAlign w:val="bottom"/>
          </w:tcPr>
          <w:p>
            <w:pPr>
              <w:spacing w:after="0"/>
              <w:rPr>
                <w:sz w:val="1"/>
                <w:szCs w:val="1"/>
                <w:color w:val="auto"/>
              </w:rPr>
            </w:pPr>
          </w:p>
        </w:tc>
      </w:tr>
      <w:tr>
        <w:trPr>
          <w:trHeight w:val="207"/>
        </w:trPr>
        <w:tc>
          <w:tcPr>
            <w:tcW w:w="3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2"/>
          </w:tcPr>
          <w:p>
            <w:pPr>
              <w:jc w:val="right"/>
              <w:ind w:right="454"/>
              <w:spacing w:after="0"/>
              <w:rPr>
                <w:sz w:val="20"/>
                <w:szCs w:val="20"/>
                <w:color w:val="auto"/>
              </w:rPr>
            </w:pPr>
            <w:r>
              <w:rPr>
                <w:rFonts w:ascii="Arial" w:cs="Arial" w:eastAsia="Arial" w:hAnsi="Arial"/>
                <w:sz w:val="16"/>
                <w:szCs w:val="16"/>
                <w:b w:val="1"/>
                <w:bCs w:val="1"/>
                <w:color w:val="auto"/>
                <w:w w:val="97"/>
              </w:rPr>
              <w:t>(In thousands, except unit amounts)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2022 - April 30, 2022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140,715</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May 1, 2022 - May 31, 2022</w:t>
            </w:r>
          </w:p>
        </w:tc>
        <w:tc>
          <w:tcPr>
            <w:tcW w:w="1860" w:type="dxa"/>
            <w:vAlign w:val="bottom"/>
          </w:tcPr>
          <w:p>
            <w:pPr>
              <w:jc w:val="right"/>
              <w:spacing w:after="0"/>
              <w:rPr>
                <w:sz w:val="20"/>
                <w:szCs w:val="20"/>
                <w:color w:val="auto"/>
              </w:rPr>
            </w:pPr>
            <w:r>
              <w:rPr>
                <w:rFonts w:ascii="Arial" w:cs="Arial" w:eastAsia="Arial" w:hAnsi="Arial"/>
                <w:sz w:val="18"/>
                <w:szCs w:val="18"/>
                <w:color w:val="auto"/>
              </w:rPr>
              <w:t>600,000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28.98</w:t>
            </w:r>
          </w:p>
        </w:tc>
        <w:tc>
          <w:tcPr>
            <w:tcW w:w="186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123,330</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2022 - June 30,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27.53</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111,766</w:t>
            </w:r>
          </w:p>
        </w:tc>
        <w:tc>
          <w:tcPr>
            <w:tcW w:w="0" w:type="dxa"/>
            <w:vAlign w:val="bottom"/>
          </w:tcPr>
          <w:p>
            <w:pPr>
              <w:spacing w:after="0"/>
              <w:rPr>
                <w:sz w:val="1"/>
                <w:szCs w:val="1"/>
                <w:color w:val="auto"/>
              </w:rPr>
            </w:pPr>
          </w:p>
        </w:tc>
      </w:tr>
      <w:tr>
        <w:trPr>
          <w:trHeight w:val="224"/>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spacing w:after="0"/>
              <w:rPr>
                <w:sz w:val="20"/>
                <w:szCs w:val="20"/>
                <w:color w:val="auto"/>
              </w:rPr>
            </w:pPr>
            <w:r>
              <w:rPr>
                <w:rFonts w:ascii="Arial" w:cs="Arial" w:eastAsia="Arial" w:hAnsi="Arial"/>
                <w:sz w:val="18"/>
                <w:szCs w:val="18"/>
                <w:color w:val="auto"/>
              </w:rPr>
              <w:t>1,020,000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28.38</w:t>
            </w:r>
          </w:p>
        </w:tc>
        <w:tc>
          <w:tcPr>
            <w:tcW w:w="1860" w:type="dxa"/>
            <w:vAlign w:val="bottom"/>
          </w:tcPr>
          <w:p>
            <w:pPr>
              <w:jc w:val="right"/>
              <w:spacing w:after="0"/>
              <w:rPr>
                <w:sz w:val="20"/>
                <w:szCs w:val="20"/>
                <w:color w:val="auto"/>
              </w:rPr>
            </w:pPr>
            <w:r>
              <w:rPr>
                <w:rFonts w:ascii="Arial" w:cs="Arial" w:eastAsia="Arial" w:hAnsi="Arial"/>
                <w:sz w:val="18"/>
                <w:szCs w:val="18"/>
                <w:color w:val="auto"/>
              </w:rPr>
              <w:t>1,020,000</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line="258"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common units repurchased from employees in order to satisfy tax withholding requirements, if any. Such units are cancelled and retired immediately upon repurchase.</w:t>
      </w:r>
    </w:p>
    <w:p>
      <w:pPr>
        <w:spacing w:after="0" w:line="1" w:lineRule="exact"/>
        <w:rPr>
          <w:rFonts w:ascii="Arial" w:cs="Arial" w:eastAsia="Arial" w:hAnsi="Arial"/>
          <w:sz w:val="18"/>
          <w:szCs w:val="18"/>
          <w:color w:val="auto"/>
        </w:rPr>
      </w:pPr>
    </w:p>
    <w:p>
      <w:pPr>
        <w:ind w:left="320" w:hanging="312"/>
        <w:spacing w:after="0" w:line="23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price paid per common unit includes any commissions paid to repurchase a common unit.</w:t>
      </w:r>
    </w:p>
    <w:p>
      <w:pPr>
        <w:jc w:val="both"/>
        <w:ind w:left="340" w:hanging="332"/>
        <w:spacing w:after="0" w:line="254" w:lineRule="auto"/>
        <w:tabs>
          <w:tab w:leader="none" w:pos="33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of directors of our General Partner initially approved a $100.0 million common unit repurchase program in November of 2020 and, effective November 15, 2021, increased our authorization under this program to acquire up to $150.0 million of our outstanding common units and extended the term of the repurchase program indefinitely. In April 2022, the repurchase program authorization was further increased to $250.0 million. On July 26, 2022 the board of directors of our General Partner increased the authorization of our common unit repurchase program to $750.0 million. This repurchase program remains subject to market conditions, applicable legal requirements, contractual obligations and other factors and may be suspended from time to time, modified, extended or discontinued by the board of directors of our General Partner at any time.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10040" w:type="dxa"/>
            <w:vAlign w:val="bottom"/>
            <w:gridSpan w:val="30"/>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114"/>
        </w:trPr>
        <w:tc>
          <w:tcPr>
            <w:tcW w:w="13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2"/>
        </w:trPr>
        <w:tc>
          <w:tcPr>
            <w:tcW w:w="13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40" w:type="dxa"/>
            <w:vAlign w:val="bottom"/>
            <w:gridSpan w:val="30"/>
            <w:shd w:val="clear" w:color="auto" w:fill="CCEEFF"/>
          </w:tcPr>
          <w:p>
            <w:pPr>
              <w:spacing w:after="0" w:line="182" w:lineRule="exact"/>
              <w:rPr>
                <w:rFonts w:ascii="Arial" w:cs="Arial" w:eastAsia="Arial" w:hAnsi="Arial"/>
                <w:sz w:val="18"/>
                <w:szCs w:val="18"/>
                <w:color w:val="0000FF"/>
              </w:rPr>
            </w:pPr>
            <w:hyperlink r:id="rId54">
              <w:r>
                <w:rPr>
                  <w:rFonts w:ascii="Arial" w:cs="Arial" w:eastAsia="Arial" w:hAnsi="Arial"/>
                  <w:sz w:val="18"/>
                  <w:szCs w:val="18"/>
                  <w:color w:val="0000FF"/>
                </w:rPr>
                <w:t>Purchase and Sale Agreement dated August 6, 2021 by and among Swallowtail Royalties LLC, Swallowtail Royalties II LLC</w:t>
              </w:r>
            </w:hyperlink>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800" w:type="dxa"/>
            <w:vAlign w:val="bottom"/>
            <w:tcBorders>
              <w:top w:val="single" w:sz="8" w:color="0000FF"/>
              <w:bottom w:val="single" w:sz="8" w:color="0000FF"/>
            </w:tcBorders>
            <w:gridSpan w:val="18"/>
            <w:shd w:val="clear" w:color="auto" w:fill="CCEEFF"/>
          </w:tcPr>
          <w:p>
            <w:pPr>
              <w:spacing w:after="0" w:line="15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(collectively, as seller), Viper Energy Partners LLC (as buyer) and Viper Energy Partners LP (as parent, and collectively with Viper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0" w:type="dxa"/>
            <w:vAlign w:val="bottom"/>
            <w:gridSpan w:val="28"/>
            <w:shd w:val="clear" w:color="auto" w:fill="CCEEFF"/>
          </w:tcPr>
          <w:p>
            <w:pPr>
              <w:spacing w:after="0" w:line="156" w:lineRule="exact"/>
              <w:rPr>
                <w:rFonts w:ascii="Arial" w:cs="Arial" w:eastAsia="Arial" w:hAnsi="Arial"/>
                <w:sz w:val="18"/>
                <w:szCs w:val="18"/>
                <w:color w:val="0000FF"/>
                <w:w w:val="97"/>
              </w:rPr>
            </w:pPr>
            <w:hyperlink r:id="rId54">
              <w:r>
                <w:rPr>
                  <w:rFonts w:ascii="Arial" w:cs="Arial" w:eastAsia="Arial" w:hAnsi="Arial"/>
                  <w:sz w:val="18"/>
                  <w:szCs w:val="18"/>
                  <w:color w:val="0000FF"/>
                  <w:w w:val="97"/>
                </w:rPr>
                <w:t>Energy Partners LLC, as buyer parties) (incorporated by reference to Exhibit 2.1 of the Partnership’s Current Report on Form 8-K</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(File 001-36505) filed on August 12,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rPr>
            </w:pPr>
            <w:hyperlink r:id="rId55">
              <w:r>
                <w:rPr>
                  <w:rFonts w:ascii="Arial" w:cs="Arial" w:eastAsia="Arial" w:hAnsi="Arial"/>
                  <w:sz w:val="18"/>
                  <w:szCs w:val="18"/>
                  <w:color w:val="0000FF"/>
                </w:rPr>
                <w:t>Certificate of Limited Partnership of Viper Energy Partners LP (incorporated by reference to Exhibit 3.1 of the Partnership’s</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Registration Statement on Form S-1 (File 333-195769) filed on May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61"/>
        </w:trPr>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8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740" w:type="dxa"/>
            <w:vAlign w:val="bottom"/>
            <w:tcBorders>
              <w:top w:val="single" w:sz="8" w:color="0000FF"/>
            </w:tcBorders>
          </w:tcPr>
          <w:p>
            <w:pPr>
              <w:spacing w:after="0"/>
              <w:rPr>
                <w:sz w:val="5"/>
                <w:szCs w:val="5"/>
                <w:color w:val="auto"/>
              </w:rPr>
            </w:pPr>
          </w:p>
        </w:tc>
        <w:tc>
          <w:tcPr>
            <w:tcW w:w="2460" w:type="dxa"/>
            <w:vAlign w:val="bottom"/>
            <w:tcBorders>
              <w:top w:val="single" w:sz="8" w:color="0000FF"/>
            </w:tcBorders>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Second Amended and Restated Agreement of Limited Partnership of Viper Energy Partners LP, dated as of May 9, 2018 (incorporated</w:t>
              </w:r>
            </w:hyperlink>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by reference to Exhibit 3.1 of the Partnership’s Current Report on Form 8-K (File 001-36505) filed on May 15,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First Amendment to Second Amended and Restated Agreement of Limited Partnership of Viper Energy Partners LP, dated as of May</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6" w:lineRule="exact"/>
              <w:rPr>
                <w:rFonts w:ascii="Arial" w:cs="Arial" w:eastAsia="Arial" w:hAnsi="Arial"/>
                <w:sz w:val="18"/>
                <w:szCs w:val="18"/>
                <w:color w:val="0000FF"/>
                <w:w w:val="96"/>
              </w:rPr>
            </w:pPr>
            <w:hyperlink r:id="rId57">
              <w:r>
                <w:rPr>
                  <w:rFonts w:ascii="Arial" w:cs="Arial" w:eastAsia="Arial" w:hAnsi="Arial"/>
                  <w:sz w:val="18"/>
                  <w:szCs w:val="18"/>
                  <w:color w:val="0000FF"/>
                  <w:w w:val="96"/>
                </w:rPr>
                <w:t>10, 2018. (incorporated by reference to Exhibit 3.2 of the Partnership’s Current Report on Form 8-K (File 001-36505) filed on May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15, 2018).</w:t>
              </w:r>
            </w:hyperlink>
          </w:p>
        </w:tc>
        <w:tc>
          <w:tcPr>
            <w:tcW w:w="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Second Amended and Restated Limited Liability Company Agreement of Viper Energy Partners LLC, dated as of May 9, 2018.</w:t>
              </w:r>
            </w:hyperlink>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52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(incorporated by reference to Exhibit 3.3 of the Partnership’s Current Report on Form 8-K (File 001-36505) filed on May 15, 2018).</w:t>
              </w:r>
            </w:hyperlink>
          </w:p>
        </w:tc>
        <w:tc>
          <w:tcPr>
            <w:tcW w:w="38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First Amendment to Second Amended and Restated Limited Liability Company Agreement of Viper Energy Partners LLC, dated as of</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March 30, 2020 (incorporated by reference to Exhibit 3.1 of the Partnership’s Current Report on Form 8-K (File 001-36505)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March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Arial" w:cs="Arial" w:eastAsia="Arial" w:hAnsi="Arial"/>
                <w:sz w:val="18"/>
                <w:szCs w:val="18"/>
                <w:color w:val="0000FF"/>
                <w:w w:val="98"/>
              </w:rPr>
            </w:pPr>
            <w:hyperlink r:id="rId60">
              <w:r>
                <w:rPr>
                  <w:rFonts w:ascii="Arial" w:cs="Arial" w:eastAsia="Arial" w:hAnsi="Arial"/>
                  <w:sz w:val="18"/>
                  <w:szCs w:val="18"/>
                  <w:color w:val="0000FF"/>
                  <w:w w:val="98"/>
                </w:rPr>
                <w:t>Second Amendment to the Second Amended and Restated Limited Liability Company Agreement of Viper Energy Partners LLC,</w:t>
              </w:r>
            </w:hyperlink>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60" w:type="dxa"/>
            <w:vAlign w:val="bottom"/>
            <w:tcBorders>
              <w:top w:val="single" w:sz="8" w:color="0000FF"/>
              <w:bottom w:val="single" w:sz="8" w:color="0000FF"/>
            </w:tcBorders>
            <w:gridSpan w:val="16"/>
            <w:shd w:val="clear" w:color="auto" w:fill="CCEEFF"/>
          </w:tcPr>
          <w:p>
            <w:pPr>
              <w:spacing w:after="0" w:line="15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dated as of December 27, 2021 (incorporated by reference to 3.1 of the Partnership’s Current Report on Form 8-K (File 001-36505)</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6"/>
        </w:trPr>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0000FF"/>
            </w:tcBorders>
            <w:gridSpan w:val="4"/>
            <w:shd w:val="clear" w:color="auto" w:fill="CCEEFF"/>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filed on December 28, 2021).</w:t>
              </w:r>
            </w:hyperlink>
          </w:p>
        </w:tc>
        <w:tc>
          <w:tcPr>
            <w:tcW w:w="7740" w:type="dxa"/>
            <w:vAlign w:val="bottom"/>
            <w:tcBorders>
              <w:bottom w:val="single" w:sz="8" w:color="CCEEFF"/>
            </w:tcBorders>
            <w:gridSpan w:val="17"/>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gridSpan w:val="3"/>
            <w:shd w:val="clear" w:color="auto" w:fill="CCEEFF"/>
          </w:tcPr>
          <w:p>
            <w:pPr>
              <w:spacing w:after="0"/>
              <w:rPr>
                <w:sz w:val="15"/>
                <w:szCs w:val="15"/>
                <w:color w:val="auto"/>
              </w:rPr>
            </w:pPr>
          </w:p>
        </w:tc>
        <w:tc>
          <w:tcPr>
            <w:tcW w:w="80" w:type="dxa"/>
            <w:vAlign w:val="bottom"/>
            <w:tcBorders>
              <w:bottom w:val="single" w:sz="8" w:color="CCEEFF"/>
            </w:tcBorders>
            <w:gridSpan w:val="4"/>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w w:val="97"/>
              </w:rPr>
            </w:pPr>
            <w:hyperlink r:id="rId61">
              <w:r>
                <w:rPr>
                  <w:rFonts w:ascii="Arial" w:cs="Arial" w:eastAsia="Arial" w:hAnsi="Arial"/>
                  <w:sz w:val="18"/>
                  <w:szCs w:val="18"/>
                  <w:color w:val="0000FF"/>
                  <w:w w:val="97"/>
                </w:rPr>
                <w:t>Amended and Restated Registration Rights Agreement, dated as of May 9, 2018, by and between Viper Energy Partners LP and</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Diamondback Energy, Inc. (incorporated by reference to Exhibit 4.1 of the Partnership’s Current Report on Form 8-K (File 001-</w:t>
              </w:r>
            </w:hyperlink>
          </w:p>
        </w:tc>
        <w:tc>
          <w:tcPr>
            <w:tcW w:w="100" w:type="dxa"/>
            <w:vAlign w:val="bottom"/>
            <w:tcBorders>
              <w:bottom w:val="single" w:sz="8" w:color="0000FF"/>
            </w:tcBorders>
            <w:gridSpan w:val="5"/>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29"/>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36505) filed on May 15, 2018).</w:t>
              </w:r>
            </w:hyperlink>
          </w:p>
        </w:tc>
        <w:tc>
          <w:tcPr>
            <w:tcW w:w="2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Arial" w:cs="Arial" w:eastAsia="Arial" w:hAnsi="Arial"/>
                <w:sz w:val="18"/>
                <w:szCs w:val="18"/>
                <w:color w:val="0000FF"/>
                <w:w w:val="94"/>
              </w:rPr>
            </w:pPr>
            <w:hyperlink r:id="rId62">
              <w:r>
                <w:rPr>
                  <w:rFonts w:ascii="Arial" w:cs="Arial" w:eastAsia="Arial" w:hAnsi="Arial"/>
                  <w:sz w:val="18"/>
                  <w:szCs w:val="18"/>
                  <w:color w:val="0000FF"/>
                  <w:w w:val="94"/>
                </w:rPr>
                <w:t>Registration Rights Agreement, dated as of October 1, 2021, by and among Viper Energy Partners LP, Swallowtail Royalties LLC and</w:t>
              </w:r>
            </w:hyperlink>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7"/>
              </w:rPr>
            </w:pPr>
            <w:hyperlink r:id="rId62">
              <w:r>
                <w:rPr>
                  <w:rFonts w:ascii="Arial" w:cs="Arial" w:eastAsia="Arial" w:hAnsi="Arial"/>
                  <w:sz w:val="18"/>
                  <w:szCs w:val="18"/>
                  <w:color w:val="0000FF"/>
                  <w:w w:val="97"/>
                </w:rPr>
                <w:t>Swallowtail Royalties II LLC (incorporated by reference to Exhibit 4.1 of the Partnership’s Current Report on Form 8-K (File 001-</w:t>
              </w:r>
            </w:hyperlink>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36505) filed on October 7, 2021).</w:t>
              </w:r>
            </w:hyperlink>
          </w:p>
        </w:tc>
        <w:tc>
          <w:tcPr>
            <w:tcW w:w="160" w:type="dxa"/>
            <w:vAlign w:val="bottom"/>
            <w:tcBorders>
              <w:top w:val="single" w:sz="8" w:color="CCEEFF"/>
            </w:tcBorders>
            <w:gridSpan w:val="8"/>
            <w:shd w:val="clear" w:color="auto" w:fill="CCEEFF"/>
          </w:tcPr>
          <w:p>
            <w:pPr>
              <w:spacing w:after="0"/>
              <w:rPr>
                <w:sz w:val="13"/>
                <w:szCs w:val="13"/>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w w:val="99"/>
              </w:rPr>
            </w:pPr>
            <w:hyperlink w:anchor="page41">
              <w:r>
                <w:rPr>
                  <w:rFonts w:ascii="Arial" w:cs="Arial" w:eastAsia="Arial" w:hAnsi="Arial"/>
                  <w:sz w:val="18"/>
                  <w:szCs w:val="18"/>
                  <w:color w:val="0000FF"/>
                  <w:w w:val="99"/>
                </w:rPr>
                <w:t>Certification of Chief Executive Officer pursuant to Rule 13a-14(a) promulgated under the Securities Exchange Act of 1934, as</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amended.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61"/>
        </w:trPr>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Certification of Chief Financial Officer pursuant to Rule 13a-14(a) promulgated under the Securities Exchange Act of 1934, as</w:t>
              </w:r>
            </w:hyperlink>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amended.</w:t>
              </w:r>
            </w:hyperlink>
          </w:p>
        </w:tc>
        <w:tc>
          <w:tcPr>
            <w:tcW w:w="300" w:type="dxa"/>
            <w:vAlign w:val="bottom"/>
            <w:tcBorders>
              <w:top w:val="single" w:sz="8" w:color="CCEEFF"/>
            </w:tcBorders>
            <w:gridSpan w:val="15"/>
            <w:shd w:val="clear" w:color="auto" w:fill="CCEEFF"/>
          </w:tcPr>
          <w:p>
            <w:pPr>
              <w:spacing w:after="0"/>
              <w:rPr>
                <w:sz w:val="13"/>
                <w:szCs w:val="13"/>
                <w:color w:val="auto"/>
              </w:rPr>
            </w:pPr>
          </w:p>
        </w:tc>
      </w:tr>
      <w:tr>
        <w:trPr>
          <w:trHeight w:val="61"/>
        </w:trPr>
        <w:tc>
          <w:tcPr>
            <w:tcW w:w="1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6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Arial" w:cs="Arial" w:eastAsia="Arial" w:hAnsi="Arial"/>
                <w:sz w:val="18"/>
                <w:szCs w:val="18"/>
                <w:color w:val="0000FF"/>
                <w:w w:val="99"/>
              </w:rPr>
            </w:pPr>
            <w:hyperlink w:anchor="page43">
              <w:r>
                <w:rPr>
                  <w:rFonts w:ascii="Arial" w:cs="Arial" w:eastAsia="Arial" w:hAnsi="Arial"/>
                  <w:sz w:val="18"/>
                  <w:szCs w:val="18"/>
                  <w:color w:val="0000FF"/>
                  <w:w w:val="99"/>
                </w:rPr>
                <w:t>Certification of Chief Executive Officer and Chief Financial Officer pursuant to Rule 13a-14(b) promulgated under the Securities</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Exchange Act of 1934, as amended, and Section 1350 of Chapter 63 of Title 18 of the United States Code.</w:t>
              </w:r>
            </w:hyperlink>
          </w:p>
        </w:tc>
        <w:tc>
          <w:tcPr>
            <w:tcW w:w="2060" w:type="dxa"/>
            <w:vAlign w:val="bottom"/>
            <w:tcBorders>
              <w:top w:val="single" w:sz="8" w:color="0000FF"/>
            </w:tcBorders>
            <w:gridSpan w:val="5"/>
          </w:tcPr>
          <w:p>
            <w:pPr>
              <w:spacing w:after="0"/>
              <w:rPr>
                <w:sz w:val="13"/>
                <w:szCs w:val="13"/>
                <w:color w:val="auto"/>
              </w:rPr>
            </w:pPr>
          </w:p>
        </w:tc>
        <w:tc>
          <w:tcPr>
            <w:tcW w:w="320" w:type="dxa"/>
            <w:vAlign w:val="bottom"/>
            <w:gridSpan w:val="16"/>
          </w:tcPr>
          <w:p>
            <w:pPr>
              <w:spacing w:after="0"/>
              <w:rPr>
                <w:sz w:val="13"/>
                <w:szCs w:val="13"/>
                <w:color w:val="auto"/>
              </w:rPr>
            </w:pPr>
          </w:p>
        </w:tc>
      </w:tr>
    </w:tbl>
    <w:p>
      <w:pPr>
        <w:spacing w:after="0" w:line="67" w:lineRule="exact"/>
        <w:rPr>
          <w:sz w:val="20"/>
          <w:szCs w:val="20"/>
          <w:color w:val="auto"/>
        </w:rPr>
      </w:pPr>
    </w:p>
    <w:p>
      <w:pPr>
        <w:jc w:val="both"/>
        <w:ind w:left="1500" w:right="60" w:hanging="1474"/>
        <w:spacing w:after="0" w:line="235" w:lineRule="auto"/>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June 30, 2022, formatted in Inline XBRL: (i) Condensed Consolidated Balance Sheets, (ii) Condensed Consolidated Statements of Operations, (iii) Condensed Consolidated Statement of Changes in Unitholders’ Equity, (iv) Condensed Consolidated Statements of Cash Flows and</w:t>
      </w:r>
    </w:p>
    <w:p>
      <w:pPr>
        <w:spacing w:after="0" w:line="2"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548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95"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52" w:lineRule="exact"/>
        <w:rPr>
          <w:sz w:val="20"/>
          <w:szCs w:val="20"/>
          <w:color w:val="auto"/>
        </w:rPr>
      </w:pPr>
    </w:p>
    <w:p>
      <w:pPr>
        <w:ind w:left="500" w:hanging="474"/>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500" w:right="20" w:hanging="474"/>
        <w:spacing w:after="0" w:line="22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680" w:type="dxa"/>
            <w:vAlign w:val="bottom"/>
            <w:gridSpan w:val="2"/>
          </w:tcPr>
          <w:p>
            <w:pPr>
              <w:ind w:left="1740"/>
              <w:spacing w:after="0"/>
              <w:rPr>
                <w:sz w:val="20"/>
                <w:szCs w:val="20"/>
                <w:color w:val="auto"/>
              </w:rPr>
            </w:pPr>
            <w:r>
              <w:rPr>
                <w:rFonts w:ascii="Arial" w:cs="Arial" w:eastAsia="Arial" w:hAnsi="Arial"/>
                <w:sz w:val="18"/>
                <w:szCs w:val="18"/>
                <w:b w:val="1"/>
                <w:bCs w:val="1"/>
                <w:color w:val="auto"/>
              </w:rPr>
              <w:t>VIPER ENERGY PARTNERS LP</w:t>
            </w:r>
          </w:p>
        </w:tc>
      </w:tr>
      <w:tr>
        <w:trPr>
          <w:trHeight w:val="499"/>
        </w:trPr>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680" w:type="dxa"/>
            <w:vAlign w:val="bottom"/>
            <w:gridSpan w:val="2"/>
          </w:tcPr>
          <w:p>
            <w:pPr>
              <w:ind w:left="1740"/>
              <w:spacing w:after="0"/>
              <w:rPr>
                <w:sz w:val="20"/>
                <w:szCs w:val="20"/>
                <w:color w:val="auto"/>
              </w:rPr>
            </w:pPr>
            <w:r>
              <w:rPr>
                <w:rFonts w:ascii="Arial" w:cs="Arial" w:eastAsia="Arial" w:hAnsi="Arial"/>
                <w:sz w:val="18"/>
                <w:szCs w:val="18"/>
                <w:color w:val="auto"/>
              </w:rPr>
              <w:t>By:   VIPER ENERGY PARTNERS GP LLC</w:t>
            </w:r>
          </w:p>
        </w:tc>
      </w:tr>
      <w:tr>
        <w:trPr>
          <w:trHeight w:val="230"/>
        </w:trPr>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140"/>
              <w:spacing w:after="0"/>
              <w:rPr>
                <w:sz w:val="20"/>
                <w:szCs w:val="20"/>
                <w:color w:val="auto"/>
              </w:rPr>
            </w:pPr>
            <w:r>
              <w:rPr>
                <w:rFonts w:ascii="Arial" w:cs="Arial" w:eastAsia="Arial" w:hAnsi="Arial"/>
                <w:sz w:val="18"/>
                <w:szCs w:val="18"/>
                <w:color w:val="auto"/>
              </w:rPr>
              <w:t>August 3, 2022</w:t>
            </w:r>
          </w:p>
        </w:tc>
        <w:tc>
          <w:tcPr>
            <w:tcW w:w="222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140"/>
              <w:spacing w:after="0"/>
              <w:rPr>
                <w:sz w:val="20"/>
                <w:szCs w:val="20"/>
                <w:color w:val="auto"/>
              </w:rPr>
            </w:pPr>
            <w:r>
              <w:rPr>
                <w:rFonts w:ascii="Arial" w:cs="Arial" w:eastAsia="Arial" w:hAnsi="Arial"/>
                <w:sz w:val="18"/>
                <w:szCs w:val="18"/>
                <w:color w:val="auto"/>
              </w:rPr>
              <w:t>August 3, 2022</w:t>
            </w:r>
          </w:p>
        </w:tc>
        <w:tc>
          <w:tcPr>
            <w:tcW w:w="222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40"/>
              <w:spacing w:after="0"/>
              <w:rPr>
                <w:sz w:val="20"/>
                <w:szCs w:val="20"/>
                <w:color w:val="auto"/>
              </w:rPr>
            </w:pPr>
            <w:r>
              <w:rPr>
                <w:rFonts w:ascii="Arial" w:cs="Arial" w:eastAsia="Arial" w:hAnsi="Arial"/>
                <w:sz w:val="18"/>
                <w:szCs w:val="18"/>
                <w:color w:val="auto"/>
              </w:rPr>
              <w:t>August 3,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200"/>
              <w:spacing w:after="0"/>
              <w:rPr>
                <w:sz w:val="20"/>
                <w:szCs w:val="20"/>
                <w:color w:val="auto"/>
              </w:rPr>
            </w:pPr>
            <w:r>
              <w:rPr>
                <w:rFonts w:ascii="Arial" w:cs="Arial" w:eastAsia="Arial" w:hAnsi="Arial"/>
                <w:sz w:val="18"/>
                <w:szCs w:val="18"/>
                <w:color w:val="auto"/>
              </w:rPr>
              <w:t>August 3,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August 3,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August 3,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1)"/>
      <w:numFmt w:val="lowerRoman"/>
      <w:start w:val="2"/>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16" Type="http://schemas.openxmlformats.org/officeDocument/2006/relationships/hyperlink" Target="http://www.sec.gov/ix?doc=/Archives/edgar/data/1602065/000160206522000023/vnom-20220331.htm#i1e50f84bb5d64b07b794e7bd9508ebab_130" TargetMode="External"/><Relationship Id="rId24" Type="http://schemas.openxmlformats.org/officeDocument/2006/relationships/hyperlink" Target="http://www.sec.gov/ix?doc=/Archives/edgar/data/1602065/000160206522000008/vnom-20211231.htm" TargetMode="External"/><Relationship Id="rId49" Type="http://schemas.openxmlformats.org/officeDocument/2006/relationships/hyperlink" Target="http://www.sec.gov/ix?doc=/Archives/edgar/data/1602065/000160206522000008/vnom-20211231.htm#iad893e52d5434c44bb2b7248040ef83a_25" TargetMode="External"/><Relationship Id="rId54" Type="http://schemas.openxmlformats.org/officeDocument/2006/relationships/hyperlink" Target="http://www.sec.gov/Archives/edgar/data/1602065/000160206521000048/viperex21-8621.htm" TargetMode="External"/><Relationship Id="rId55" Type="http://schemas.openxmlformats.org/officeDocument/2006/relationships/hyperlink" Target="http://www.sec.gov/Archives/edgar/data/1602065/000119312514187469/d673207dex31.htm" TargetMode="External"/><Relationship Id="rId56" Type="http://schemas.openxmlformats.org/officeDocument/2006/relationships/hyperlink" Target="http://www.sec.gov/Archives/edgar/data/1602065/000160206518000017/viperex31-5x15x18.htm" TargetMode="External"/><Relationship Id="rId57" Type="http://schemas.openxmlformats.org/officeDocument/2006/relationships/hyperlink" Target="http://www.sec.gov/Archives/edgar/data/1602065/000160206518000017/viperex32-5x15x18.htm" TargetMode="External"/><Relationship Id="rId58" Type="http://schemas.openxmlformats.org/officeDocument/2006/relationships/hyperlink" Target="http://www.sec.gov/Archives/edgar/data/1602065/000160206518000017/viperex33-5x15x18.htm" TargetMode="External"/><Relationship Id="rId59" Type="http://schemas.openxmlformats.org/officeDocument/2006/relationships/hyperlink" Target="http://www.sec.gov/Archives/edgar/data/1602065/000160206520000014/viperex31-33120.htm" TargetMode="External"/><Relationship Id="rId60" Type="http://schemas.openxmlformats.org/officeDocument/2006/relationships/hyperlink" Target="http://www.sec.gov/Archives/edgar/data/0001602065/000119312521367951/d249385dex31.htm" TargetMode="External"/><Relationship Id="rId61" Type="http://schemas.openxmlformats.org/officeDocument/2006/relationships/hyperlink" Target="http://www.sec.gov/Archives/edgar/data/1602065/000160206518000017/viperex41-5x15x18.htm" TargetMode="External"/><Relationship Id="rId62" Type="http://schemas.openxmlformats.org/officeDocument/2006/relationships/hyperlink" Target="http://www.sec.gov/Archives/edgar/data/1602065/000160206521000051/viperex41-10x1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2022-08-03T15:24:22Z</dcterms:created>
  <dcterms:modified xsi:type="dcterms:W3CDTF">2022-08-03T15:24:22Z</dcterms:modified>
</cp:coreProperties>
</file>