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46990</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92710</wp:posOffset>
            </wp:positionV>
            <wp:extent cx="2614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87" w:lineRule="exact"/>
        <w:rPr>
          <w:sz w:val="24"/>
          <w:szCs w:val="24"/>
          <w:color w:val="auto"/>
        </w:rPr>
      </w:pPr>
    </w:p>
    <w:p>
      <w:pPr>
        <w:ind w:left="640" w:right="960" w:hanging="614"/>
        <w:spacing w:after="0" w:line="235"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03" w:lineRule="exact"/>
        <w:rPr>
          <w:sz w:val="24"/>
          <w:szCs w:val="24"/>
          <w:color w:val="auto"/>
        </w:rPr>
      </w:pPr>
    </w:p>
    <w:p>
      <w:pPr>
        <w:ind w:left="640" w:right="940" w:hanging="614"/>
        <w:spacing w:after="0" w:line="235" w:lineRule="auto"/>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SECURITIES EXCHANGE ACT OF 1934</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205740</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Viper Energy Partners LP</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81915</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65" w:lineRule="exact"/>
        <w:rPr>
          <w:sz w:val="24"/>
          <w:szCs w:val="24"/>
          <w:color w:val="auto"/>
        </w:rPr>
      </w:pPr>
    </w:p>
    <w:tbl>
      <w:tblPr>
        <w:tblLayout w:type="fixed"/>
        <w:tblInd w:w="1980" w:type="dxa"/>
        <w:tblCellMar>
          <w:top w:w="0" w:type="dxa"/>
          <w:left w:w="0" w:type="dxa"/>
          <w:bottom w:w="0" w:type="dxa"/>
          <w:right w:w="0" w:type="dxa"/>
        </w:tblCellMar>
      </w:tblPr>
      <w:tr>
        <w:trPr>
          <w:trHeight w:val="210"/>
        </w:trPr>
        <w:tc>
          <w:tcPr>
            <w:tcW w:w="3780" w:type="dxa"/>
            <w:vAlign w:val="bottom"/>
          </w:tcPr>
          <w:p>
            <w:pPr>
              <w:jc w:val="center"/>
              <w:ind w:right="763"/>
              <w:spacing w:after="0"/>
              <w:rPr>
                <w:sz w:val="20"/>
                <w:szCs w:val="20"/>
                <w:color w:val="auto"/>
              </w:rPr>
            </w:pPr>
            <w:r>
              <w:rPr>
                <w:rFonts w:ascii="Arial" w:cs="Arial" w:eastAsia="Arial" w:hAnsi="Arial"/>
                <w:sz w:val="16"/>
                <w:szCs w:val="16"/>
                <w:b w:val="1"/>
                <w:bCs w:val="1"/>
                <w:color w:val="auto"/>
                <w:w w:val="98"/>
              </w:rPr>
              <w:t>DE</w:t>
            </w:r>
          </w:p>
        </w:tc>
        <w:tc>
          <w:tcPr>
            <w:tcW w:w="3340" w:type="dxa"/>
            <w:vAlign w:val="bottom"/>
          </w:tcPr>
          <w:p>
            <w:pPr>
              <w:jc w:val="right"/>
              <w:ind w:right="784"/>
              <w:spacing w:after="0"/>
              <w:rPr>
                <w:sz w:val="20"/>
                <w:szCs w:val="20"/>
                <w:color w:val="auto"/>
              </w:rPr>
            </w:pPr>
            <w:r>
              <w:rPr>
                <w:rFonts w:ascii="Arial" w:cs="Arial" w:eastAsia="Arial" w:hAnsi="Arial"/>
                <w:sz w:val="16"/>
                <w:szCs w:val="16"/>
                <w:b w:val="1"/>
                <w:bCs w:val="1"/>
                <w:color w:val="auto"/>
              </w:rPr>
              <w:t>46-5001985</w:t>
            </w:r>
          </w:p>
        </w:tc>
        <w:tc>
          <w:tcPr>
            <w:tcW w:w="0" w:type="dxa"/>
            <w:vAlign w:val="bottom"/>
          </w:tcPr>
          <w:p>
            <w:pPr>
              <w:spacing w:after="0"/>
              <w:rPr>
                <w:sz w:val="1"/>
                <w:szCs w:val="1"/>
                <w:color w:val="auto"/>
              </w:rPr>
            </w:pPr>
          </w:p>
        </w:tc>
      </w:tr>
      <w:tr>
        <w:trPr>
          <w:trHeight w:val="357"/>
        </w:trPr>
        <w:tc>
          <w:tcPr>
            <w:tcW w:w="3780" w:type="dxa"/>
            <w:vAlign w:val="bottom"/>
          </w:tcPr>
          <w:p>
            <w:pPr>
              <w:jc w:val="center"/>
              <w:ind w:right="763"/>
              <w:spacing w:after="0"/>
              <w:rPr>
                <w:sz w:val="20"/>
                <w:szCs w:val="20"/>
                <w:color w:val="auto"/>
              </w:rPr>
            </w:pPr>
            <w:r>
              <w:rPr>
                <w:rFonts w:ascii="Arial" w:cs="Arial" w:eastAsia="Arial" w:hAnsi="Arial"/>
                <w:sz w:val="14"/>
                <w:szCs w:val="14"/>
                <w:b w:val="1"/>
                <w:bCs w:val="1"/>
                <w:color w:val="auto"/>
                <w:w w:val="94"/>
              </w:rPr>
              <w:t>(State or Other Jurisdiction of Incorporation or</w:t>
            </w:r>
          </w:p>
        </w:tc>
        <w:tc>
          <w:tcPr>
            <w:tcW w:w="3340" w:type="dxa"/>
            <w:vAlign w:val="bottom"/>
          </w:tcPr>
          <w:p>
            <w:pPr>
              <w:jc w:val="center"/>
              <w:ind w:left="764"/>
              <w:spacing w:after="0"/>
              <w:rPr>
                <w:sz w:val="20"/>
                <w:szCs w:val="20"/>
                <w:color w:val="auto"/>
              </w:rPr>
            </w:pPr>
            <w:r>
              <w:rPr>
                <w:rFonts w:ascii="Arial" w:cs="Arial" w:eastAsia="Arial" w:hAnsi="Arial"/>
                <w:sz w:val="14"/>
                <w:szCs w:val="14"/>
                <w:b w:val="1"/>
                <w:bCs w:val="1"/>
                <w:color w:val="auto"/>
                <w:w w:val="96"/>
              </w:rPr>
              <w:t>(I.R.S. Employer Identification Number)</w:t>
            </w:r>
          </w:p>
        </w:tc>
        <w:tc>
          <w:tcPr>
            <w:tcW w:w="0" w:type="dxa"/>
            <w:vAlign w:val="bottom"/>
          </w:tcPr>
          <w:p>
            <w:pPr>
              <w:spacing w:after="0"/>
              <w:rPr>
                <w:sz w:val="1"/>
                <w:szCs w:val="1"/>
                <w:color w:val="auto"/>
              </w:rPr>
            </w:pPr>
          </w:p>
        </w:tc>
      </w:tr>
      <w:tr>
        <w:trPr>
          <w:trHeight w:val="186"/>
        </w:trPr>
        <w:tc>
          <w:tcPr>
            <w:tcW w:w="3780" w:type="dxa"/>
            <w:vAlign w:val="bottom"/>
          </w:tcPr>
          <w:p>
            <w:pPr>
              <w:jc w:val="center"/>
              <w:ind w:right="763"/>
              <w:spacing w:after="0"/>
              <w:rPr>
                <w:sz w:val="20"/>
                <w:szCs w:val="20"/>
                <w:color w:val="auto"/>
              </w:rPr>
            </w:pPr>
            <w:r>
              <w:rPr>
                <w:rFonts w:ascii="Arial" w:cs="Arial" w:eastAsia="Arial" w:hAnsi="Arial"/>
                <w:sz w:val="14"/>
                <w:szCs w:val="14"/>
                <w:b w:val="1"/>
                <w:bCs w:val="1"/>
                <w:color w:val="auto"/>
                <w:w w:val="95"/>
              </w:rPr>
              <w:t>Organization)</w:t>
            </w: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2"/>
        </w:trPr>
        <w:tc>
          <w:tcPr>
            <w:tcW w:w="3780" w:type="dxa"/>
            <w:vAlign w:val="bottom"/>
          </w:tcPr>
          <w:p>
            <w:pPr>
              <w:jc w:val="center"/>
              <w:ind w:right="763"/>
              <w:spacing w:after="0"/>
              <w:rPr>
                <w:sz w:val="20"/>
                <w:szCs w:val="20"/>
                <w:color w:val="auto"/>
              </w:rPr>
            </w:pPr>
            <w:r>
              <w:rPr>
                <w:rFonts w:ascii="Arial" w:cs="Arial" w:eastAsia="Arial" w:hAnsi="Arial"/>
                <w:sz w:val="16"/>
                <w:szCs w:val="16"/>
                <w:b w:val="1"/>
                <w:bCs w:val="1"/>
                <w:color w:val="auto"/>
                <w:w w:val="88"/>
              </w:rPr>
              <w:t>500 West Texas</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80" w:type="dxa"/>
            <w:vAlign w:val="bottom"/>
          </w:tcPr>
          <w:p>
            <w:pPr>
              <w:jc w:val="center"/>
              <w:ind w:right="763"/>
              <w:spacing w:after="0"/>
              <w:rPr>
                <w:sz w:val="20"/>
                <w:szCs w:val="20"/>
                <w:color w:val="auto"/>
              </w:rPr>
            </w:pPr>
            <w:r>
              <w:rPr>
                <w:rFonts w:ascii="Arial" w:cs="Arial" w:eastAsia="Arial" w:hAnsi="Arial"/>
                <w:sz w:val="16"/>
                <w:szCs w:val="16"/>
                <w:b w:val="1"/>
                <w:bCs w:val="1"/>
                <w:color w:val="auto"/>
                <w:w w:val="88"/>
              </w:rPr>
              <w:t>Suite 1200</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vMerge w:val="restart"/>
          </w:tcPr>
          <w:p>
            <w:pPr>
              <w:ind w:left="820"/>
              <w:spacing w:after="0"/>
              <w:rPr>
                <w:sz w:val="20"/>
                <w:szCs w:val="20"/>
                <w:color w:val="auto"/>
              </w:rPr>
            </w:pPr>
            <w:r>
              <w:rPr>
                <w:rFonts w:ascii="Arial" w:cs="Arial" w:eastAsia="Arial" w:hAnsi="Arial"/>
                <w:sz w:val="16"/>
                <w:szCs w:val="16"/>
                <w:b w:val="1"/>
                <w:bCs w:val="1"/>
                <w:color w:val="auto"/>
              </w:rPr>
              <w:t>Midland, TX</w:t>
            </w:r>
          </w:p>
        </w:tc>
        <w:tc>
          <w:tcPr>
            <w:tcW w:w="3340" w:type="dxa"/>
            <w:vAlign w:val="bottom"/>
          </w:tcPr>
          <w:p>
            <w:pPr>
              <w:jc w:val="right"/>
              <w:ind w:right="984"/>
              <w:spacing w:after="0"/>
              <w:rPr>
                <w:sz w:val="20"/>
                <w:szCs w:val="20"/>
                <w:color w:val="auto"/>
              </w:rPr>
            </w:pPr>
            <w:r>
              <w:rPr>
                <w:rFonts w:ascii="Arial" w:cs="Arial" w:eastAsia="Arial" w:hAnsi="Arial"/>
                <w:sz w:val="16"/>
                <w:szCs w:val="16"/>
                <w:b w:val="1"/>
                <w:bCs w:val="1"/>
                <w:color w:val="auto"/>
              </w:rPr>
              <w:t>79701</w:t>
            </w:r>
          </w:p>
        </w:tc>
        <w:tc>
          <w:tcPr>
            <w:tcW w:w="0" w:type="dxa"/>
            <w:vAlign w:val="bottom"/>
          </w:tcPr>
          <w:p>
            <w:pPr>
              <w:spacing w:after="0"/>
              <w:rPr>
                <w:sz w:val="1"/>
                <w:szCs w:val="1"/>
                <w:color w:val="auto"/>
              </w:rPr>
            </w:pPr>
          </w:p>
        </w:tc>
      </w:tr>
      <w:tr>
        <w:trPr>
          <w:trHeight w:val="108"/>
        </w:trPr>
        <w:tc>
          <w:tcPr>
            <w:tcW w:w="3780" w:type="dxa"/>
            <w:vAlign w:val="bottom"/>
            <w:vMerge w:val="continue"/>
          </w:tcPr>
          <w:p>
            <w:pPr>
              <w:spacing w:after="0"/>
              <w:rPr>
                <w:sz w:val="9"/>
                <w:szCs w:val="9"/>
                <w:color w:val="auto"/>
              </w:rPr>
            </w:pPr>
          </w:p>
        </w:tc>
        <w:tc>
          <w:tcPr>
            <w:tcW w:w="3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3780" w:type="dxa"/>
            <w:vAlign w:val="bottom"/>
          </w:tcPr>
          <w:p>
            <w:pPr>
              <w:jc w:val="center"/>
              <w:ind w:right="76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40" w:type="dxa"/>
            <w:vAlign w:val="bottom"/>
          </w:tcPr>
          <w:p>
            <w:pPr>
              <w:jc w:val="center"/>
              <w:ind w:left="764"/>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bl>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(432) 221-7400</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pacing w:after="0" w:line="133" w:lineRule="exact"/>
        <w:rPr>
          <w:sz w:val="24"/>
          <w:szCs w:val="24"/>
          <w:color w:val="auto"/>
        </w:rPr>
      </w:pPr>
    </w:p>
    <w:tbl>
      <w:tblPr>
        <w:tblLayout w:type="fixed"/>
        <w:tblInd w:w="2820" w:type="dxa"/>
        <w:tblCellMar>
          <w:top w:w="0" w:type="dxa"/>
          <w:left w:w="0" w:type="dxa"/>
          <w:bottom w:w="0" w:type="dxa"/>
          <w:right w:w="0" w:type="dxa"/>
        </w:tblCellMar>
      </w:tblPr>
      <w:tr>
        <w:trPr>
          <w:trHeight w:val="184"/>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520" w:type="dxa"/>
            <w:vAlign w:val="bottom"/>
          </w:tcPr>
          <w:p>
            <w:pPr>
              <w:spacing w:after="0"/>
              <w:rPr>
                <w:sz w:val="16"/>
                <w:szCs w:val="16"/>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30"/>
        </w:trPr>
        <w:tc>
          <w:tcPr>
            <w:tcW w:w="1640" w:type="dxa"/>
            <w:vAlign w:val="bottom"/>
            <w:gridSpan w:val="2"/>
          </w:tcPr>
          <w:p>
            <w:pPr>
              <w:jc w:val="center"/>
              <w:ind w:right="440"/>
              <w:spacing w:after="0"/>
              <w:rPr>
                <w:sz w:val="20"/>
                <w:szCs w:val="20"/>
                <w:color w:val="auto"/>
              </w:rPr>
            </w:pPr>
            <w:r>
              <w:rPr>
                <w:rFonts w:ascii="Arial" w:cs="Arial" w:eastAsia="Arial" w:hAnsi="Arial"/>
                <w:sz w:val="16"/>
                <w:szCs w:val="16"/>
                <w:color w:val="auto"/>
                <w:w w:val="94"/>
              </w:rPr>
              <w:t>Common Units</w:t>
            </w:r>
          </w:p>
        </w:tc>
        <w:tc>
          <w:tcPr>
            <w:tcW w:w="420" w:type="dxa"/>
            <w:vAlign w:val="bottom"/>
          </w:tcPr>
          <w:p>
            <w:pPr>
              <w:spacing w:after="0"/>
              <w:rPr>
                <w:sz w:val="20"/>
                <w:szCs w:val="20"/>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6"/>
                <w:szCs w:val="16"/>
                <w:color w:val="auto"/>
              </w:rPr>
              <w:t>VNOM</w:t>
            </w:r>
          </w:p>
        </w:tc>
        <w:tc>
          <w:tcPr>
            <w:tcW w:w="300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216"/>
        </w:trPr>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5"/>
              </w:rPr>
              <w:t>(NASDAQ Global Select Market)</w:t>
            </w:r>
          </w:p>
        </w:tc>
      </w:tr>
    </w:tbl>
    <w:p>
      <w:pPr>
        <w:spacing w:after="0" w:line="311"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ind w:right="2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3040" w:type="dxa"/>
            <w:vAlign w:val="bottom"/>
          </w:tcPr>
          <w:p>
            <w:pPr>
              <w:ind w:left="92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980"/>
              <w:spacing w:after="0"/>
              <w:rPr>
                <w:sz w:val="20"/>
                <w:szCs w:val="20"/>
                <w:color w:val="auto"/>
              </w:rPr>
            </w:pPr>
            <w:r>
              <w:rPr>
                <w:rFonts w:ascii="Arial" w:cs="Arial" w:eastAsia="Arial" w:hAnsi="Arial"/>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22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4100" w:type="dxa"/>
            <w:vAlign w:val="bottom"/>
          </w:tcPr>
          <w:p>
            <w:pPr>
              <w:ind w:left="1980"/>
              <w:spacing w:after="0"/>
              <w:rPr>
                <w:sz w:val="20"/>
                <w:szCs w:val="20"/>
                <w:color w:val="auto"/>
              </w:rPr>
            </w:pPr>
            <w:r>
              <w:rPr>
                <w:rFonts w:ascii="Arial" w:cs="Arial" w:eastAsia="Arial" w:hAnsi="Arial"/>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8"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94" w:lineRule="exact"/>
        <w:rPr>
          <w:sz w:val="24"/>
          <w:szCs w:val="24"/>
          <w:color w:val="auto"/>
        </w:rPr>
      </w:pPr>
    </w:p>
    <w:p>
      <w:pPr>
        <w:spacing w:after="0" w:line="161" w:lineRule="exact"/>
        <w:tabs>
          <w:tab w:leader="none" w:pos="6660" w:val="left"/>
          <w:tab w:leader="none" w:pos="72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71" w:lineRule="exact"/>
        <w:rPr>
          <w:sz w:val="24"/>
          <w:szCs w:val="24"/>
          <w:color w:val="auto"/>
        </w:rPr>
      </w:pPr>
    </w:p>
    <w:p>
      <w:pPr>
        <w:spacing w:after="0"/>
        <w:rPr>
          <w:sz w:val="20"/>
          <w:szCs w:val="20"/>
          <w:color w:val="auto"/>
        </w:rPr>
      </w:pPr>
      <w:r>
        <w:rPr>
          <w:rFonts w:ascii="Arial" w:cs="Arial" w:eastAsia="Arial" w:hAnsi="Arial"/>
          <w:sz w:val="13"/>
          <w:szCs w:val="13"/>
          <w:color w:val="auto"/>
        </w:rPr>
        <w:t>As of October 29, 2021, the registrant had outstanding 79,120,603 common units representing limited partner interests and 90,709,946 Class B units representing limited partner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5"/>
              </w:rPr>
              <w:t>Page</w:t>
            </w:r>
          </w:p>
        </w:tc>
      </w:tr>
      <w:tr>
        <w:trPr>
          <w:trHeight w:val="189"/>
        </w:trPr>
        <w:tc>
          <w:tcPr>
            <w:tcW w:w="20" w:type="dxa"/>
            <w:vAlign w:val="bottom"/>
            <w:shd w:val="clear" w:color="auto" w:fill="CCEEFF"/>
          </w:tcPr>
          <w:p>
            <w:pPr>
              <w:spacing w:after="0"/>
              <w:rPr>
                <w:sz w:val="16"/>
                <w:szCs w:val="16"/>
                <w:color w:val="auto"/>
              </w:rPr>
            </w:pPr>
          </w:p>
        </w:tc>
        <w:tc>
          <w:tcPr>
            <w:tcW w:w="10540" w:type="dxa"/>
            <w:vAlign w:val="bottom"/>
            <w:gridSpan w:val="23"/>
            <w:shd w:val="clear" w:color="auto" w:fill="CCEEFF"/>
          </w:tcPr>
          <w:p>
            <w:pPr>
              <w:spacing w:after="0" w:line="149" w:lineRule="exact"/>
              <w:rPr>
                <w:rFonts w:ascii="Arial" w:cs="Arial" w:eastAsia="Arial" w:hAnsi="Arial"/>
                <w:sz w:val="17"/>
                <w:szCs w:val="17"/>
                <w:color w:val="0000FF"/>
              </w:rPr>
            </w:pPr>
            <w:hyperlink w:anchor="page2">
              <w:r>
                <w:rPr>
                  <w:rFonts w:ascii="Arial" w:cs="Arial" w:eastAsia="Arial" w:hAnsi="Arial"/>
                  <w:sz w:val="17"/>
                  <w:szCs w:val="17"/>
                  <w:color w:val="0000FF"/>
                </w:rPr>
                <w:t>Glossary of Oil and Natural Gas Terms</w:t>
              </w:r>
            </w:hyperlink>
          </w:p>
        </w:tc>
        <w:tc>
          <w:tcPr>
            <w:tcW w:w="280" w:type="dxa"/>
            <w:vAlign w:val="bottom"/>
            <w:tcBorders>
              <w:right w:val="single" w:sz="8" w:color="CCEEFF"/>
            </w:tcBorders>
            <w:shd w:val="clear" w:color="auto" w:fill="CCEEFF"/>
          </w:tcPr>
          <w:p>
            <w:pPr>
              <w:spacing w:after="0"/>
              <w:rPr>
                <w:sz w:val="16"/>
                <w:szCs w:val="16"/>
                <w:color w:val="auto"/>
              </w:rPr>
            </w:pPr>
          </w:p>
        </w:tc>
        <w:tc>
          <w:tcPr>
            <w:tcW w:w="380" w:type="dxa"/>
            <w:vAlign w:val="bottom"/>
            <w:gridSpan w:val="2"/>
            <w:shd w:val="clear" w:color="auto" w:fill="CCEEFF"/>
          </w:tcPr>
          <w:p>
            <w:pPr>
              <w:jc w:val="center"/>
              <w:ind w:right="280"/>
              <w:spacing w:after="0" w:line="156" w:lineRule="exact"/>
              <w:rPr>
                <w:rFonts w:ascii="Arial" w:cs="Arial" w:eastAsia="Arial" w:hAnsi="Arial"/>
                <w:sz w:val="18"/>
                <w:szCs w:val="18"/>
                <w:color w:val="0000FF"/>
              </w:rPr>
            </w:pPr>
            <w:hyperlink w:anchor="page2">
              <w:r>
                <w:rPr>
                  <w:rFonts w:ascii="Arial" w:cs="Arial" w:eastAsia="Arial" w:hAnsi="Arial"/>
                  <w:sz w:val="18"/>
                  <w:szCs w:val="18"/>
                  <w:color w:val="0000FF"/>
                </w:rPr>
                <w:t>ii</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20" w:type="dxa"/>
            <w:vAlign w:val="bottom"/>
            <w:gridSpan w:val="8"/>
          </w:tcPr>
          <w:p>
            <w:pPr>
              <w:spacing w:after="0" w:line="183" w:lineRule="exact"/>
              <w:rPr>
                <w:rFonts w:ascii="Arial" w:cs="Arial" w:eastAsia="Arial" w:hAnsi="Arial"/>
                <w:sz w:val="18"/>
                <w:szCs w:val="18"/>
                <w:color w:val="0000FF"/>
              </w:rPr>
            </w:pPr>
            <w:hyperlink w:anchor="page3">
              <w:r>
                <w:rPr>
                  <w:rFonts w:ascii="Arial" w:cs="Arial" w:eastAsia="Arial" w:hAnsi="Arial"/>
                  <w:sz w:val="18"/>
                  <w:szCs w:val="18"/>
                  <w:color w:val="0000FF"/>
                </w:rPr>
                <w:t>Glossary of Certain Other Terms</w:t>
              </w:r>
            </w:hyperlink>
          </w:p>
        </w:tc>
        <w:tc>
          <w:tcPr>
            <w:tcW w:w="7720" w:type="dxa"/>
            <w:vAlign w:val="bottom"/>
            <w:gridSpan w:val="15"/>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gridSpan w:val="2"/>
          </w:tcPr>
          <w:p>
            <w:pPr>
              <w:jc w:val="center"/>
              <w:ind w:right="260"/>
              <w:spacing w:after="0" w:line="183"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iii</w:t>
              </w:r>
            </w:hyperlink>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Cautionary Statement Regarding Forward-Looking Statements</w:t>
              </w:r>
            </w:hyperlink>
          </w:p>
        </w:tc>
        <w:tc>
          <w:tcPr>
            <w:tcW w:w="28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center"/>
              <w:ind w:right="260"/>
              <w:spacing w:after="0" w:line="189" w:lineRule="exact"/>
              <w:rPr>
                <w:rFonts w:ascii="Arial" w:cs="Arial" w:eastAsia="Arial" w:hAnsi="Arial"/>
                <w:sz w:val="18"/>
                <w:szCs w:val="18"/>
                <w:color w:val="0000FF"/>
                <w:w w:val="91"/>
              </w:rPr>
            </w:pPr>
            <w:hyperlink w:anchor="page4">
              <w:r>
                <w:rPr>
                  <w:rFonts w:ascii="Arial" w:cs="Arial" w:eastAsia="Arial" w:hAnsi="Arial"/>
                  <w:sz w:val="18"/>
                  <w:szCs w:val="18"/>
                  <w:color w:val="0000FF"/>
                  <w:w w:val="91"/>
                </w:rPr>
                <w:t>iv</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960" w:type="dxa"/>
            <w:vAlign w:val="bottom"/>
            <w:gridSpan w:val="14"/>
            <w:shd w:val="clear" w:color="auto" w:fill="CCEEFF"/>
          </w:tcPr>
          <w:p>
            <w:pPr>
              <w:jc w:val="center"/>
              <w:ind w:right="2940"/>
              <w:spacing w:after="0" w:line="189" w:lineRule="exact"/>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 FINANCIAL INFORMATION</w:t>
              </w:r>
            </w:hyperlink>
          </w:p>
        </w:tc>
        <w:tc>
          <w:tcPr>
            <w:tcW w:w="2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Item 1. Condensed Consolidated Financial Statements (Unaudited)</w:t>
              </w:r>
            </w:hyperlink>
          </w:p>
        </w:tc>
        <w:tc>
          <w:tcPr>
            <w:tcW w:w="420" w:type="dxa"/>
            <w:vAlign w:val="bottom"/>
            <w:gridSpan w:val="2"/>
          </w:tcPr>
          <w:p>
            <w:pPr>
              <w:jc w:val="center"/>
              <w:ind w:left="130"/>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8"/>
        </w:trPr>
        <w:tc>
          <w:tcPr>
            <w:tcW w:w="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2920" w:type="dxa"/>
            <w:vAlign w:val="bottom"/>
            <w:tcBorders>
              <w:bottom w:val="single" w:sz="8" w:color="0000FF"/>
            </w:tcBorders>
            <w:gridSpan w:val="8"/>
            <w:shd w:val="clear" w:color="auto" w:fill="CCEEFF"/>
          </w:tcPr>
          <w:p>
            <w:pPr>
              <w:spacing w:after="0" w:line="182" w:lineRule="exact"/>
              <w:rPr>
                <w:rFonts w:ascii="Arial" w:cs="Arial" w:eastAsia="Arial" w:hAnsi="Arial"/>
                <w:sz w:val="18"/>
                <w:szCs w:val="18"/>
                <w:color w:val="0000FF"/>
                <w:w w:val="87"/>
              </w:rPr>
            </w:pPr>
            <w:hyperlink w:anchor="page7">
              <w:r>
                <w:rPr>
                  <w:rFonts w:ascii="Arial" w:cs="Arial" w:eastAsia="Arial" w:hAnsi="Arial"/>
                  <w:sz w:val="18"/>
                  <w:szCs w:val="18"/>
                  <w:color w:val="0000FF"/>
                  <w:w w:val="87"/>
                </w:rPr>
                <w:t>Condensed Consolidated Balance Sheets</w:t>
              </w:r>
            </w:hyperlink>
          </w:p>
        </w:tc>
        <w:tc>
          <w:tcPr>
            <w:tcW w:w="62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spacing w:after="0"/>
              <w:rPr>
                <w:sz w:val="19"/>
                <w:szCs w:val="19"/>
                <w:color w:val="auto"/>
              </w:rPr>
            </w:pP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gridSpan w:val="2"/>
            <w:shd w:val="clear" w:color="auto" w:fill="CCEEFF"/>
          </w:tcPr>
          <w:p>
            <w:pPr>
              <w:spacing w:after="0"/>
              <w:rPr>
                <w:sz w:val="19"/>
                <w:szCs w:val="19"/>
                <w:color w:val="auto"/>
              </w:rPr>
            </w:pPr>
          </w:p>
        </w:tc>
        <w:tc>
          <w:tcPr>
            <w:tcW w:w="420" w:type="dxa"/>
            <w:vAlign w:val="bottom"/>
            <w:tcBorders>
              <w:bottom w:val="single" w:sz="8" w:color="CCEEFF"/>
              <w:right w:val="single" w:sz="8" w:color="CCEEFF"/>
            </w:tcBorders>
            <w:gridSpan w:val="2"/>
            <w:shd w:val="clear" w:color="auto" w:fill="CCEEFF"/>
          </w:tcPr>
          <w:p>
            <w:pPr>
              <w:jc w:val="center"/>
              <w:ind w:left="130"/>
              <w:spacing w:after="0" w:line="196"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1</w:t>
              </w:r>
            </w:hyperlink>
          </w:p>
        </w:tc>
        <w:tc>
          <w:tcPr>
            <w:tcW w:w="240" w:type="dxa"/>
            <w:vAlign w:val="bottom"/>
            <w:tcBorders>
              <w:bottom w:val="single" w:sz="8" w:color="CCEEFF"/>
            </w:tcBorders>
            <w:shd w:val="clear" w:color="auto" w:fill="CCEEFF"/>
          </w:tcPr>
          <w:p>
            <w:pPr>
              <w:spacing w:after="0"/>
              <w:rPr>
                <w:sz w:val="19"/>
                <w:szCs w:val="19"/>
                <w:color w:val="auto"/>
              </w:rPr>
            </w:pPr>
          </w:p>
        </w:tc>
      </w:tr>
      <w:tr>
        <w:trPr>
          <w:trHeight w:val="28"/>
        </w:trPr>
        <w:tc>
          <w:tcPr>
            <w:tcW w:w="2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CCEEFF"/>
            </w:tcBorders>
            <w:shd w:val="clear" w:color="auto" w:fill="0000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80" w:type="dxa"/>
            <w:vAlign w:val="bottom"/>
            <w:gridSpan w:val="22"/>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Operations</w:t>
              </w:r>
            </w:hyperlink>
          </w:p>
        </w:tc>
        <w:tc>
          <w:tcPr>
            <w:tcW w:w="420" w:type="dxa"/>
            <w:vAlign w:val="bottom"/>
            <w:gridSpan w:val="2"/>
          </w:tcPr>
          <w:p>
            <w:pPr>
              <w:jc w:val="center"/>
              <w:ind w:left="130"/>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2</w:t>
              </w:r>
            </w:hyperlink>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9880" w:type="dxa"/>
            <w:vAlign w:val="bottom"/>
            <w:gridSpan w:val="22"/>
            <w:shd w:val="clear" w:color="auto" w:fill="CCEEFF"/>
          </w:tcPr>
          <w:p>
            <w:pPr>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Changes to Unitholders’ Equity</w:t>
              </w:r>
            </w:hyperlink>
          </w:p>
        </w:tc>
        <w:tc>
          <w:tcPr>
            <w:tcW w:w="420" w:type="dxa"/>
            <w:vAlign w:val="bottom"/>
            <w:tcBorders>
              <w:right w:val="single" w:sz="8" w:color="CCEEFF"/>
            </w:tcBorders>
            <w:gridSpan w:val="2"/>
            <w:shd w:val="clear" w:color="auto" w:fill="CCEEFF"/>
          </w:tcPr>
          <w:p>
            <w:pPr>
              <w:jc w:val="center"/>
              <w:ind w:left="130"/>
              <w:spacing w:after="0" w:line="189"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3</w:t>
              </w:r>
            </w:hyperlink>
          </w:p>
        </w:tc>
        <w:tc>
          <w:tcPr>
            <w:tcW w:w="2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90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140" w:type="dxa"/>
            <w:vAlign w:val="bottom"/>
            <w:gridSpan w:val="18"/>
          </w:tcPr>
          <w:p>
            <w:pPr>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Condensed Consolidated Statements of Cash Flows</w:t>
              </w:r>
            </w:hyperlink>
          </w:p>
        </w:tc>
        <w:tc>
          <w:tcPr>
            <w:tcW w:w="4740" w:type="dxa"/>
            <w:vAlign w:val="bottom"/>
            <w:gridSpan w:val="4"/>
          </w:tcPr>
          <w:p>
            <w:pPr>
              <w:spacing w:after="0"/>
              <w:rPr>
                <w:sz w:val="16"/>
                <w:szCs w:val="16"/>
                <w:color w:val="auto"/>
              </w:rPr>
            </w:pPr>
          </w:p>
        </w:tc>
        <w:tc>
          <w:tcPr>
            <w:tcW w:w="420" w:type="dxa"/>
            <w:vAlign w:val="bottom"/>
            <w:gridSpan w:val="2"/>
          </w:tcPr>
          <w:p>
            <w:pPr>
              <w:jc w:val="center"/>
              <w:ind w:left="130"/>
              <w:spacing w:after="0" w:line="189"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5</w:t>
              </w:r>
            </w:hyperlink>
          </w:p>
        </w:tc>
        <w:tc>
          <w:tcPr>
            <w:tcW w:w="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80" w:type="dxa"/>
            <w:vAlign w:val="bottom"/>
            <w:gridSpan w:val="22"/>
            <w:shd w:val="clear" w:color="auto" w:fill="CCEEFF"/>
          </w:tcPr>
          <w:p>
            <w:pPr>
              <w:spacing w:after="0" w:line="189" w:lineRule="exact"/>
              <w:rPr>
                <w:rFonts w:ascii="Arial" w:cs="Arial" w:eastAsia="Arial" w:hAnsi="Arial"/>
                <w:sz w:val="18"/>
                <w:szCs w:val="18"/>
                <w:color w:val="0000FF"/>
              </w:rPr>
            </w:pPr>
            <w:hyperlink w:anchor="page11">
              <w:r>
                <w:rPr>
                  <w:rFonts w:ascii="Arial" w:cs="Arial" w:eastAsia="Arial" w:hAnsi="Arial"/>
                  <w:sz w:val="18"/>
                  <w:szCs w:val="18"/>
                  <w:color w:val="0000FF"/>
                </w:rPr>
                <w:t>Condensed Notes to Consolidated Financial Statements</w:t>
              </w:r>
            </w:hyperlink>
          </w:p>
        </w:tc>
        <w:tc>
          <w:tcPr>
            <w:tcW w:w="420" w:type="dxa"/>
            <w:vAlign w:val="bottom"/>
            <w:tcBorders>
              <w:right w:val="single" w:sz="8" w:color="CCEEFF"/>
            </w:tcBorders>
            <w:gridSpan w:val="2"/>
            <w:shd w:val="clear" w:color="auto" w:fill="CCEEFF"/>
          </w:tcPr>
          <w:p>
            <w:pPr>
              <w:jc w:val="center"/>
              <w:ind w:left="130"/>
              <w:spacing w:after="0" w:line="189" w:lineRule="exact"/>
              <w:rPr>
                <w:rFonts w:ascii="Arial" w:cs="Arial" w:eastAsia="Arial" w:hAnsi="Arial"/>
                <w:sz w:val="18"/>
                <w:szCs w:val="18"/>
                <w:color w:val="0000FF"/>
                <w:w w:val="79"/>
              </w:rPr>
            </w:pPr>
            <w:hyperlink w:anchor="page11">
              <w:r>
                <w:rPr>
                  <w:rFonts w:ascii="Arial" w:cs="Arial" w:eastAsia="Arial" w:hAnsi="Arial"/>
                  <w:sz w:val="18"/>
                  <w:szCs w:val="18"/>
                  <w:color w:val="0000FF"/>
                  <w:w w:val="79"/>
                </w:rPr>
                <w:t>6</w:t>
              </w:r>
            </w:hyperlink>
          </w:p>
        </w:tc>
        <w:tc>
          <w:tcPr>
            <w:tcW w:w="24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Item 2. Management’s Discussion and Analysis of Financial Condition and Results of Operations</w:t>
              </w:r>
            </w:hyperlink>
          </w:p>
        </w:tc>
        <w:tc>
          <w:tcPr>
            <w:tcW w:w="660" w:type="dxa"/>
            <w:vAlign w:val="bottom"/>
            <w:gridSpan w:val="3"/>
            <w:shd w:val="clear" w:color="auto" w:fill="CCEEFF"/>
          </w:tcPr>
          <w:p>
            <w:pPr>
              <w:jc w:val="center"/>
              <w:spacing w:after="0" w:line="189"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18</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900" w:type="dxa"/>
            <w:vAlign w:val="bottom"/>
            <w:tcBorders>
              <w:top w:val="single" w:sz="8" w:color="0000FF"/>
            </w:tcBorders>
          </w:tcPr>
          <w:p>
            <w:pPr>
              <w:spacing w:after="0"/>
              <w:rPr>
                <w:sz w:val="23"/>
                <w:szCs w:val="23"/>
                <w:color w:val="auto"/>
              </w:rPr>
            </w:pPr>
          </w:p>
        </w:tc>
        <w:tc>
          <w:tcPr>
            <w:tcW w:w="1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Item 3. Quantitative and Qualitative Disclosures about Market Risk</w:t>
              </w:r>
            </w:hyperlink>
          </w:p>
        </w:tc>
        <w:tc>
          <w:tcPr>
            <w:tcW w:w="660" w:type="dxa"/>
            <w:vAlign w:val="bottom"/>
            <w:gridSpan w:val="3"/>
            <w:shd w:val="clear" w:color="auto" w:fill="CCEEFF"/>
          </w:tcPr>
          <w:p>
            <w:pPr>
              <w:jc w:val="center"/>
              <w:spacing w:after="0" w:line="189"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29</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760" w:type="dxa"/>
            <w:vAlign w:val="bottom"/>
            <w:tcBorders>
              <w:top w:val="single" w:sz="8" w:color="0000FF"/>
            </w:tcBorders>
          </w:tcPr>
          <w:p>
            <w:pPr>
              <w:spacing w:after="0"/>
              <w:rPr>
                <w:sz w:val="23"/>
                <w:szCs w:val="23"/>
                <w:color w:val="auto"/>
              </w:rPr>
            </w:pPr>
          </w:p>
        </w:tc>
        <w:tc>
          <w:tcPr>
            <w:tcW w:w="48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60" w:type="dxa"/>
            <w:vAlign w:val="bottom"/>
            <w:tcBorders>
              <w:top w:val="single" w:sz="8" w:color="0000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10540" w:type="dxa"/>
            <w:vAlign w:val="bottom"/>
            <w:gridSpan w:val="23"/>
            <w:shd w:val="clear" w:color="auto" w:fill="CCEEFF"/>
          </w:tcPr>
          <w:p>
            <w:pPr>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Item 4. Controls and Procedures</w:t>
              </w:r>
            </w:hyperlink>
          </w:p>
        </w:tc>
        <w:tc>
          <w:tcPr>
            <w:tcW w:w="660" w:type="dxa"/>
            <w:vAlign w:val="bottom"/>
            <w:gridSpan w:val="3"/>
            <w:shd w:val="clear" w:color="auto" w:fill="CCEEFF"/>
          </w:tcPr>
          <w:p>
            <w:pPr>
              <w:jc w:val="center"/>
              <w:spacing w:after="0" w:line="189"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30</w:t>
              </w:r>
            </w:hyperlink>
          </w:p>
        </w:tc>
      </w:tr>
      <w:tr>
        <w:trPr>
          <w:trHeight w:val="270"/>
        </w:trPr>
        <w:tc>
          <w:tcPr>
            <w:tcW w:w="20" w:type="dxa"/>
            <w:vAlign w:val="bottom"/>
            <w:tcBorders>
              <w:top w:val="single" w:sz="8" w:color="CCEEFF"/>
            </w:tcBorders>
          </w:tcPr>
          <w:p>
            <w:pPr>
              <w:spacing w:after="0"/>
              <w:rPr>
                <w:sz w:val="23"/>
                <w:szCs w:val="23"/>
                <w:color w:val="auto"/>
              </w:rPr>
            </w:pPr>
          </w:p>
        </w:tc>
        <w:tc>
          <w:tcPr>
            <w:tcW w:w="66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2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760" w:type="dxa"/>
            <w:vAlign w:val="bottom"/>
            <w:tcBorders>
              <w:top w:val="single" w:sz="8" w:color="CCEEFF"/>
            </w:tcBorders>
          </w:tcPr>
          <w:p>
            <w:pPr>
              <w:spacing w:after="0"/>
              <w:rPr>
                <w:sz w:val="23"/>
                <w:szCs w:val="23"/>
                <w:color w:val="auto"/>
              </w:rPr>
            </w:pPr>
          </w:p>
        </w:tc>
        <w:tc>
          <w:tcPr>
            <w:tcW w:w="48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11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3420" w:type="dxa"/>
            <w:vAlign w:val="bottom"/>
            <w:tcBorders>
              <w:top w:val="single" w:sz="8" w:color="CCEEFF"/>
            </w:tcBorders>
          </w:tcPr>
          <w:p>
            <w:pPr>
              <w:spacing w:after="0"/>
              <w:rPr>
                <w:sz w:val="23"/>
                <w:szCs w:val="23"/>
                <w:color w:val="auto"/>
              </w:rPr>
            </w:pPr>
          </w:p>
        </w:tc>
        <w:tc>
          <w:tcPr>
            <w:tcW w:w="280" w:type="dxa"/>
            <w:vAlign w:val="bottom"/>
            <w:tcBorders>
              <w:top w:val="single" w:sz="8" w:color="CCEE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780" w:type="dxa"/>
            <w:vAlign w:val="bottom"/>
            <w:tcBorders>
              <w:bottom w:val="single" w:sz="8" w:color="0000FF"/>
            </w:tcBorders>
            <w:gridSpan w:val="9"/>
            <w:shd w:val="clear" w:color="auto" w:fill="CCEEFF"/>
          </w:tcPr>
          <w:p>
            <w:pPr>
              <w:jc w:val="center"/>
              <w:spacing w:after="0" w:line="189" w:lineRule="exact"/>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PART II. OTHER INFORMATION</w:t>
              </w:r>
            </w:hyperlink>
          </w:p>
        </w:tc>
        <w:tc>
          <w:tcPr>
            <w:tcW w:w="3560" w:type="dxa"/>
            <w:vAlign w:val="bottom"/>
            <w:tcBorders>
              <w:bottom w:val="single" w:sz="8" w:color="CCEEFF"/>
            </w:tcBorders>
            <w:gridSpan w:val="3"/>
            <w:shd w:val="clear" w:color="auto" w:fill="CCEEFF"/>
          </w:tcPr>
          <w:p>
            <w:pPr>
              <w:spacing w:after="0"/>
              <w:rPr>
                <w:sz w:val="18"/>
                <w:szCs w:val="18"/>
                <w:color w:val="auto"/>
              </w:rPr>
            </w:pPr>
          </w:p>
        </w:tc>
        <w:tc>
          <w:tcPr>
            <w:tcW w:w="2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Item 1. Legal Proceedings</w:t>
              </w:r>
            </w:hyperlink>
          </w:p>
        </w:tc>
        <w:tc>
          <w:tcPr>
            <w:tcW w:w="660" w:type="dxa"/>
            <w:vAlign w:val="bottom"/>
            <w:gridSpan w:val="3"/>
          </w:tcPr>
          <w:p>
            <w:pPr>
              <w:jc w:val="center"/>
              <w:spacing w:after="0" w:line="189"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30</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Item 1A. Risk Factors</w:t>
              </w:r>
            </w:hyperlink>
          </w:p>
        </w:tc>
        <w:tc>
          <w:tcPr>
            <w:tcW w:w="660" w:type="dxa"/>
            <w:vAlign w:val="bottom"/>
            <w:gridSpan w:val="3"/>
          </w:tcPr>
          <w:p>
            <w:pPr>
              <w:jc w:val="center"/>
              <w:spacing w:after="0" w:line="189"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30</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Item 2. Unregistered Sales of Equity Securities and Use of Proceeds</w:t>
              </w:r>
            </w:hyperlink>
          </w:p>
        </w:tc>
        <w:tc>
          <w:tcPr>
            <w:tcW w:w="660" w:type="dxa"/>
            <w:vAlign w:val="bottom"/>
            <w:gridSpan w:val="3"/>
          </w:tcPr>
          <w:p>
            <w:pPr>
              <w:jc w:val="center"/>
              <w:spacing w:after="0" w:line="189"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31</w:t>
              </w:r>
            </w:hyperlink>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37">
              <w:r>
                <w:rPr>
                  <w:rFonts w:ascii="Arial" w:cs="Arial" w:eastAsia="Arial" w:hAnsi="Arial"/>
                  <w:sz w:val="18"/>
                  <w:szCs w:val="18"/>
                  <w:color w:val="0000FF"/>
                </w:rPr>
                <w:t>Item 6. Exhibits</w:t>
              </w:r>
            </w:hyperlink>
          </w:p>
        </w:tc>
        <w:tc>
          <w:tcPr>
            <w:tcW w:w="660" w:type="dxa"/>
            <w:vAlign w:val="bottom"/>
            <w:gridSpan w:val="3"/>
          </w:tcPr>
          <w:p>
            <w:pPr>
              <w:jc w:val="center"/>
              <w:spacing w:after="0" w:line="189"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32</w:t>
              </w:r>
            </w:hyperlink>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20" w:type="dxa"/>
            <w:vAlign w:val="bottom"/>
            <w:shd w:val="clear" w:color="auto" w:fill="CCEEFF"/>
          </w:tcPr>
          <w:p>
            <w:pPr>
              <w:spacing w:after="0"/>
              <w:rPr>
                <w:sz w:val="23"/>
                <w:szCs w:val="23"/>
                <w:color w:val="auto"/>
              </w:rPr>
            </w:pPr>
          </w:p>
        </w:tc>
        <w:tc>
          <w:tcPr>
            <w:tcW w:w="280" w:type="dxa"/>
            <w:vAlign w:val="bottom"/>
            <w:tcBorders>
              <w:right w:val="single" w:sz="8" w:color="CCEEFF"/>
            </w:tcBorders>
            <w:shd w:val="clear" w:color="auto" w:fill="CCEEFF"/>
          </w:tcPr>
          <w:p>
            <w:pPr>
              <w:spacing w:after="0"/>
              <w:rPr>
                <w:sz w:val="23"/>
                <w:szCs w:val="23"/>
                <w:color w:val="auto"/>
              </w:rPr>
            </w:pPr>
          </w:p>
        </w:tc>
        <w:tc>
          <w:tcPr>
            <w:tcW w:w="1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10540" w:type="dxa"/>
            <w:vAlign w:val="bottom"/>
            <w:gridSpan w:val="23"/>
          </w:tcPr>
          <w:p>
            <w:pPr>
              <w:spacing w:after="0" w:line="189" w:lineRule="exact"/>
              <w:rPr>
                <w:rFonts w:ascii="Arial" w:cs="Arial" w:eastAsia="Arial" w:hAnsi="Arial"/>
                <w:sz w:val="18"/>
                <w:szCs w:val="18"/>
                <w:color w:val="0000FF"/>
              </w:rPr>
            </w:pPr>
            <w:hyperlink w:anchor="page38">
              <w:r>
                <w:rPr>
                  <w:rFonts w:ascii="Arial" w:cs="Arial" w:eastAsia="Arial" w:hAnsi="Arial"/>
                  <w:sz w:val="18"/>
                  <w:szCs w:val="18"/>
                  <w:color w:val="0000FF"/>
                </w:rPr>
                <w:t>Signatures</w:t>
              </w:r>
            </w:hyperlink>
          </w:p>
        </w:tc>
        <w:tc>
          <w:tcPr>
            <w:tcW w:w="660" w:type="dxa"/>
            <w:vAlign w:val="bottom"/>
            <w:gridSpan w:val="3"/>
          </w:tcPr>
          <w:p>
            <w:pPr>
              <w:jc w:val="center"/>
              <w:spacing w:after="0" w:line="189" w:lineRule="exact"/>
              <w:rPr>
                <w:rFonts w:ascii="Arial" w:cs="Arial" w:eastAsia="Arial" w:hAnsi="Arial"/>
                <w:sz w:val="18"/>
                <w:szCs w:val="18"/>
                <w:color w:val="0000FF"/>
                <w:w w:val="89"/>
              </w:rPr>
            </w:pPr>
            <w:hyperlink w:anchor="page38">
              <w:r>
                <w:rPr>
                  <w:rFonts w:ascii="Arial" w:cs="Arial" w:eastAsia="Arial" w:hAnsi="Arial"/>
                  <w:sz w:val="18"/>
                  <w:szCs w:val="18"/>
                  <w:color w:val="0000FF"/>
                  <w:w w:val="89"/>
                </w:rPr>
                <w:t>33</w:t>
              </w:r>
            </w:hyperlink>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tcPr>
          <w:p>
            <w:pPr>
              <w:spacing w:after="0"/>
              <w:rPr>
                <w:sz w:val="20"/>
                <w:szCs w:val="20"/>
                <w:color w:val="auto"/>
              </w:rPr>
            </w:pPr>
          </w:p>
        </w:tc>
        <w:tc>
          <w:tcPr>
            <w:tcW w:w="8780" w:type="dxa"/>
            <w:vAlign w:val="bottom"/>
          </w:tcPr>
          <w:p>
            <w:pPr>
              <w:ind w:left="1120"/>
              <w:spacing w:after="0"/>
              <w:rPr>
                <w:sz w:val="20"/>
                <w:szCs w:val="20"/>
                <w:color w:val="auto"/>
              </w:rPr>
            </w:pPr>
            <w:r>
              <w:rPr>
                <w:rFonts w:ascii="Arial" w:cs="Arial" w:eastAsia="Arial" w:hAnsi="Arial"/>
                <w:sz w:val="18"/>
                <w:szCs w:val="18"/>
                <w:b w:val="1"/>
                <w:bCs w:val="1"/>
                <w:color w:val="auto"/>
              </w:rPr>
              <w:t>GLOSSARY OF OIL AND NATURAL GAS TERMS</w:t>
            </w:r>
          </w:p>
        </w:tc>
      </w:tr>
      <w:tr>
        <w:trPr>
          <w:trHeight w:val="378"/>
        </w:trPr>
        <w:tc>
          <w:tcPr>
            <w:tcW w:w="112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oil and natural gas terms that are used in this Quarterly Report on Form 10-Q (this “report”):</w:t>
            </w:r>
          </w:p>
        </w:tc>
      </w:tr>
      <w:tr>
        <w:trPr>
          <w:trHeight w:val="122"/>
        </w:trPr>
        <w:tc>
          <w:tcPr>
            <w:tcW w:w="2440" w:type="dxa"/>
            <w:vAlign w:val="bottom"/>
            <w:tcBorders>
              <w:bottom w:val="single" w:sz="8" w:color="auto"/>
            </w:tcBorders>
          </w:tcPr>
          <w:p>
            <w:pPr>
              <w:spacing w:after="0"/>
              <w:rPr>
                <w:sz w:val="10"/>
                <w:szCs w:val="10"/>
                <w:color w:val="auto"/>
              </w:rPr>
            </w:pPr>
          </w:p>
        </w:tc>
        <w:tc>
          <w:tcPr>
            <w:tcW w:w="8780" w:type="dxa"/>
            <w:vAlign w:val="bottom"/>
            <w:tcBorders>
              <w:bottom w:val="single" w:sz="8" w:color="auto"/>
            </w:tcBorders>
          </w:tcPr>
          <w:p>
            <w:pPr>
              <w:spacing w:after="0"/>
              <w:rPr>
                <w:sz w:val="10"/>
                <w:szCs w:val="10"/>
                <w:color w:val="auto"/>
              </w:rPr>
            </w:pPr>
          </w:p>
        </w:tc>
      </w:tr>
      <w:tr>
        <w:trPr>
          <w:trHeight w:val="223"/>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Basin</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Bbl or barrel</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4"/>
              </w:rPr>
              <w:t>One stock tank barrel, or 42 U.S. gallons liquid volume, used in this report in reference to crude oil or other liquid</w:t>
            </w:r>
          </w:p>
        </w:tc>
      </w:tr>
      <w:tr>
        <w:trPr>
          <w:trHeight w:val="229"/>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hydrocarbons.</w:t>
            </w: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One barrel of oil.</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BO/d</w:t>
            </w:r>
          </w:p>
        </w:tc>
        <w:tc>
          <w:tcPr>
            <w:tcW w:w="8780" w:type="dxa"/>
            <w:vAlign w:val="bottom"/>
          </w:tcPr>
          <w:p>
            <w:pPr>
              <w:ind w:left="280"/>
              <w:spacing w:after="0"/>
              <w:rPr>
                <w:sz w:val="20"/>
                <w:szCs w:val="20"/>
                <w:color w:val="auto"/>
              </w:rPr>
            </w:pPr>
            <w:r>
              <w:rPr>
                <w:rFonts w:ascii="Arial" w:cs="Arial" w:eastAsia="Arial" w:hAnsi="Arial"/>
                <w:sz w:val="18"/>
                <w:szCs w:val="18"/>
                <w:color w:val="auto"/>
              </w:rPr>
              <w:t>BO per day.</w:t>
            </w: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BOE</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One barrel of oil equivalent, with six thousand cubic feet of natural gas being equivalent to one barrel of oil.</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BOE/d</w:t>
            </w:r>
          </w:p>
        </w:tc>
        <w:tc>
          <w:tcPr>
            <w:tcW w:w="8780" w:type="dxa"/>
            <w:vAlign w:val="bottom"/>
          </w:tcPr>
          <w:p>
            <w:pPr>
              <w:ind w:left="280"/>
              <w:spacing w:after="0"/>
              <w:rPr>
                <w:sz w:val="20"/>
                <w:szCs w:val="20"/>
                <w:color w:val="auto"/>
              </w:rPr>
            </w:pPr>
            <w:r>
              <w:rPr>
                <w:rFonts w:ascii="Arial" w:cs="Arial" w:eastAsia="Arial" w:hAnsi="Arial"/>
                <w:sz w:val="18"/>
                <w:szCs w:val="18"/>
                <w:color w:val="auto"/>
              </w:rPr>
              <w:t>BOE per day.</w:t>
            </w: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Thermal Unit or Btu</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The quantity of heat required to raise the temperature of one pound of water by one degree Fahrenheit.</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Condensate</w:t>
            </w:r>
          </w:p>
        </w:tc>
        <w:tc>
          <w:tcPr>
            <w:tcW w:w="8780" w:type="dxa"/>
            <w:vAlign w:val="bottom"/>
          </w:tcPr>
          <w:p>
            <w:pPr>
              <w:ind w:left="280"/>
              <w:spacing w:after="0"/>
              <w:rPr>
                <w:sz w:val="20"/>
                <w:szCs w:val="20"/>
                <w:color w:val="auto"/>
              </w:rPr>
            </w:pPr>
            <w:r>
              <w:rPr>
                <w:rFonts w:ascii="Arial" w:cs="Arial" w:eastAsia="Arial" w:hAnsi="Arial"/>
                <w:sz w:val="18"/>
                <w:szCs w:val="18"/>
                <w:color w:val="auto"/>
              </w:rPr>
              <w:t>Liquid hydrocarbons associated with the production of a primarily natural gas reserve.</w:t>
            </w: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Horizontal wells</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Wells drilled directionally horizontal to allow for development of structures not reachable through traditional vertical</w:t>
            </w:r>
          </w:p>
        </w:tc>
      </w:tr>
      <w:tr>
        <w:trPr>
          <w:trHeight w:val="229"/>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drilling mechanisms.</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MBbls</w:t>
            </w:r>
          </w:p>
        </w:tc>
        <w:tc>
          <w:tcPr>
            <w:tcW w:w="8780" w:type="dxa"/>
            <w:vAlign w:val="bottom"/>
          </w:tcPr>
          <w:p>
            <w:pPr>
              <w:ind w:left="280"/>
              <w:spacing w:after="0"/>
              <w:rPr>
                <w:sz w:val="20"/>
                <w:szCs w:val="20"/>
                <w:color w:val="auto"/>
              </w:rPr>
            </w:pPr>
            <w:r>
              <w:rPr>
                <w:rFonts w:ascii="Arial" w:cs="Arial" w:eastAsia="Arial" w:hAnsi="Arial"/>
                <w:sz w:val="18"/>
                <w:szCs w:val="18"/>
                <w:color w:val="auto"/>
              </w:rPr>
              <w:t>Thousand barrels of crude oil or other liquid hydrocarbons.</w:t>
            </w: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MBOE</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One thousand barrels of crude oil equivalent, determined using a ratio of six Mcf of natural gas to one Bbl of crude</w:t>
            </w:r>
          </w:p>
        </w:tc>
      </w:tr>
      <w:tr>
        <w:trPr>
          <w:trHeight w:val="230"/>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oil, condensate or natural gas liquids.</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Mcf</w:t>
            </w:r>
          </w:p>
        </w:tc>
        <w:tc>
          <w:tcPr>
            <w:tcW w:w="8780" w:type="dxa"/>
            <w:vAlign w:val="bottom"/>
          </w:tcPr>
          <w:p>
            <w:pPr>
              <w:ind w:left="280"/>
              <w:spacing w:after="0"/>
              <w:rPr>
                <w:sz w:val="20"/>
                <w:szCs w:val="20"/>
                <w:color w:val="auto"/>
              </w:rPr>
            </w:pPr>
            <w:r>
              <w:rPr>
                <w:rFonts w:ascii="Arial" w:cs="Arial" w:eastAsia="Arial" w:hAnsi="Arial"/>
                <w:sz w:val="18"/>
                <w:szCs w:val="18"/>
                <w:color w:val="auto"/>
              </w:rPr>
              <w:t>One thousand cubic feet of natural gas.</w:t>
            </w: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Mineral interests</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3"/>
              </w:rPr>
              <w:t>The interests in ownership of the resource and mineral rights, giving an owner the right to profit from the extracted</w:t>
            </w:r>
          </w:p>
        </w:tc>
      </w:tr>
      <w:tr>
        <w:trPr>
          <w:trHeight w:val="229"/>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resources.</w:t>
            </w:r>
          </w:p>
        </w:tc>
      </w:tr>
      <w:tr>
        <w:trPr>
          <w:trHeight w:val="230"/>
        </w:trPr>
        <w:tc>
          <w:tcPr>
            <w:tcW w:w="2440" w:type="dxa"/>
            <w:vAlign w:val="bottom"/>
          </w:tcPr>
          <w:p>
            <w:pPr>
              <w:ind w:left="20"/>
              <w:spacing w:after="0"/>
              <w:rPr>
                <w:sz w:val="20"/>
                <w:szCs w:val="20"/>
                <w:color w:val="auto"/>
              </w:rPr>
            </w:pPr>
            <w:r>
              <w:rPr>
                <w:rFonts w:ascii="Arial" w:cs="Arial" w:eastAsia="Arial" w:hAnsi="Arial"/>
                <w:sz w:val="18"/>
                <w:szCs w:val="18"/>
                <w:color w:val="auto"/>
              </w:rPr>
              <w:t>MMBtu</w:t>
            </w:r>
          </w:p>
        </w:tc>
        <w:tc>
          <w:tcPr>
            <w:tcW w:w="8780" w:type="dxa"/>
            <w:vAlign w:val="bottom"/>
          </w:tcPr>
          <w:p>
            <w:pPr>
              <w:ind w:left="280"/>
              <w:spacing w:after="0"/>
              <w:rPr>
                <w:sz w:val="20"/>
                <w:szCs w:val="20"/>
                <w:color w:val="auto"/>
              </w:rPr>
            </w:pPr>
            <w:r>
              <w:rPr>
                <w:rFonts w:ascii="Arial" w:cs="Arial" w:eastAsia="Arial" w:hAnsi="Arial"/>
                <w:sz w:val="18"/>
                <w:szCs w:val="18"/>
                <w:color w:val="auto"/>
              </w:rPr>
              <w:t>One million British Thermal Units.</w:t>
            </w:r>
          </w:p>
        </w:tc>
      </w:tr>
      <w:tr>
        <w:trPr>
          <w:trHeight w:val="229"/>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royalty acres</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acreage multiplied by the average royalty interest.</w:t>
            </w:r>
          </w:p>
        </w:tc>
      </w:tr>
      <w:tr>
        <w:trPr>
          <w:trHeight w:val="229"/>
        </w:trPr>
        <w:tc>
          <w:tcPr>
            <w:tcW w:w="2440" w:type="dxa"/>
            <w:vAlign w:val="bottom"/>
          </w:tcPr>
          <w:p>
            <w:pPr>
              <w:ind w:left="20"/>
              <w:spacing w:after="0"/>
              <w:rPr>
                <w:sz w:val="20"/>
                <w:szCs w:val="20"/>
                <w:color w:val="auto"/>
              </w:rPr>
            </w:pPr>
            <w:r>
              <w:rPr>
                <w:rFonts w:ascii="Arial" w:cs="Arial" w:eastAsia="Arial" w:hAnsi="Arial"/>
                <w:sz w:val="18"/>
                <w:szCs w:val="18"/>
                <w:color w:val="auto"/>
              </w:rPr>
              <w:t>Oil and natural gas properties</w:t>
            </w:r>
          </w:p>
        </w:tc>
        <w:tc>
          <w:tcPr>
            <w:tcW w:w="8780" w:type="dxa"/>
            <w:vAlign w:val="bottom"/>
          </w:tcPr>
          <w:p>
            <w:pPr>
              <w:ind w:left="28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Operator</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The individual or company responsible for the exploration and/or production of an oil or natural gas well or lease.</w:t>
            </w:r>
          </w:p>
        </w:tc>
      </w:tr>
      <w:tr>
        <w:trPr>
          <w:trHeight w:val="175"/>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Prospect</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4"/>
              </w:rPr>
              <w:t>A specific geographic area which, based on supporting geological, geophysical or other data and also preliminary</w:t>
            </w:r>
          </w:p>
        </w:tc>
      </w:tr>
      <w:tr>
        <w:trPr>
          <w:trHeight w:val="176"/>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3"/>
              </w:rPr>
              <w:t>economic analysis using reasonably anticipated prices and costs, is deemed to have potential for the discovery of</w:t>
            </w:r>
          </w:p>
        </w:tc>
      </w:tr>
      <w:tr>
        <w:trPr>
          <w:trHeight w:val="229"/>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commercial hydrocarbons.</w:t>
            </w:r>
          </w:p>
        </w:tc>
      </w:tr>
      <w:tr>
        <w:trPr>
          <w:trHeight w:val="176"/>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Proved reserves</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0"/>
              </w:rPr>
              <w:t>The estimated quantities of oil, natural gas and natural gas liquids which geological and engineering data demonstrate</w:t>
            </w:r>
          </w:p>
        </w:tc>
      </w:tr>
      <w:tr>
        <w:trPr>
          <w:trHeight w:val="175"/>
        </w:trPr>
        <w:tc>
          <w:tcPr>
            <w:tcW w:w="2440" w:type="dxa"/>
            <w:vAlign w:val="bottom"/>
            <w:shd w:val="clear" w:color="auto" w:fill="CCEEFF"/>
          </w:tcPr>
          <w:p>
            <w:pPr>
              <w:spacing w:after="0"/>
              <w:rPr>
                <w:sz w:val="15"/>
                <w:szCs w:val="15"/>
                <w:color w:val="auto"/>
              </w:rPr>
            </w:pP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7"/>
              </w:rPr>
              <w:t>with reasonable certainty to be commercially recoverable in future years from known reservoirs under existing</w:t>
            </w:r>
          </w:p>
        </w:tc>
      </w:tr>
      <w:tr>
        <w:trPr>
          <w:trHeight w:val="229"/>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economic and operating conditions.</w:t>
            </w: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Reserves</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5"/>
              </w:rPr>
              <w:t>The estimated remaining quantities of oil and natural gas and related substances anticipated to be economically</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5"/>
              </w:rPr>
              <w:t>producible, as of a given date, by application of development projects to known accumulations. In addition, there</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4"/>
              </w:rPr>
              <w:t>must exist, or there must be a reasonable expectation that there will exist, the legal right to produce or a revenue</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1"/>
              </w:rPr>
              <w:t>interest in the production, installed means of delivering oil and natural gas or related substances to the market and all</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1"/>
              </w:rPr>
              <w:t>permits and financing required to implement the project. Reserves are not assigned to adjacent reservoirs isolated by</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5"/>
              </w:rPr>
              <w:t>major, potentially sealing, faults until those reservoirs are penetrated and evaluated as economically producible.</w:t>
            </w:r>
          </w:p>
        </w:tc>
      </w:tr>
      <w:tr>
        <w:trPr>
          <w:trHeight w:val="176"/>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1"/>
              </w:rPr>
              <w:t>Reserves should not be assigned to areas that are clearly separated from a known accumulation by a non-productive</w:t>
            </w:r>
          </w:p>
        </w:tc>
      </w:tr>
      <w:tr>
        <w:trPr>
          <w:trHeight w:val="175"/>
        </w:trPr>
        <w:tc>
          <w:tcPr>
            <w:tcW w:w="2440" w:type="dxa"/>
            <w:vAlign w:val="bottom"/>
          </w:tcPr>
          <w:p>
            <w:pPr>
              <w:spacing w:after="0"/>
              <w:rPr>
                <w:sz w:val="15"/>
                <w:szCs w:val="15"/>
                <w:color w:val="auto"/>
              </w:rPr>
            </w:pP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6"/>
              </w:rPr>
              <w:t>reservoir (i.e., absence of reservoir, structurally low reservoir or negative test results). Such areas may contain</w:t>
            </w:r>
          </w:p>
        </w:tc>
      </w:tr>
      <w:tr>
        <w:trPr>
          <w:trHeight w:val="230"/>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prospective resources (i.e., potentially recoverable resources from undiscovered accumulations).</w:t>
            </w:r>
          </w:p>
        </w:tc>
      </w:tr>
      <w:tr>
        <w:trPr>
          <w:trHeight w:val="175"/>
        </w:trPr>
        <w:tc>
          <w:tcPr>
            <w:tcW w:w="2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Reservoir</w:t>
            </w:r>
          </w:p>
        </w:tc>
        <w:tc>
          <w:tcPr>
            <w:tcW w:w="8780" w:type="dxa"/>
            <w:vAlign w:val="bottom"/>
            <w:shd w:val="clear" w:color="auto" w:fill="CCEEFF"/>
          </w:tcPr>
          <w:p>
            <w:pPr>
              <w:ind w:left="280"/>
              <w:spacing w:after="0" w:line="176" w:lineRule="exact"/>
              <w:rPr>
                <w:sz w:val="20"/>
                <w:szCs w:val="20"/>
                <w:color w:val="auto"/>
              </w:rPr>
            </w:pPr>
            <w:r>
              <w:rPr>
                <w:rFonts w:ascii="Arial" w:cs="Arial" w:eastAsia="Arial" w:hAnsi="Arial"/>
                <w:sz w:val="18"/>
                <w:szCs w:val="18"/>
                <w:color w:val="auto"/>
                <w:w w:val="92"/>
              </w:rPr>
              <w:t>A porous and permeable underground formation containing a natural accumulation of producible natural gas and/or</w:t>
            </w:r>
          </w:p>
        </w:tc>
      </w:tr>
      <w:tr>
        <w:trPr>
          <w:trHeight w:val="229"/>
        </w:trPr>
        <w:tc>
          <w:tcPr>
            <w:tcW w:w="2440" w:type="dxa"/>
            <w:vAlign w:val="bottom"/>
            <w:shd w:val="clear" w:color="auto" w:fill="CCEEFF"/>
          </w:tcPr>
          <w:p>
            <w:pPr>
              <w:spacing w:after="0"/>
              <w:rPr>
                <w:sz w:val="19"/>
                <w:szCs w:val="19"/>
                <w:color w:val="auto"/>
              </w:rPr>
            </w:pP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crude oil that is confined by impermeable rock or water barriers and is separate from other reservoirs.</w:t>
            </w:r>
          </w:p>
        </w:tc>
      </w:tr>
      <w:tr>
        <w:trPr>
          <w:trHeight w:val="176"/>
        </w:trPr>
        <w:tc>
          <w:tcPr>
            <w:tcW w:w="2440" w:type="dxa"/>
            <w:vAlign w:val="bottom"/>
          </w:tcPr>
          <w:p>
            <w:pPr>
              <w:ind w:left="20"/>
              <w:spacing w:after="0" w:line="176" w:lineRule="exact"/>
              <w:rPr>
                <w:sz w:val="20"/>
                <w:szCs w:val="20"/>
                <w:color w:val="auto"/>
              </w:rPr>
            </w:pPr>
            <w:r>
              <w:rPr>
                <w:rFonts w:ascii="Arial" w:cs="Arial" w:eastAsia="Arial" w:hAnsi="Arial"/>
                <w:sz w:val="18"/>
                <w:szCs w:val="18"/>
                <w:color w:val="auto"/>
              </w:rPr>
              <w:t>Royalty interest</w:t>
            </w:r>
          </w:p>
        </w:tc>
        <w:tc>
          <w:tcPr>
            <w:tcW w:w="8780" w:type="dxa"/>
            <w:vAlign w:val="bottom"/>
          </w:tcPr>
          <w:p>
            <w:pPr>
              <w:ind w:left="280"/>
              <w:spacing w:after="0" w:line="176" w:lineRule="exact"/>
              <w:rPr>
                <w:sz w:val="20"/>
                <w:szCs w:val="20"/>
                <w:color w:val="auto"/>
              </w:rPr>
            </w:pPr>
            <w:r>
              <w:rPr>
                <w:rFonts w:ascii="Arial" w:cs="Arial" w:eastAsia="Arial" w:hAnsi="Arial"/>
                <w:sz w:val="18"/>
                <w:szCs w:val="18"/>
                <w:color w:val="auto"/>
                <w:w w:val="91"/>
              </w:rPr>
              <w:t>An interest that gives an owner the right to receive a portion of the resources or revenues without having to carry any</w:t>
            </w:r>
          </w:p>
        </w:tc>
      </w:tr>
      <w:tr>
        <w:trPr>
          <w:trHeight w:val="229"/>
        </w:trPr>
        <w:tc>
          <w:tcPr>
            <w:tcW w:w="2440" w:type="dxa"/>
            <w:vAlign w:val="bottom"/>
          </w:tcPr>
          <w:p>
            <w:pPr>
              <w:spacing w:after="0"/>
              <w:rPr>
                <w:sz w:val="19"/>
                <w:szCs w:val="19"/>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costs of development, which may be subject to expiration.</w:t>
            </w:r>
          </w:p>
        </w:tc>
      </w:tr>
      <w:tr>
        <w:trPr>
          <w:trHeight w:val="230"/>
        </w:trPr>
        <w:tc>
          <w:tcPr>
            <w:tcW w:w="2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Spud</w:t>
            </w:r>
          </w:p>
        </w:tc>
        <w:tc>
          <w:tcPr>
            <w:tcW w:w="8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Commencement of actual drilling operations.</w:t>
            </w:r>
          </w:p>
        </w:tc>
      </w:tr>
      <w:tr>
        <w:trPr>
          <w:trHeight w:val="230"/>
        </w:trPr>
        <w:tc>
          <w:tcPr>
            <w:tcW w:w="2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WTI</w:t>
            </w:r>
          </w:p>
        </w:tc>
        <w:tc>
          <w:tcPr>
            <w:tcW w:w="87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West Texas Intermediate.</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9120" w:type="dxa"/>
            <w:vAlign w:val="bottom"/>
          </w:tcPr>
          <w:p>
            <w:pPr>
              <w:ind w:left="176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08"/>
        </w:trPr>
        <w:tc>
          <w:tcPr>
            <w:tcW w:w="2100" w:type="dxa"/>
            <w:vAlign w:val="bottom"/>
            <w:tcBorders>
              <w:bottom w:val="single" w:sz="8" w:color="auto"/>
            </w:tcBorders>
          </w:tcPr>
          <w:p>
            <w:pPr>
              <w:spacing w:after="0"/>
              <w:rPr>
                <w:sz w:val="9"/>
                <w:szCs w:val="9"/>
                <w:color w:val="auto"/>
              </w:rPr>
            </w:pPr>
          </w:p>
        </w:tc>
        <w:tc>
          <w:tcPr>
            <w:tcW w:w="9120" w:type="dxa"/>
            <w:vAlign w:val="bottom"/>
            <w:tcBorders>
              <w:bottom w:val="single" w:sz="8" w:color="auto"/>
            </w:tcBorders>
          </w:tcPr>
          <w:p>
            <w:pPr>
              <w:spacing w:after="0"/>
              <w:rPr>
                <w:sz w:val="9"/>
                <w:szCs w:val="9"/>
                <w:color w:val="auto"/>
              </w:rPr>
            </w:pPr>
          </w:p>
        </w:tc>
      </w:tr>
      <w:tr>
        <w:trPr>
          <w:trHeight w:val="223"/>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Accounting Standards Update.</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Diamondback</w:t>
            </w:r>
          </w:p>
        </w:tc>
        <w:tc>
          <w:tcPr>
            <w:tcW w:w="9120" w:type="dxa"/>
            <w:vAlign w:val="bottom"/>
          </w:tcPr>
          <w:p>
            <w:pPr>
              <w:ind w:left="620"/>
              <w:spacing w:after="0"/>
              <w:rPr>
                <w:sz w:val="20"/>
                <w:szCs w:val="20"/>
                <w:color w:val="auto"/>
              </w:rPr>
            </w:pPr>
            <w:r>
              <w:rPr>
                <w:rFonts w:ascii="Arial" w:cs="Arial" w:eastAsia="Arial" w:hAnsi="Arial"/>
                <w:sz w:val="18"/>
                <w:szCs w:val="18"/>
                <w:color w:val="auto"/>
              </w:rPr>
              <w:t>Diamondback Energy, Inc., a Delaware corporation.</w:t>
            </w:r>
          </w:p>
        </w:tc>
      </w:tr>
      <w:tr>
        <w:trPr>
          <w:trHeight w:val="230"/>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Act</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The Securities Exchange Act of 1934, as amended.</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GAAP</w:t>
            </w:r>
          </w:p>
        </w:tc>
        <w:tc>
          <w:tcPr>
            <w:tcW w:w="9120" w:type="dxa"/>
            <w:vAlign w:val="bottom"/>
          </w:tcPr>
          <w:p>
            <w:pPr>
              <w:ind w:left="62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Partner</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4"/>
              </w:rPr>
              <w:t>Viper Energy Partners GP LLC, a Delaware limited liability company, and the General Partner of the Partnership.</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LIBOR</w:t>
            </w:r>
          </w:p>
        </w:tc>
        <w:tc>
          <w:tcPr>
            <w:tcW w:w="9120" w:type="dxa"/>
            <w:vAlign w:val="bottom"/>
          </w:tcPr>
          <w:p>
            <w:pPr>
              <w:ind w:left="620"/>
              <w:spacing w:after="0"/>
              <w:rPr>
                <w:sz w:val="20"/>
                <w:szCs w:val="20"/>
                <w:color w:val="auto"/>
              </w:rPr>
            </w:pPr>
            <w:r>
              <w:rPr>
                <w:rFonts w:ascii="Arial" w:cs="Arial" w:eastAsia="Arial" w:hAnsi="Arial"/>
                <w:sz w:val="18"/>
                <w:szCs w:val="18"/>
                <w:color w:val="auto"/>
              </w:rPr>
              <w:t>The London interbank offered rate.</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LTIP</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Viper Energy Partners LP Long Term Incentive Plan.</w:t>
            </w:r>
          </w:p>
        </w:tc>
      </w:tr>
      <w:tr>
        <w:trPr>
          <w:trHeight w:val="229"/>
        </w:trPr>
        <w:tc>
          <w:tcPr>
            <w:tcW w:w="2100" w:type="dxa"/>
            <w:vAlign w:val="bottom"/>
          </w:tcPr>
          <w:p>
            <w:pPr>
              <w:ind w:left="20"/>
              <w:spacing w:after="0"/>
              <w:rPr>
                <w:sz w:val="20"/>
                <w:szCs w:val="20"/>
                <w:color w:val="auto"/>
              </w:rPr>
            </w:pPr>
            <w:r>
              <w:rPr>
                <w:rFonts w:ascii="Arial" w:cs="Arial" w:eastAsia="Arial" w:hAnsi="Arial"/>
                <w:sz w:val="18"/>
                <w:szCs w:val="18"/>
                <w:color w:val="auto"/>
              </w:rPr>
              <w:t>NYMEX</w:t>
            </w:r>
          </w:p>
        </w:tc>
        <w:tc>
          <w:tcPr>
            <w:tcW w:w="9120" w:type="dxa"/>
            <w:vAlign w:val="bottom"/>
          </w:tcPr>
          <w:p>
            <w:pPr>
              <w:ind w:left="620"/>
              <w:spacing w:after="0"/>
              <w:rPr>
                <w:sz w:val="20"/>
                <w:szCs w:val="20"/>
                <w:color w:val="auto"/>
              </w:rPr>
            </w:pPr>
            <w:r>
              <w:rPr>
                <w:rFonts w:ascii="Arial" w:cs="Arial" w:eastAsia="Arial" w:hAnsi="Arial"/>
                <w:sz w:val="18"/>
                <w:szCs w:val="18"/>
                <w:color w:val="auto"/>
              </w:rPr>
              <w:t>New York Mercantile Exchange.</w:t>
            </w:r>
          </w:p>
        </w:tc>
      </w:tr>
      <w:tr>
        <w:trPr>
          <w:trHeight w:val="230"/>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OPEC</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Organization of the Petroleum Exporting Countries.</w:t>
            </w:r>
          </w:p>
        </w:tc>
      </w:tr>
      <w:tr>
        <w:trPr>
          <w:trHeight w:val="175"/>
        </w:trPr>
        <w:tc>
          <w:tcPr>
            <w:tcW w:w="2100" w:type="dxa"/>
            <w:vAlign w:val="bottom"/>
          </w:tcPr>
          <w:p>
            <w:pPr>
              <w:ind w:left="20"/>
              <w:spacing w:after="0" w:line="176" w:lineRule="exact"/>
              <w:rPr>
                <w:sz w:val="20"/>
                <w:szCs w:val="20"/>
                <w:color w:val="auto"/>
              </w:rPr>
            </w:pPr>
            <w:r>
              <w:rPr>
                <w:rFonts w:ascii="Arial" w:cs="Arial" w:eastAsia="Arial" w:hAnsi="Arial"/>
                <w:sz w:val="18"/>
                <w:szCs w:val="18"/>
                <w:color w:val="auto"/>
              </w:rPr>
              <w:t>Operating Company</w:t>
            </w:r>
          </w:p>
        </w:tc>
        <w:tc>
          <w:tcPr>
            <w:tcW w:w="9120" w:type="dxa"/>
            <w:vAlign w:val="bottom"/>
          </w:tcPr>
          <w:p>
            <w:pPr>
              <w:ind w:left="620"/>
              <w:spacing w:after="0" w:line="176" w:lineRule="exact"/>
              <w:rPr>
                <w:sz w:val="20"/>
                <w:szCs w:val="20"/>
                <w:color w:val="auto"/>
              </w:rPr>
            </w:pPr>
            <w:r>
              <w:rPr>
                <w:rFonts w:ascii="Arial" w:cs="Arial" w:eastAsia="Arial" w:hAnsi="Arial"/>
                <w:sz w:val="18"/>
                <w:szCs w:val="18"/>
                <w:color w:val="auto"/>
                <w:w w:val="96"/>
              </w:rPr>
              <w:t>Viper Energy Partners LLC, a Delaware limited liability company and a consolidated subsidiary of Viper Energy</w:t>
            </w:r>
          </w:p>
        </w:tc>
      </w:tr>
      <w:tr>
        <w:trPr>
          <w:trHeight w:val="230"/>
        </w:trPr>
        <w:tc>
          <w:tcPr>
            <w:tcW w:w="2100" w:type="dxa"/>
            <w:vAlign w:val="bottom"/>
          </w:tcPr>
          <w:p>
            <w:pPr>
              <w:spacing w:after="0"/>
              <w:rPr>
                <w:sz w:val="19"/>
                <w:szCs w:val="19"/>
                <w:color w:val="auto"/>
              </w:rPr>
            </w:pPr>
          </w:p>
        </w:tc>
        <w:tc>
          <w:tcPr>
            <w:tcW w:w="9120" w:type="dxa"/>
            <w:vAlign w:val="bottom"/>
          </w:tcPr>
          <w:p>
            <w:pPr>
              <w:ind w:left="620"/>
              <w:spacing w:after="0"/>
              <w:rPr>
                <w:sz w:val="20"/>
                <w:szCs w:val="20"/>
                <w:color w:val="auto"/>
              </w:rPr>
            </w:pPr>
            <w:r>
              <w:rPr>
                <w:rFonts w:ascii="Arial" w:cs="Arial" w:eastAsia="Arial" w:hAnsi="Arial"/>
                <w:sz w:val="18"/>
                <w:szCs w:val="18"/>
                <w:color w:val="auto"/>
              </w:rPr>
              <w:t>Partners LP.</w:t>
            </w:r>
          </w:p>
        </w:tc>
      </w:tr>
      <w:tr>
        <w:trPr>
          <w:trHeight w:val="229"/>
        </w:trPr>
        <w:tc>
          <w:tcPr>
            <w:tcW w:w="2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w:t>
            </w:r>
          </w:p>
        </w:tc>
        <w:tc>
          <w:tcPr>
            <w:tcW w:w="91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230"/>
        </w:trPr>
        <w:tc>
          <w:tcPr>
            <w:tcW w:w="2100" w:type="dxa"/>
            <w:vAlign w:val="bottom"/>
          </w:tcPr>
          <w:p>
            <w:pPr>
              <w:ind w:left="20"/>
              <w:spacing w:after="0"/>
              <w:rPr>
                <w:sz w:val="20"/>
                <w:szCs w:val="20"/>
                <w:color w:val="auto"/>
              </w:rPr>
            </w:pPr>
            <w:r>
              <w:rPr>
                <w:rFonts w:ascii="Arial" w:cs="Arial" w:eastAsia="Arial" w:hAnsi="Arial"/>
                <w:sz w:val="18"/>
                <w:szCs w:val="18"/>
                <w:color w:val="auto"/>
              </w:rPr>
              <w:t>SEC</w:t>
            </w:r>
          </w:p>
        </w:tc>
        <w:tc>
          <w:tcPr>
            <w:tcW w:w="9120" w:type="dxa"/>
            <w:vAlign w:val="bottom"/>
          </w:tcPr>
          <w:p>
            <w:pPr>
              <w:ind w:left="620"/>
              <w:spacing w:after="0"/>
              <w:rPr>
                <w:sz w:val="20"/>
                <w:szCs w:val="20"/>
                <w:color w:val="auto"/>
              </w:rPr>
            </w:pPr>
            <w:r>
              <w:rPr>
                <w:rFonts w:ascii="Arial" w:cs="Arial" w:eastAsia="Arial" w:hAnsi="Arial"/>
                <w:sz w:val="18"/>
                <w:szCs w:val="18"/>
                <w:color w:val="auto"/>
              </w:rPr>
              <w:t>United States Securities and Exchange Commission.</w:t>
            </w:r>
          </w:p>
        </w:tc>
      </w:tr>
      <w:tr>
        <w:trPr>
          <w:trHeight w:val="229"/>
        </w:trPr>
        <w:tc>
          <w:tcPr>
            <w:tcW w:w="2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The Notes</w:t>
            </w:r>
          </w:p>
        </w:tc>
        <w:tc>
          <w:tcPr>
            <w:tcW w:w="91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The 5.375% Senior Notes due 2027 issued on October 16, 2019.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46" w:lineRule="exact"/>
        <w:rPr>
          <w:sz w:val="20"/>
          <w:szCs w:val="20"/>
          <w:color w:val="auto"/>
        </w:rPr>
      </w:pPr>
    </w:p>
    <w:p>
      <w:pPr>
        <w:jc w:val="both"/>
        <w:ind w:firstLine="648"/>
        <w:spacing w:after="0" w:line="253" w:lineRule="auto"/>
        <w:rPr>
          <w:rFonts w:ascii="Arial" w:cs="Arial" w:eastAsia="Arial" w:hAnsi="Arial"/>
          <w:sz w:val="17"/>
          <w:szCs w:val="17"/>
          <w:color w:val="auto"/>
        </w:rPr>
      </w:pPr>
      <w:r>
        <w:rPr>
          <w:rFonts w:ascii="Arial" w:cs="Arial" w:eastAsia="Arial" w:hAnsi="Arial"/>
          <w:sz w:val="17"/>
          <w:szCs w:val="17"/>
          <w:color w:val="auto"/>
        </w:rPr>
        <w:t xml:space="preserve">Various statements contained in this report are “forward-looking statements” as defined by the SEC. These forward-looking statements are subject to a number of risks, uncertainties and assumptions,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and our </w:t>
      </w:r>
      <w:hyperlink r:id="rId16">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2020 could affect our actual results and cause our actual results to differ materially from expectations, estimates or assumptions expressed, forecasted or implied in such forward-looking statements. Unless the context requires otherwise, references to “we,” “us,” “our” or “the Partnership” are intended to mean the business and operations of the Partnership and the Operating Company.</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w:t>
      </w:r>
    </w:p>
    <w:p>
      <w:pPr>
        <w:spacing w:after="0" w:line="117" w:lineRule="exact"/>
        <w:rPr>
          <w:sz w:val="20"/>
          <w:szCs w:val="20"/>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amounts or volatility of realized oil and natural gas prices;</w:t>
      </w:r>
    </w:p>
    <w:p>
      <w:pPr>
        <w:spacing w:after="0" w:line="117"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implications and logistical challenges of epidemic or pandemic diseases, including the COVID-19 pandemic and its impact on the oil and natural gas industry, pricing and demand for oil and natural gas and the supply chain disruptions;</w:t>
      </w:r>
    </w:p>
    <w:p>
      <w:pPr>
        <w:spacing w:after="0" w:line="62"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 including conditions of the U.S. oil and natural gas industry and the effect of U.S. energy, environmental, monetary and trade policies on our industry and business;</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 and our ability to obtain capital on favorable terms or at all;</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business and financial strategies;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production on our properties;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reduced drilling activity on our exploration and development drilling prospects, inventories, projects and programs;</w:t>
      </w:r>
    </w:p>
    <w:p>
      <w:pPr>
        <w:spacing w:after="0" w:line="128" w:lineRule="exact"/>
        <w:rPr>
          <w:rFonts w:ascii="Arial" w:cs="Arial" w:eastAsia="Arial" w:hAnsi="Arial"/>
          <w:sz w:val="17"/>
          <w:szCs w:val="17"/>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any delays, curtailments or interruptions of production, and any government order, rule or regulation that may impose production limits on properties in which we have mineral and royalty interest;</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actions taken by third party operators on our mineral and royalty acreage;</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our oil and natural gas reserves;</w:t>
      </w:r>
    </w:p>
    <w:p>
      <w:pPr>
        <w:spacing w:after="0" w:line="117"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effectively integrate acquisitions of properties or businesses, including our recently completed Swallowtail Acquisition described in this report;</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oil and natural gas industry;</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operators to obtain capital or financing needed for development and exploration operations;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with respect to identified drilling locations and estimates of reserves;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extreme weather conditions on production volumes on our mineral and royalty acreage;</w:t>
      </w:r>
    </w:p>
    <w:p>
      <w:pPr>
        <w:spacing w:after="0" w:line="117" w:lineRule="exact"/>
        <w:rPr>
          <w:rFonts w:ascii="Arial" w:cs="Arial" w:eastAsia="Arial" w:hAnsi="Arial"/>
          <w:sz w:val="18"/>
          <w:szCs w:val="18"/>
          <w:color w:val="auto"/>
        </w:rPr>
      </w:pPr>
    </w:p>
    <w:p>
      <w:pPr>
        <w:ind w:left="1220" w:hanging="321"/>
        <w:spacing w:after="0" w:line="277" w:lineRule="auto"/>
        <w:tabs>
          <w:tab w:leader="none" w:pos="12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operators to comply with applicable governmental laws and regulations and to obtain permits and governmental approvals;</w:t>
      </w:r>
    </w:p>
    <w:p>
      <w:pPr>
        <w:spacing w:after="0" w:line="62"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results;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distributions to eligible unitholders;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impact of potential impairment charges;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future litigation;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other factors discussed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ind w:left="14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1500" w:type="dxa"/>
            <w:vAlign w:val="bottom"/>
          </w:tcPr>
          <w:p>
            <w:pPr>
              <w:jc w:val="right"/>
              <w:ind w:right="33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9"/>
        </w:trPr>
        <w:tc>
          <w:tcPr>
            <w:tcW w:w="7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80" w:type="dxa"/>
            <w:vAlign w:val="bottom"/>
            <w:gridSpan w:val="4"/>
          </w:tcPr>
          <w:p>
            <w:pPr>
              <w:jc w:val="right"/>
              <w:ind w:right="491"/>
              <w:spacing w:after="0"/>
              <w:rPr>
                <w:sz w:val="20"/>
                <w:szCs w:val="20"/>
                <w:color w:val="auto"/>
              </w:rPr>
            </w:pPr>
            <w:r>
              <w:rPr>
                <w:rFonts w:ascii="Arial" w:cs="Arial" w:eastAsia="Arial" w:hAnsi="Arial"/>
                <w:sz w:val="16"/>
                <w:szCs w:val="16"/>
                <w:b w:val="1"/>
                <w:bCs w:val="1"/>
                <w:color w:val="auto"/>
              </w:rPr>
              <w:t>(In thousands, except unit amounts)</w:t>
            </w:r>
          </w:p>
        </w:tc>
        <w:tc>
          <w:tcPr>
            <w:tcW w:w="0" w:type="dxa"/>
            <w:vAlign w:val="bottom"/>
          </w:tcPr>
          <w:p>
            <w:pPr>
              <w:spacing w:after="0"/>
              <w:rPr>
                <w:sz w:val="1"/>
                <w:szCs w:val="1"/>
                <w:color w:val="auto"/>
              </w:rPr>
            </w:pPr>
          </w:p>
        </w:tc>
      </w:tr>
      <w:tr>
        <w:trPr>
          <w:trHeight w:val="219"/>
        </w:trPr>
        <w:tc>
          <w:tcPr>
            <w:tcW w:w="7600" w:type="dxa"/>
            <w:vAlign w:val="bottom"/>
            <w:shd w:val="clear" w:color="auto" w:fill="CCEEFF"/>
          </w:tcPr>
          <w:p>
            <w:pPr>
              <w:ind w:left="360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19,121</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Royalty income receivable (net of allowance for credit losses)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47,133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32,210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 receivable—related party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111,324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53,994</w:t>
            </w:r>
          </w:p>
        </w:tc>
        <w:tc>
          <w:tcPr>
            <w:tcW w:w="0" w:type="dxa"/>
            <w:vAlign w:val="bottom"/>
          </w:tcPr>
          <w:p>
            <w:pPr>
              <w:spacing w:after="0"/>
              <w:rPr>
                <w:sz w:val="1"/>
                <w:szCs w:val="1"/>
                <w:color w:val="auto"/>
              </w:rPr>
            </w:pPr>
          </w:p>
        </w:tc>
      </w:tr>
      <w:tr>
        <w:trPr>
          <w:trHeight w:val="209"/>
        </w:trPr>
        <w:tc>
          <w:tcPr>
            <w:tcW w:w="7600" w:type="dxa"/>
            <w:vAlign w:val="bottom"/>
          </w:tcPr>
          <w:p>
            <w:pPr>
              <w:ind w:left="20"/>
              <w:spacing w:after="0"/>
              <w:rPr>
                <w:sz w:val="20"/>
                <w:szCs w:val="20"/>
                <w:color w:val="auto"/>
              </w:rPr>
            </w:pPr>
            <w:r>
              <w:rPr>
                <w:rFonts w:ascii="Arial" w:cs="Arial" w:eastAsia="Arial" w:hAnsi="Arial"/>
                <w:sz w:val="18"/>
                <w:szCs w:val="18"/>
                <w:color w:val="auto"/>
              </w:rPr>
              <w:t>Property:</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2"/>
              </w:rPr>
              <w:t>Oil and natural gas interests, full cost method of accounting ($1,296,765 and $1,364,906 excluded</w:t>
            </w:r>
          </w:p>
        </w:tc>
        <w:tc>
          <w:tcPr>
            <w:tcW w:w="2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2,902,270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2,895,542</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depletion at September 30, 2021 and December 31, 2020, respectively)</w:t>
            </w:r>
          </w:p>
        </w:tc>
        <w:tc>
          <w:tcPr>
            <w:tcW w:w="26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Land</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5,688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depletion and impairment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(496,176)</w:t>
            </w: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Property,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2,337,552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2,405,054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held in escrow</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2,482,468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2,461,375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600"/>
              <w:spacing w:after="0"/>
              <w:rPr>
                <w:sz w:val="20"/>
                <w:szCs w:val="20"/>
                <w:color w:val="auto"/>
              </w:rPr>
            </w:pPr>
            <w:r>
              <w:rPr>
                <w:rFonts w:ascii="Arial" w:cs="Arial" w:eastAsia="Arial" w:hAnsi="Arial"/>
                <w:sz w:val="16"/>
                <w:szCs w:val="16"/>
                <w:b w:val="1"/>
                <w:bCs w:val="1"/>
                <w:color w:val="auto"/>
              </w:rPr>
              <w:t>Liabilities and Unitholders’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18,262</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Derivative instruments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26,593</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44,898</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Long-term debt,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564,452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555,644</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626,714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600,542</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Unitholders’ equity:</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partner</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175"/>
        </w:trPr>
        <w:tc>
          <w:tcPr>
            <w:tcW w:w="7600" w:type="dxa"/>
            <w:vAlign w:val="bottom"/>
          </w:tcPr>
          <w:p>
            <w:pPr>
              <w:ind w:left="360"/>
              <w:spacing w:after="0" w:line="176" w:lineRule="exact"/>
              <w:rPr>
                <w:sz w:val="20"/>
                <w:szCs w:val="20"/>
                <w:color w:val="auto"/>
              </w:rPr>
            </w:pPr>
            <w:r>
              <w:rPr>
                <w:rFonts w:ascii="Arial" w:cs="Arial" w:eastAsia="Arial" w:hAnsi="Arial"/>
                <w:sz w:val="18"/>
                <w:szCs w:val="18"/>
                <w:color w:val="auto"/>
                <w:w w:val="91"/>
              </w:rPr>
              <w:t>Common units (63,830,715 units issued and outstanding as of September 30, 2021 and 65,817,281</w:t>
            </w:r>
          </w:p>
        </w:tc>
        <w:tc>
          <w:tcPr>
            <w:tcW w:w="2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580,992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633,415</w:t>
            </w: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units issued and outstanding as of December 31, 2020)</w:t>
            </w:r>
          </w:p>
        </w:tc>
        <w:tc>
          <w:tcPr>
            <w:tcW w:w="26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6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89"/>
              </w:rPr>
              <w:t>Class B units (90,709,946 units issued and outstanding as of September 30, 2021 and December 31,</w:t>
            </w:r>
          </w:p>
        </w:tc>
        <w:tc>
          <w:tcPr>
            <w:tcW w:w="2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ind w:left="680"/>
              <w:spacing w:after="0"/>
              <w:rPr>
                <w:sz w:val="20"/>
                <w:szCs w:val="20"/>
                <w:color w:val="auto"/>
              </w:rPr>
            </w:pPr>
            <w:r>
              <w:rPr>
                <w:rFonts w:ascii="Arial" w:cs="Arial" w:eastAsia="Arial" w:hAnsi="Arial"/>
                <w:sz w:val="18"/>
                <w:szCs w:val="18"/>
                <w:color w:val="auto"/>
              </w:rPr>
              <w:t>Total Viper Energy Partners LP unitholders’ equity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582,697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635,255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1,273,057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1,225,578</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1,855,754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1,860,833</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unitholders’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2,482,468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2,461,375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70"/>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r>
      <w:tr>
        <w:trPr>
          <w:trHeight w:val="210"/>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960" w:type="dxa"/>
            <w:vAlign w:val="bottom"/>
            <w:gridSpan w:val="7"/>
          </w:tcPr>
          <w:p>
            <w:pPr>
              <w:ind w:left="100"/>
              <w:spacing w:after="0"/>
              <w:rPr>
                <w:sz w:val="20"/>
                <w:szCs w:val="20"/>
                <w:color w:val="auto"/>
              </w:rPr>
            </w:pPr>
            <w:r>
              <w:rPr>
                <w:rFonts w:ascii="Arial" w:cs="Arial" w:eastAsia="Arial" w:hAnsi="Arial"/>
                <w:sz w:val="16"/>
                <w:szCs w:val="16"/>
                <w:b w:val="1"/>
                <w:bCs w:val="1"/>
                <w:color w:val="auto"/>
                <w:w w:val="93"/>
              </w:rPr>
              <w:t>(In thousands, except per unit amounts)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Royalty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127,649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62,584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337,619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171,857</w:t>
            </w: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bonus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29"/>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operating income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w:t>
            </w:r>
          </w:p>
        </w:tc>
      </w:tr>
      <w:tr>
        <w:trPr>
          <w:trHeight w:val="223"/>
        </w:trPr>
        <w:tc>
          <w:tcPr>
            <w:tcW w:w="5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income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128,004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339,130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174,303</w:t>
            </w:r>
          </w:p>
        </w:tc>
      </w:tr>
      <w:tr>
        <w:trPr>
          <w:trHeight w:val="19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2"/>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Production and ad valorem taxes</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23,426</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14,306</w:t>
            </w:r>
          </w:p>
        </w:tc>
      </w:tr>
      <w:tr>
        <w:trPr>
          <w:trHeight w:val="230"/>
        </w:trPr>
        <w:tc>
          <w:tcPr>
            <w:tcW w:w="5640" w:type="dxa"/>
            <w:vAlign w:val="bottom"/>
          </w:tcPr>
          <w:p>
            <w:pPr>
              <w:ind w:left="360"/>
              <w:spacing w:after="0"/>
              <w:rPr>
                <w:sz w:val="20"/>
                <w:szCs w:val="20"/>
                <w:color w:val="auto"/>
              </w:rPr>
            </w:pPr>
            <w:r>
              <w:rPr>
                <w:rFonts w:ascii="Arial" w:cs="Arial" w:eastAsia="Arial" w:hAnsi="Arial"/>
                <w:sz w:val="18"/>
                <w:szCs w:val="18"/>
                <w:color w:val="auto"/>
              </w:rPr>
              <w:t>Depletion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74,230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72,204</w:t>
            </w: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6,160</w:t>
            </w:r>
          </w:p>
        </w:tc>
      </w:tr>
      <w:tr>
        <w:trPr>
          <w:trHeight w:val="223"/>
        </w:trPr>
        <w:tc>
          <w:tcPr>
            <w:tcW w:w="5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103,774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92,670</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81,633</w:t>
            </w:r>
          </w:p>
        </w:tc>
      </w:tr>
      <w:tr>
        <w:trPr>
          <w:trHeight w:val="21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(24,161)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(24,870)</w:t>
            </w: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(70,649)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(47,469)</w:t>
            </w: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revaluation of investment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r>
      <w:tr>
        <w:trPr>
          <w:trHeight w:val="230"/>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r>
      <w:tr>
        <w:trPr>
          <w:trHeight w:val="223"/>
        </w:trPr>
        <w:tc>
          <w:tcPr>
            <w:tcW w:w="56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(94,733)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(79,889)</w:t>
            </w:r>
          </w:p>
        </w:tc>
      </w:tr>
      <w:tr>
        <w:trPr>
          <w:trHeight w:val="22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74,351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140,623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1,744</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142,466</w:t>
            </w:r>
          </w:p>
        </w:tc>
      </w:tr>
      <w:tr>
        <w:trPr>
          <w:trHeight w:val="22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73,445</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16,184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139,682</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(140,722)</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121,208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23,963</w:t>
            </w:r>
          </w:p>
        </w:tc>
      </w:tr>
      <w:tr>
        <w:trPr>
          <w:trHeight w:val="22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(164,685)</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5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common limited partner units: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5640" w:type="dxa"/>
            <w:vAlign w:val="bottom"/>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0.26</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number of common limited partner units outstanding:</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640" w:type="dxa"/>
            <w:vAlign w:val="bottom"/>
          </w:tcPr>
          <w:p>
            <w:pPr>
              <w:ind w:left="2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64,724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67,832</w:t>
            </w:r>
          </w:p>
        </w:tc>
      </w:tr>
      <w:tr>
        <w:trPr>
          <w:trHeight w:val="230"/>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to Unitholders'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vMerge w:val="restart"/>
          </w:tcPr>
          <w:p>
            <w:pPr>
              <w:ind w:left="280"/>
              <w:spacing w:after="0"/>
              <w:rPr>
                <w:sz w:val="20"/>
                <w:szCs w:val="20"/>
                <w:color w:val="auto"/>
              </w:rPr>
            </w:pPr>
            <w:r>
              <w:rPr>
                <w:rFonts w:ascii="Arial" w:cs="Arial" w:eastAsia="Arial" w:hAnsi="Arial"/>
                <w:sz w:val="16"/>
                <w:szCs w:val="16"/>
                <w:b w:val="1"/>
                <w:bCs w:val="1"/>
                <w:color w:val="auto"/>
              </w:rPr>
              <w:t>Limited Partners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Arial" w:cs="Arial" w:eastAsia="Arial" w:hAnsi="Arial"/>
                <w:sz w:val="16"/>
                <w:szCs w:val="16"/>
                <w:b w:val="1"/>
                <w:bCs w:val="1"/>
                <w:color w:val="auto"/>
              </w:rPr>
              <w:t>General</w:t>
            </w:r>
          </w:p>
        </w:tc>
        <w:tc>
          <w:tcPr>
            <w:tcW w:w="13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Partner</w:t>
            </w:r>
          </w:p>
        </w:tc>
        <w:tc>
          <w:tcPr>
            <w:tcW w:w="2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60" w:type="dxa"/>
            <w:vAlign w:val="bottom"/>
          </w:tcPr>
          <w:p>
            <w:pPr>
              <w:spacing w:after="0"/>
              <w:rPr>
                <w:sz w:val="20"/>
                <w:szCs w:val="20"/>
                <w:color w:val="auto"/>
              </w:rPr>
            </w:pPr>
          </w:p>
        </w:tc>
        <w:tc>
          <w:tcPr>
            <w:tcW w:w="11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8"/>
              </w:rPr>
              <w:t>Class B</w:t>
            </w: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2"/>
                <w:szCs w:val="22"/>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Units</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Units</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30"/>
              <w:spacing w:after="0"/>
              <w:rPr>
                <w:sz w:val="20"/>
                <w:szCs w:val="20"/>
                <w:color w:val="auto"/>
              </w:rPr>
            </w:pPr>
            <w:r>
              <w:rPr>
                <w:rFonts w:ascii="Arial" w:cs="Arial" w:eastAsia="Arial" w:hAnsi="Arial"/>
                <w:sz w:val="16"/>
                <w:szCs w:val="16"/>
                <w:b w:val="1"/>
                <w:bCs w:val="1"/>
                <w:color w:val="auto"/>
                <w:w w:val="99"/>
              </w:rPr>
              <w:t>(In thousands)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633,415</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1,225,578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1,860,833</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units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(12,826)</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3160" w:type="dxa"/>
            <w:vAlign w:val="bottom"/>
          </w:tcPr>
          <w:p>
            <w:pPr>
              <w:ind w:left="200"/>
              <w:spacing w:after="0" w:line="176" w:lineRule="exact"/>
              <w:rPr>
                <w:sz w:val="20"/>
                <w:szCs w:val="20"/>
                <w:color w:val="auto"/>
              </w:rPr>
            </w:pPr>
            <w:r>
              <w:rPr>
                <w:rFonts w:ascii="Arial" w:cs="Arial" w:eastAsia="Arial" w:hAnsi="Arial"/>
                <w:sz w:val="18"/>
                <w:szCs w:val="18"/>
                <w:color w:val="auto"/>
                <w:w w:val="99"/>
              </w:rPr>
              <w:t>Change in ownership of consolidated</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w w:val="93"/>
              </w:rPr>
              <w:t>Cash paid for tax withholding on vested</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units</w:t>
            </w:r>
          </w:p>
        </w:tc>
        <w:tc>
          <w:tcPr>
            <w:tcW w:w="11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tcPr>
          <w:p>
            <w:pPr>
              <w:ind w:left="200"/>
              <w:spacing w:after="0" w:line="176" w:lineRule="exact"/>
              <w:rPr>
                <w:sz w:val="20"/>
                <w:szCs w:val="20"/>
                <w:color w:val="auto"/>
              </w:rPr>
            </w:pPr>
            <w:r>
              <w:rPr>
                <w:rFonts w:ascii="Arial" w:cs="Arial" w:eastAsia="Arial" w:hAnsi="Arial"/>
                <w:sz w:val="18"/>
                <w:szCs w:val="18"/>
                <w:color w:val="auto"/>
              </w:rPr>
              <w:t>Repurchased units as part of unit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(13,043)</w:t>
            </w:r>
          </w:p>
        </w:tc>
        <w:tc>
          <w:tcPr>
            <w:tcW w:w="10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(13,043)</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rPr>
              <w:t>buyback</w:t>
            </w: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23,859</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6"/>
                <w:szCs w:val="16"/>
                <w:b w:val="1"/>
                <w:bCs w:val="1"/>
                <w:color w:val="auto"/>
              </w:rPr>
              <w:t>Balance at March 31, 2021</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64,950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611,172</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1,237,071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1,850,038</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(15,992)</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(22,886)</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3160" w:type="dxa"/>
            <w:vAlign w:val="bottom"/>
          </w:tcPr>
          <w:p>
            <w:pPr>
              <w:ind w:left="200"/>
              <w:spacing w:after="0" w:line="176" w:lineRule="exact"/>
              <w:rPr>
                <w:sz w:val="20"/>
                <w:szCs w:val="20"/>
                <w:color w:val="auto"/>
              </w:rPr>
            </w:pPr>
            <w:r>
              <w:rPr>
                <w:rFonts w:ascii="Arial" w:cs="Arial" w:eastAsia="Arial" w:hAnsi="Arial"/>
                <w:sz w:val="18"/>
                <w:szCs w:val="18"/>
                <w:color w:val="auto"/>
                <w:w w:val="99"/>
              </w:rPr>
              <w:t>Change in ownership of consolidated</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Repurchased units as part of unit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buyback</w:t>
            </w: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4,662</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37,716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42,378</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June 30,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594,777</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1,250,495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1,847,022</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units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(20,933)</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(20,933)</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(30,201)</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3160" w:type="dxa"/>
            <w:vAlign w:val="bottom"/>
          </w:tcPr>
          <w:p>
            <w:pPr>
              <w:ind w:left="200"/>
              <w:spacing w:after="0" w:line="176" w:lineRule="exact"/>
              <w:rPr>
                <w:sz w:val="20"/>
                <w:szCs w:val="20"/>
                <w:color w:val="auto"/>
              </w:rPr>
            </w:pPr>
            <w:r>
              <w:rPr>
                <w:rFonts w:ascii="Arial" w:cs="Arial" w:eastAsia="Arial" w:hAnsi="Arial"/>
                <w:sz w:val="18"/>
                <w:szCs w:val="18"/>
                <w:color w:val="auto"/>
                <w:w w:val="99"/>
              </w:rPr>
              <w:t>Change in ownership of consolidated</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ind w:left="200"/>
              <w:spacing w:after="0"/>
              <w:rPr>
                <w:sz w:val="20"/>
                <w:szCs w:val="20"/>
                <w:color w:val="auto"/>
              </w:rPr>
            </w:pPr>
            <w:r>
              <w:rPr>
                <w:rFonts w:ascii="Arial" w:cs="Arial" w:eastAsia="Arial" w:hAnsi="Arial"/>
                <w:sz w:val="18"/>
                <w:szCs w:val="18"/>
                <w:color w:val="auto"/>
              </w:rPr>
              <w:t>subsidiaries, net</w:t>
            </w:r>
          </w:p>
        </w:tc>
        <w:tc>
          <w:tcPr>
            <w:tcW w:w="11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Repurchased units as part of unit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1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buyback</w:t>
            </w: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16,832</w:t>
            </w: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56,613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73,445</w:t>
            </w:r>
          </w:p>
        </w:tc>
        <w:tc>
          <w:tcPr>
            <w:tcW w:w="0" w:type="dxa"/>
            <w:vAlign w:val="bottom"/>
          </w:tcPr>
          <w:p>
            <w:pPr>
              <w:spacing w:after="0"/>
              <w:rPr>
                <w:sz w:val="1"/>
                <w:szCs w:val="1"/>
                <w:color w:val="auto"/>
              </w:rPr>
            </w:pPr>
          </w:p>
        </w:tc>
      </w:tr>
      <w:tr>
        <w:trPr>
          <w:trHeight w:val="248"/>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September 30, 2021</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580,992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1,273,057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1,855,754</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to Unitholders' Equity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00" w:type="dxa"/>
            <w:vAlign w:val="bottom"/>
            <w:gridSpan w:val="4"/>
            <w:vMerge w:val="restart"/>
          </w:tcPr>
          <w:p>
            <w:pPr>
              <w:ind w:left="300"/>
              <w:spacing w:after="0"/>
              <w:rPr>
                <w:sz w:val="20"/>
                <w:szCs w:val="20"/>
                <w:color w:val="auto"/>
              </w:rPr>
            </w:pPr>
            <w:r>
              <w:rPr>
                <w:rFonts w:ascii="Arial" w:cs="Arial" w:eastAsia="Arial" w:hAnsi="Arial"/>
                <w:sz w:val="16"/>
                <w:szCs w:val="16"/>
                <w:b w:val="1"/>
                <w:bCs w:val="1"/>
                <w:color w:val="auto"/>
              </w:rPr>
              <w:t>Limited Partners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General</w:t>
            </w: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Non-Controlling</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Partner</w:t>
            </w: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Interest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80" w:type="dxa"/>
            <w:vAlign w:val="bottom"/>
          </w:tcPr>
          <w:p>
            <w:pPr>
              <w:spacing w:after="0"/>
              <w:rPr>
                <w:sz w:val="20"/>
                <w:szCs w:val="20"/>
                <w:color w:val="auto"/>
              </w:rPr>
            </w:pPr>
          </w:p>
        </w:tc>
        <w:tc>
          <w:tcPr>
            <w:tcW w:w="11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Common</w:t>
            </w: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8"/>
              </w:rPr>
              <w:t>Class B</w:t>
            </w: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80" w:type="dxa"/>
            <w:vAlign w:val="bottom"/>
          </w:tcPr>
          <w:p>
            <w:pPr>
              <w:spacing w:after="0"/>
              <w:rPr>
                <w:sz w:val="22"/>
                <w:szCs w:val="22"/>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4"/>
              </w:rPr>
              <w:t>Units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Amount</w:t>
            </w: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Units</w:t>
            </w: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jc w:val="right"/>
              <w:ind w:right="30"/>
              <w:spacing w:after="0"/>
              <w:rPr>
                <w:sz w:val="20"/>
                <w:szCs w:val="20"/>
                <w:color w:val="auto"/>
              </w:rPr>
            </w:pPr>
            <w:r>
              <w:rPr>
                <w:rFonts w:ascii="Arial" w:cs="Arial" w:eastAsia="Arial" w:hAnsi="Arial"/>
                <w:sz w:val="16"/>
                <w:szCs w:val="16"/>
                <w:b w:val="1"/>
                <w:bCs w:val="1"/>
                <w:color w:val="auto"/>
                <w:w w:val="99"/>
              </w:rPr>
              <w:t>(In thousands)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929,116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1,254,285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2,185,420</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Issuance of common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80" w:type="dxa"/>
            <w:vAlign w:val="bottom"/>
          </w:tcPr>
          <w:p>
            <w:pPr>
              <w:ind w:left="22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(30,194)</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(30,194)</w:t>
            </w:r>
          </w:p>
        </w:tc>
        <w:tc>
          <w:tcPr>
            <w:tcW w:w="0" w:type="dxa"/>
            <w:vAlign w:val="bottom"/>
          </w:tcPr>
          <w:p>
            <w:pPr>
              <w:spacing w:after="0"/>
              <w:rPr>
                <w:sz w:val="1"/>
                <w:szCs w:val="1"/>
                <w:color w:val="auto"/>
              </w:rPr>
            </w:pPr>
          </w:p>
        </w:tc>
      </w:tr>
      <w:tr>
        <w:trPr>
          <w:trHeight w:val="229"/>
        </w:trPr>
        <w:tc>
          <w:tcPr>
            <w:tcW w:w="3180" w:type="dxa"/>
            <w:vAlign w:val="bottom"/>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(40,819)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(41,173)</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6"/>
        </w:trPr>
        <w:tc>
          <w:tcPr>
            <w:tcW w:w="3180" w:type="dxa"/>
            <w:vAlign w:val="bottom"/>
          </w:tcPr>
          <w:p>
            <w:pPr>
              <w:ind w:left="220"/>
              <w:spacing w:after="0" w:line="176" w:lineRule="exact"/>
              <w:rPr>
                <w:sz w:val="20"/>
                <w:szCs w:val="20"/>
                <w:color w:val="auto"/>
              </w:rPr>
            </w:pPr>
            <w:r>
              <w:rPr>
                <w:rFonts w:ascii="Arial" w:cs="Arial" w:eastAsia="Arial" w:hAnsi="Arial"/>
                <w:sz w:val="18"/>
                <w:szCs w:val="18"/>
                <w:color w:val="auto"/>
                <w:w w:val="93"/>
              </w:rPr>
              <w:t>Cash paid for tax withholding on vested</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15"/>
                <w:szCs w:val="15"/>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29"/>
        </w:trPr>
        <w:tc>
          <w:tcPr>
            <w:tcW w:w="3180" w:type="dxa"/>
            <w:vAlign w:val="bottom"/>
          </w:tcPr>
          <w:p>
            <w:pPr>
              <w:ind w:left="220"/>
              <w:spacing w:after="0"/>
              <w:rPr>
                <w:sz w:val="20"/>
                <w:szCs w:val="20"/>
                <w:color w:val="auto"/>
              </w:rPr>
            </w:pPr>
            <w:r>
              <w:rPr>
                <w:rFonts w:ascii="Arial" w:cs="Arial" w:eastAsia="Arial" w:hAnsi="Arial"/>
                <w:sz w:val="18"/>
                <w:szCs w:val="18"/>
                <w:color w:val="auto"/>
              </w:rPr>
              <w:t>common units</w:t>
            </w:r>
          </w:p>
        </w:tc>
        <w:tc>
          <w:tcPr>
            <w:tcW w:w="11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(142,169)</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(123,850)</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67,831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756,408</w:t>
            </w:r>
          </w:p>
        </w:tc>
        <w:tc>
          <w:tcPr>
            <w:tcW w:w="1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1,231,785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1,990,167</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9"/>
        </w:trPr>
        <w:tc>
          <w:tcPr>
            <w:tcW w:w="3180" w:type="dxa"/>
            <w:vAlign w:val="bottom"/>
          </w:tcPr>
          <w:p>
            <w:pPr>
              <w:ind w:left="22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(9,175)</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(21,752)</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(33,056)</w:t>
            </w:r>
          </w:p>
        </w:tc>
        <w:tc>
          <w:tcPr>
            <w:tcW w:w="0" w:type="dxa"/>
            <w:vAlign w:val="bottom"/>
          </w:tcPr>
          <w:p>
            <w:pPr>
              <w:spacing w:after="0"/>
              <w:rPr>
                <w:sz w:val="1"/>
                <w:szCs w:val="1"/>
                <w:color w:val="auto"/>
              </w:rPr>
            </w:pPr>
          </w:p>
        </w:tc>
      </w:tr>
      <w:tr>
        <w:trPr>
          <w:trHeight w:val="223"/>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728,149</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1,211,407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1,941,485</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rPr>
              <w:t>Unit-based compensation</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Issuance of common units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w w:val="95"/>
              </w:rPr>
              <w:t>Distribution equivalent rights payments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public</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rPr>
              <w:t>Distributions to Diamondback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Distributions to General Partner</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180" w:type="dxa"/>
            <w:vAlign w:val="bottom"/>
          </w:tcPr>
          <w:p>
            <w:pPr>
              <w:ind w:left="220"/>
              <w:spacing w:after="0"/>
              <w:rPr>
                <w:sz w:val="20"/>
                <w:szCs w:val="20"/>
                <w:color w:val="auto"/>
              </w:rPr>
            </w:pPr>
            <w:r>
              <w:rPr>
                <w:rFonts w:ascii="Arial" w:cs="Arial" w:eastAsia="Arial" w:hAnsi="Arial"/>
                <w:sz w:val="18"/>
                <w:szCs w:val="18"/>
                <w:color w:val="auto"/>
                <w:w w:val="99"/>
              </w:rPr>
              <w:t>Units repurchased for tax withholding</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 (loss)</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67,851</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725,625</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90,710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1,225,635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1,953,144</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210"/>
        </w:trPr>
        <w:tc>
          <w:tcPr>
            <w:tcW w:w="78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70"/>
              <w:spacing w:after="0"/>
              <w:rPr>
                <w:sz w:val="20"/>
                <w:szCs w:val="20"/>
                <w:color w:val="auto"/>
              </w:rPr>
            </w:pPr>
            <w:r>
              <w:rPr>
                <w:rFonts w:ascii="Arial" w:cs="Arial" w:eastAsia="Arial" w:hAnsi="Arial"/>
                <w:sz w:val="16"/>
                <w:szCs w:val="16"/>
                <w:b w:val="1"/>
                <w:bCs w:val="1"/>
                <w:color w:val="auto"/>
              </w:rPr>
              <w:t>2020</w:t>
            </w:r>
          </w:p>
        </w:tc>
      </w:tr>
      <w:tr>
        <w:trPr>
          <w:trHeight w:val="210"/>
        </w:trPr>
        <w:tc>
          <w:tcPr>
            <w:tcW w:w="7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3"/>
          </w:tcPr>
          <w:p>
            <w:pPr>
              <w:jc w:val="right"/>
              <w:ind w:right="30"/>
              <w:spacing w:after="0"/>
              <w:rPr>
                <w:sz w:val="20"/>
                <w:szCs w:val="20"/>
                <w:color w:val="auto"/>
              </w:rPr>
            </w:pPr>
            <w:r>
              <w:rPr>
                <w:rFonts w:ascii="Arial" w:cs="Arial" w:eastAsia="Arial" w:hAnsi="Arial"/>
                <w:sz w:val="16"/>
                <w:szCs w:val="16"/>
                <w:b w:val="1"/>
                <w:bCs w:val="1"/>
                <w:color w:val="auto"/>
              </w:rPr>
              <w:t>(In thousands)</w:t>
            </w:r>
          </w:p>
        </w:tc>
        <w:tc>
          <w:tcPr>
            <w:tcW w:w="1100" w:type="dxa"/>
            <w:vAlign w:val="bottom"/>
          </w:tcPr>
          <w:p>
            <w:pPr>
              <w:spacing w:after="0"/>
              <w:rPr>
                <w:sz w:val="18"/>
                <w:szCs w:val="18"/>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139,682</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(140,722)</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820" w:type="dxa"/>
            <w:vAlign w:val="bottom"/>
          </w:tcPr>
          <w:p>
            <w:pPr>
              <w:ind w:left="680"/>
              <w:spacing w:after="0"/>
              <w:rPr>
                <w:sz w:val="20"/>
                <w:szCs w:val="20"/>
                <w:color w:val="auto"/>
              </w:rPr>
            </w:pPr>
            <w:r>
              <w:rPr>
                <w:rFonts w:ascii="Arial" w:cs="Arial" w:eastAsia="Arial" w:hAnsi="Arial"/>
                <w:sz w:val="18"/>
                <w:szCs w:val="18"/>
                <w:color w:val="auto"/>
              </w:rPr>
              <w:t>Deferred income tax expense (benefit)</w:t>
            </w:r>
          </w:p>
        </w:tc>
        <w:tc>
          <w:tcPr>
            <w:tcW w:w="3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142,466</w:t>
            </w:r>
          </w:p>
        </w:tc>
      </w:tr>
      <w:tr>
        <w:trPr>
          <w:trHeight w:val="229"/>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Depletion</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72,204</w:t>
            </w:r>
          </w:p>
        </w:tc>
      </w:tr>
      <w:tr>
        <w:trPr>
          <w:trHeight w:val="230"/>
        </w:trPr>
        <w:tc>
          <w:tcPr>
            <w:tcW w:w="7820" w:type="dxa"/>
            <w:vAlign w:val="bottom"/>
          </w:tcPr>
          <w:p>
            <w:pPr>
              <w:ind w:left="680"/>
              <w:spacing w:after="0"/>
              <w:rPr>
                <w:sz w:val="20"/>
                <w:szCs w:val="20"/>
                <w:color w:val="auto"/>
              </w:rPr>
            </w:pPr>
            <w:r>
              <w:rPr>
                <w:rFonts w:ascii="Arial" w:cs="Arial" w:eastAsia="Arial" w:hAnsi="Arial"/>
                <w:sz w:val="18"/>
                <w:szCs w:val="18"/>
                <w:color w:val="auto"/>
              </w:rPr>
              <w:t>(Gain) loss on derivative instruments, net</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70,649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47,469</w:t>
            </w:r>
          </w:p>
        </w:tc>
      </w:tr>
      <w:tr>
        <w:trPr>
          <w:trHeight w:val="229"/>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receipts (payments) on derivatives</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(18,718)</w:t>
            </w:r>
          </w:p>
        </w:tc>
      </w:tr>
      <w:tr>
        <w:trPr>
          <w:trHeight w:val="230"/>
        </w:trPr>
        <w:tc>
          <w:tcPr>
            <w:tcW w:w="7820" w:type="dxa"/>
            <w:vAlign w:val="bottom"/>
          </w:tcPr>
          <w:p>
            <w:pPr>
              <w:ind w:left="680"/>
              <w:spacing w:after="0"/>
              <w:rPr>
                <w:sz w:val="20"/>
                <w:szCs w:val="20"/>
                <w:color w:val="auto"/>
              </w:rPr>
            </w:pPr>
            <w:r>
              <w:rPr>
                <w:rFonts w:ascii="Arial" w:cs="Arial" w:eastAsia="Arial" w:hAnsi="Arial"/>
                <w:sz w:val="18"/>
                <w:szCs w:val="18"/>
                <w:color w:val="auto"/>
              </w:rPr>
              <w:t>(Gain) loss on revaluation of investment</w:t>
            </w:r>
          </w:p>
        </w:tc>
        <w:tc>
          <w:tcPr>
            <w:tcW w:w="3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8,661</w:t>
            </w:r>
          </w:p>
        </w:tc>
      </w:tr>
      <w:tr>
        <w:trPr>
          <w:trHeight w:val="229"/>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Royalty income receivable</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25,981</w:t>
            </w:r>
          </w:p>
        </w:tc>
      </w:tr>
      <w:tr>
        <w:trPr>
          <w:trHeight w:val="229"/>
        </w:trPr>
        <w:tc>
          <w:tcPr>
            <w:tcW w:w="7820" w:type="dxa"/>
            <w:vAlign w:val="bottom"/>
          </w:tcPr>
          <w:p>
            <w:pPr>
              <w:ind w:left="680"/>
              <w:spacing w:after="0"/>
              <w:rPr>
                <w:sz w:val="20"/>
                <w:szCs w:val="20"/>
                <w:color w:val="auto"/>
              </w:rPr>
            </w:pPr>
            <w:r>
              <w:rPr>
                <w:rFonts w:ascii="Arial" w:cs="Arial" w:eastAsia="Arial" w:hAnsi="Arial"/>
                <w:sz w:val="18"/>
                <w:szCs w:val="18"/>
                <w:color w:val="auto"/>
              </w:rPr>
              <w:t>Royalty income receivable—related party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(20,024)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(4,335)</w:t>
            </w:r>
          </w:p>
        </w:tc>
      </w:tr>
      <w:tr>
        <w:trPr>
          <w:trHeight w:val="230"/>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7,914</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7,519</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199,672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143,206</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Acquisitions of oil and natural gas interests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(64,508)</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w:t>
            </w:r>
          </w:p>
        </w:tc>
      </w:tr>
      <w:tr>
        <w:trPr>
          <w:trHeight w:val="22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(6,728)</w:t>
            </w:r>
          </w:p>
        </w:tc>
        <w:tc>
          <w:tcPr>
            <w:tcW w:w="10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(57,148)</w:t>
            </w:r>
          </w:p>
        </w:tc>
      </w:tr>
      <w:tr>
        <w:trPr>
          <w:trHeight w:val="20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Proceeds from borrowings under credit facility</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95,000</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on credit facility</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Repayment of senior notes</w:t>
            </w:r>
          </w:p>
        </w:tc>
        <w:tc>
          <w:tcPr>
            <w:tcW w:w="3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(19,697)</w:t>
            </w: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Repurchased units as part of unit buyback</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Distributions to public</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(46,102)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(38,943)</w:t>
            </w: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to Diamondback</w:t>
            </w: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(53,112)</w:t>
            </w:r>
          </w:p>
        </w:tc>
      </w:tr>
      <w:tr>
        <w:trPr>
          <w:trHeight w:val="230"/>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r>
      <w:tr>
        <w:trPr>
          <w:trHeight w:val="22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(140,525)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(82,286)</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52,419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3,772</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19,121</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w:t>
            </w: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71,540</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7,374</w:t>
            </w:r>
          </w:p>
        </w:tc>
      </w:tr>
      <w:tr>
        <w:trPr>
          <w:trHeight w:val="20"/>
        </w:trPr>
        <w:tc>
          <w:tcPr>
            <w:tcW w:w="7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ORGANIZATION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Viper Energy Partners LP (the “Partnership”) is a publicly traded Delaware limited partnership focused on owning and acquiring mineral interests and royalty interests in oil and natural gas properties primarily in the Permian Basin.</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2021, Viper Energy Partners GP LLC (the “General Partner”) held a 100% general partner interest in the Partnership and Diamondback Energy, Inc. (“Diamondback”) beneficially owned an approximate 59% of the Partnership’s total limited partner units outstanding. Diamondback owns and controls the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accompanying condensed consolidated financial statements and related notes thereto were prepared in accordance with GAAP. All material intercompany balances and transactions have been eliminated upon consolidation. We report our operations in one reportable segment.</w:t>
      </w:r>
    </w:p>
    <w:p>
      <w:pPr>
        <w:spacing w:after="0" w:line="173" w:lineRule="exact"/>
        <w:rPr>
          <w:sz w:val="20"/>
          <w:szCs w:val="20"/>
          <w:color w:val="auto"/>
        </w:rPr>
      </w:pPr>
    </w:p>
    <w:p>
      <w:pPr>
        <w:jc w:val="both"/>
        <w:ind w:firstLine="648"/>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These condensed consolidated financial statements have been prepared by the Partnership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Partnership believes the disclosures are adequate to make the information presented not misleading. This report should be read in conjunction with the Partnership’s most recent </w:t>
      </w:r>
      <w:hyperlink r:id="rId16">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December 31, 2020, which contains a summary of the Partnership’s significant accounting policies and other disclosures.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period amounts have been reclassified to conform to the current period financial statement presentation. These reclassifications had no effect on the previously reported total assets, total liabilities, unitholders’ equity, results of operations or cash flows.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amounts included in or affecting the Partnership’s financial statements and related disclosures must be estimated by management, requiring certain assumptions to be made with respect to values or conditions that cannot be known with certainty at the time the financial statements are prepared. These estimates and assumptions affect the amounts the Partnership reports for assets and liabilities and the Partnership’s disclosure of contingent assets and liabilities as of the date of the financial statements.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Making accurate estimates and assumptions is particularly difficult in the oil and natural gas industry given the challenges resulting from volatility in oil and natural gas prices. For instance, in 2020, the effects of COVID-19 and actions by OPEC members and other exporting nations on the supply and demand in global oil and natural gas markets resulted in significant negative pricing pressure in the first half of 2020, followed by a recovery in pricing and an increase in demand in the second half of 2020 and into 2021. However, the COVID-19 Delta variant emerged in March 2021 and became highly transmissible in July 2021, which contributed to additional pricing volatility during the third quarter of 2021. The financial results of companies in the oil and natural gas industry have been impacted materially as a result of changing market conditions. Such circumstances generally increase uncertainty in the Partnership’s accounting estimates, particularly those involving financial forecasts.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Partnership evaluates these estimates on an ongoing basis, using historical experience, consultation with experts and other methods the Partnership considers reasonable in each particular circumstance. Nevertheless, actual results may differ significantly from the Partnership’s estimates. Any effects on the Partnership’s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interests, the recoverability of costs of unevaluated properties, the fair value determination of assets and liabilities, fair value estimates of commodity derivatives and estimates of income taxes.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Reconciliation of cash, cash equivalents and restricted cash as presented on the condensed consolidated statements of cash flows for the periods presented: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324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80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09"/>
        </w:trPr>
        <w:tc>
          <w:tcPr>
            <w:tcW w:w="8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18"/>
                <w:szCs w:val="18"/>
                <w:color w:val="auto"/>
              </w:rPr>
            </w:pP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41,515</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w:t>
            </w:r>
          </w:p>
        </w:tc>
      </w:tr>
      <w:tr>
        <w:trPr>
          <w:trHeight w:val="229"/>
        </w:trPr>
        <w:tc>
          <w:tcPr>
            <w:tcW w:w="80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Restricted cash</w:t>
            </w:r>
            <w:r>
              <w:rPr>
                <w:rFonts w:ascii="Arial" w:cs="Arial" w:eastAsia="Arial" w:hAnsi="Arial"/>
                <w:sz w:val="23"/>
                <w:szCs w:val="23"/>
                <w:color w:val="auto"/>
                <w:vertAlign w:val="superscript"/>
              </w:rPr>
              <w:t>(1)</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30,025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cash equivalents and restricted cash</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71,540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line="277" w:lineRule="auto"/>
        <w:tabs>
          <w:tab w:leader="none" w:pos="33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Escrow deposit related to the Swallowtail Acquisition, which is included in </w:t>
      </w:r>
      <w:r>
        <w:rPr>
          <w:rFonts w:ascii="Arial" w:cs="Arial" w:eastAsia="Arial" w:hAnsi="Arial"/>
          <w:sz w:val="18"/>
          <w:szCs w:val="18"/>
          <w:i w:val="1"/>
          <w:iCs w:val="1"/>
          <w:color w:val="auto"/>
        </w:rPr>
        <w:t>Funds held in escrow</w:t>
      </w:r>
      <w:r>
        <w:rPr>
          <w:rFonts w:ascii="Arial" w:cs="Arial" w:eastAsia="Arial" w:hAnsi="Arial"/>
          <w:sz w:val="18"/>
          <w:szCs w:val="18"/>
          <w:color w:val="auto"/>
        </w:rPr>
        <w:t xml:space="preserve"> in the condensed consolidated balance sheets as discussed further in Note 13—</w:t>
      </w:r>
      <w:hyperlink w:anchor="page22">
        <w:r>
          <w:rPr>
            <w:rFonts w:ascii="Arial" w:cs="Arial" w:eastAsia="Arial" w:hAnsi="Arial"/>
            <w:sz w:val="18"/>
            <w:szCs w:val="18"/>
            <w:u w:val="single" w:color="auto"/>
            <w:color w:val="0000FF"/>
          </w:rPr>
          <w:t>Subsequent Events</w:t>
        </w:r>
      </w:hyperlink>
      <w:r>
        <w:rPr>
          <w:rFonts w:ascii="Arial" w:cs="Arial" w:eastAsia="Arial" w:hAnsi="Arial"/>
          <w:sz w:val="18"/>
          <w:szCs w:val="18"/>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 of the following:</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8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4"/>
          </w:tcPr>
          <w:p>
            <w:pPr>
              <w:jc w:val="right"/>
              <w:ind w:right="103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Ad valorem taxes payable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6,501</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 instruments payable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7,392</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48"/>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18,262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December 2019, the FASB issued ASU 2019-12, “Income Taxes (Topic 740) - Simplifying the Accounting for Income Taxes”. This update is intended to simplify the accounting for income taxes by removing certain exceptions and by clarifying and amending existing guidance and is effective for public business entities beginning after December 15, 2020 with early adoption permitted. The Partnership adopted this update effective January 1, 2021. The adoption of this update did not have a material impact on its financial position, results of operations or liquidity.</w:t>
      </w:r>
    </w:p>
    <w:p>
      <w:pPr>
        <w:spacing w:after="0" w:line="19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Partnership considers the applicability and impact of all ASUs. ASUs not discussed above were assessed and determined to be either not applicable, previously disclosed, or not material upon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Royalty income represents the right to receive revenues from oil, natural gas and natural gas liquids sales obtained by the operator of the wells in which the Partnership owns a royalty interest. Royalty income is recognized at the point control of the product is transferred to the purchaser at the wellhead or at the gas processing facility based on the Partnership’s percentage ownership share of the revenue, net of any deductions for gathering and transportation. Virtually all of the pricing provisions in the Partnership’s contracts are tied to a market index.</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disaggregates the Partnership’s total royalty income by product type: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72"/>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5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09"/>
        </w:trPr>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5"/>
          </w:tcPr>
          <w:p>
            <w:pPr>
              <w:ind w:left="5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100,154</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272,450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153,412</w:t>
            </w: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Natural gas income</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30,651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4,909</w:t>
            </w: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income</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13,536</w:t>
            </w:r>
          </w:p>
        </w:tc>
      </w:tr>
      <w:tr>
        <w:trPr>
          <w:trHeight w:val="223"/>
        </w:trPr>
        <w:tc>
          <w:tcPr>
            <w:tcW w:w="5520" w:type="dxa"/>
            <w:vAlign w:val="bottom"/>
          </w:tcPr>
          <w:p>
            <w:pPr>
              <w:ind w:left="240"/>
              <w:spacing w:after="0"/>
              <w:rPr>
                <w:sz w:val="20"/>
                <w:szCs w:val="20"/>
                <w:color w:val="auto"/>
              </w:rPr>
            </w:pPr>
            <w:r>
              <w:rPr>
                <w:rFonts w:ascii="Arial" w:cs="Arial" w:eastAsia="Arial" w:hAnsi="Arial"/>
                <w:sz w:val="18"/>
                <w:szCs w:val="18"/>
                <w:color w:val="auto"/>
              </w:rPr>
              <w:t>Total royalty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127,649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62,584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337,619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171,857</w:t>
            </w:r>
          </w:p>
        </w:tc>
      </w:tr>
      <w:tr>
        <w:trPr>
          <w:trHeight w:val="21"/>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Activity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Partnership had no significant acquisition or divestiture activity during the nine months ended September 30, 2021.</w:t>
      </w:r>
    </w:p>
    <w:p>
      <w:pPr>
        <w:spacing w:after="0" w:line="252"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Note 13—</w:t>
      </w:r>
      <w:hyperlink w:anchor="page22">
        <w:r>
          <w:rPr>
            <w:rFonts w:ascii="Arial" w:cs="Arial" w:eastAsia="Arial" w:hAnsi="Arial"/>
            <w:sz w:val="18"/>
            <w:szCs w:val="18"/>
            <w:u w:val="single" w:color="auto"/>
            <w:color w:val="0000FF"/>
          </w:rPr>
          <w:t>Subsequent Events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acquisitions in the fourth quarter of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Activity</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During the nine months ended September 30, 2020, the Partnership acquired, from unrelated third-party sellers, mineral and royalty interests representing 4,948 gross (410 net royalty) acres in the Permian Basin for an aggregate purchase price of approximately $63.4 million, including post-closing adjustments. The Partnership funded these acquisitions with cash on hand and borrowings under the Operating Company’s revolving credit facility.</w:t>
      </w:r>
    </w:p>
    <w:p>
      <w:pPr>
        <w:spacing w:after="0" w:line="17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OIL AND NATURAL GAS INTERESTS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Oil and natural gas interests include the following:</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360" w:type="dxa"/>
            <w:vAlign w:val="bottom"/>
          </w:tcPr>
          <w:p>
            <w:pPr>
              <w:jc w:val="right"/>
              <w:ind w:right="232"/>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8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2020</w:t>
            </w:r>
          </w:p>
        </w:tc>
      </w:tr>
      <w:tr>
        <w:trPr>
          <w:trHeight w:val="210"/>
        </w:trPr>
        <w:tc>
          <w:tcPr>
            <w:tcW w:w="8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4"/>
          </w:tcPr>
          <w:p>
            <w:pPr>
              <w:jc w:val="right"/>
              <w:ind w:right="1032"/>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interests:</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8020" w:type="dxa"/>
            <w:vAlign w:val="bottom"/>
          </w:tcPr>
          <w:p>
            <w:pPr>
              <w:ind w:left="220"/>
              <w:spacing w:after="0"/>
              <w:rPr>
                <w:sz w:val="20"/>
                <w:szCs w:val="20"/>
                <w:color w:val="auto"/>
              </w:rPr>
            </w:pPr>
            <w:r>
              <w:rPr>
                <w:rFonts w:ascii="Arial" w:cs="Arial" w:eastAsia="Arial" w:hAnsi="Arial"/>
                <w:sz w:val="18"/>
                <w:szCs w:val="18"/>
                <w:color w:val="auto"/>
              </w:rPr>
              <w:t>Subject to depletion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1,605,505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1,530,636</w:t>
            </w:r>
          </w:p>
        </w:tc>
      </w:tr>
      <w:tr>
        <w:trPr>
          <w:trHeight w:val="230"/>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 subject to depletion</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1,296,765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1,364,906</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Gross oil and natural gas interests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2,902,270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2,895,542</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depletion and impairment</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(570,406)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(496,176)</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Oil and natural gas interests,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2,331,864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2,399,366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5,688</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Property, net of accumulated depletion and impairment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2,337,552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2,405,054</w:t>
            </w:r>
          </w:p>
        </w:tc>
      </w:tr>
      <w:tr>
        <w:trPr>
          <w:trHeight w:val="21"/>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2021 and December 31, 2020, the Partnership had mineral and royalty interests representing 24,368 and 24,350 net royalty acres, respectively.</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impairment expense was recorded on the Partnership’s oil and gas properties for the three and nine months ended September 30, 2021 and 2020 based on the results of the respective quarterly ceiling tests. In addition to commodity prices, the Partnership’s production rates, levels of proved reserves, transfers of unevaluated properties and other factors will determine its actual ceiling test limitations and impairment analysis in future periods. If the trailing 12-month commodity prices decline as compared to the commodity prices used in prior quarters, the Partnership will have write-downs in subsequent quarters, which may be material.</w:t>
      </w:r>
    </w:p>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w w:val="97"/>
              </w:rPr>
              <w:t>December 31,</w:t>
            </w:r>
          </w:p>
        </w:tc>
      </w:tr>
      <w:tr>
        <w:trPr>
          <w:trHeight w:val="219"/>
        </w:trPr>
        <w:tc>
          <w:tcPr>
            <w:tcW w:w="80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r>
      <w:tr>
        <w:trPr>
          <w:trHeight w:val="210"/>
        </w:trPr>
        <w:tc>
          <w:tcPr>
            <w:tcW w:w="8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4"/>
          </w:tcPr>
          <w:p>
            <w:pPr>
              <w:jc w:val="right"/>
              <w:ind w:right="1033"/>
              <w:spacing w:after="0"/>
              <w:rPr>
                <w:sz w:val="20"/>
                <w:szCs w:val="20"/>
                <w:color w:val="auto"/>
              </w:rPr>
            </w:pPr>
            <w:r>
              <w:rPr>
                <w:rFonts w:ascii="Arial" w:cs="Arial" w:eastAsia="Arial" w:hAnsi="Arial"/>
                <w:sz w:val="16"/>
                <w:szCs w:val="16"/>
                <w:b w:val="1"/>
                <w:bCs w:val="1"/>
                <w:color w:val="auto"/>
              </w:rPr>
              <w:t>(In thousands)</w:t>
            </w:r>
          </w:p>
        </w:tc>
      </w:tr>
      <w:tr>
        <w:trPr>
          <w:trHeight w:val="23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senior notes due 2027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479,938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479,938</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84,000</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w:t>
            </w:r>
          </w:p>
        </w:tc>
      </w:tr>
      <w:tr>
        <w:trPr>
          <w:trHeight w:val="248"/>
        </w:trPr>
        <w:tc>
          <w:tcPr>
            <w:tcW w:w="8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555,644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Operating Company’s Revolving Credit Facility</w:t>
      </w:r>
    </w:p>
    <w:p>
      <w:pPr>
        <w:spacing w:after="0" w:line="239"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On June 2, 2021, the Operating Company entered into the seventh amendment to the existing credit agreement, which maintained the maximum amount of the revolving credit facility at $2.0 billion and reaffirmed the borrowing base of $580.0 million based on the Operating Company’s oil and natural gas reserves and other factors, and added new provisions that allow the Operating Company to elect a commitment amount that is less than its borrowing base as determined by the lenders. The borrowing base is scheduled to be redetermined semi-annually in May and November, and is expected to be reaffirmed at $580.0 million by the lenders during the regularly scheduled (semi-annual) fall 2021 redetermination in November 2021. As of September 30, 2021, the Operating Company had elected a commitment amount of $500.0 million, with $92.0 million of outstanding borrowings and $408.0 million available for future borrowings under the Operating Company’s revolving credit facility. The revolving credit facility will mature on June 2, 2025.</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outstanding borrowings under the credit agreement bear interest at a rate elected by the Operating Company that is equal to an alternative base rate (which is equal to the greatest of the prime rate, the Federal Funds effective rate plus 0.50% and 3-month LIBOR plus 1.0%) or LIBOR, in each case plus the applicable margin. The applicable margin ranges from 1.00% to 2.00% per annum in the case of the alternative base rate and from 2.00% to 3.00% per annum in the case of LIBOR, in each case depending on the amount of the loans outstanding in relation to the commitment, which is calculated using the least of the maximum credit amount, the aggregate elected commitment amount and the borrowing base. The Operating Company is obligated to pay a quarterly commitment fee ranging from 0.375% to 0.500% per year on the unused portion of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The loan is secured by substantially all the assets of the Partnership and the Operating Company. During the three and nine months ended September 30, 2021 and 2020, the weighted average interest rate on the Operating Company’s revolving credit facility was 1.98%, 2.14%, 2.14% and 2.66%, respectively.</w:t>
      </w:r>
    </w:p>
    <w:p>
      <w:pPr>
        <w:spacing w:after="0" w:line="20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excess cash and entering into certain swap agreements and require the maintenance of the financial ratios described below. The amendment to the credit agreement added a financial covenant requirement for the ratio of secured debt to EBITDAX as included below.</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Financial Covenant</w:t>
            </w:r>
          </w:p>
        </w:tc>
        <w:tc>
          <w:tcPr>
            <w:tcW w:w="4140" w:type="dxa"/>
            <w:vAlign w:val="bottom"/>
            <w:tcBorders>
              <w:bottom w:val="single" w:sz="8" w:color="auto"/>
            </w:tcBorders>
          </w:tcPr>
          <w:p>
            <w:pPr>
              <w:jc w:val="center"/>
              <w:ind w:left="1575"/>
              <w:spacing w:after="0"/>
              <w:rPr>
                <w:sz w:val="20"/>
                <w:szCs w:val="20"/>
                <w:color w:val="auto"/>
              </w:rPr>
            </w:pPr>
            <w:r>
              <w:rPr>
                <w:rFonts w:ascii="Arial" w:cs="Arial" w:eastAsia="Arial" w:hAnsi="Arial"/>
                <w:sz w:val="14"/>
                <w:szCs w:val="14"/>
                <w:b w:val="1"/>
                <w:bCs w:val="1"/>
                <w:color w:val="auto"/>
                <w:w w:val="96"/>
              </w:rPr>
              <w:t>Required Ratio</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total net debt to EBITDAX, as defined in the credit agreement</w:t>
            </w:r>
          </w:p>
        </w:tc>
        <w:tc>
          <w:tcPr>
            <w:tcW w:w="4140" w:type="dxa"/>
            <w:vAlign w:val="bottom"/>
            <w:shd w:val="clear" w:color="auto" w:fill="CCEEFF"/>
          </w:tcPr>
          <w:p>
            <w:pPr>
              <w:jc w:val="center"/>
              <w:ind w:left="1575"/>
              <w:spacing w:after="0"/>
              <w:rPr>
                <w:sz w:val="20"/>
                <w:szCs w:val="20"/>
                <w:color w:val="auto"/>
              </w:rPr>
            </w:pPr>
            <w:r>
              <w:rPr>
                <w:rFonts w:ascii="Arial" w:cs="Arial" w:eastAsia="Arial" w:hAnsi="Arial"/>
                <w:sz w:val="18"/>
                <w:szCs w:val="18"/>
                <w:color w:val="auto"/>
                <w:w w:val="89"/>
              </w:rPr>
              <w:t>Not greater than 4.0 to 1.0</w:t>
            </w: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140" w:type="dxa"/>
            <w:vAlign w:val="bottom"/>
          </w:tcPr>
          <w:p>
            <w:pPr>
              <w:jc w:val="center"/>
              <w:ind w:left="1575"/>
              <w:spacing w:after="0"/>
              <w:rPr>
                <w:sz w:val="20"/>
                <w:szCs w:val="20"/>
                <w:color w:val="auto"/>
              </w:rPr>
            </w:pPr>
            <w:r>
              <w:rPr>
                <w:rFonts w:ascii="Arial" w:cs="Arial" w:eastAsia="Arial" w:hAnsi="Arial"/>
                <w:sz w:val="18"/>
                <w:szCs w:val="18"/>
                <w:color w:val="auto"/>
                <w:w w:val="90"/>
              </w:rPr>
              <w:t>Not less than 1.0 to 1.0</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secured debt to EBITDAX, as defined in the credit agreement</w:t>
            </w:r>
          </w:p>
        </w:tc>
        <w:tc>
          <w:tcPr>
            <w:tcW w:w="4140" w:type="dxa"/>
            <w:vAlign w:val="bottom"/>
            <w:shd w:val="clear" w:color="auto" w:fill="CCEEFF"/>
          </w:tcPr>
          <w:p>
            <w:pPr>
              <w:jc w:val="center"/>
              <w:ind w:left="1575"/>
              <w:spacing w:after="0"/>
              <w:rPr>
                <w:sz w:val="20"/>
                <w:szCs w:val="20"/>
                <w:color w:val="auto"/>
              </w:rPr>
            </w:pPr>
            <w:r>
              <w:rPr>
                <w:rFonts w:ascii="Arial" w:cs="Arial" w:eastAsia="Arial" w:hAnsi="Arial"/>
                <w:sz w:val="18"/>
                <w:szCs w:val="18"/>
                <w:color w:val="auto"/>
                <w:w w:val="89"/>
              </w:rPr>
              <w:t>Not greater than 2.5 to 1.0</w:t>
            </w:r>
          </w:p>
        </w:tc>
      </w:tr>
    </w:tbl>
    <w:p>
      <w:pPr>
        <w:spacing w:after="0" w:line="31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$1.0 billion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of September 30, 2021, the Operating Company was in compliance with the financial maintenance covenants under its credit agreement. The lenders may accelerate all of the indebtedness under the Operating Company’s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With certain specified exceptions, the terms and provisions of the credit agreement generally may be amended with the consent of the lenders holding a majority of the outstanding loans or commitments to lend.</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2027 Senior Notes</w:t>
      </w:r>
    </w:p>
    <w:p>
      <w:pPr>
        <w:spacing w:after="0" w:line="23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Partnership’s 5.375% senior notes due 2027 (the “Notes”) are senior unsecured obligations of the Partnership and are initially guaranteed on a senior unsecured basis by the Operating Company and pay interest semi-annually. Neither Diamondback nor the General Partner guarantees the Notes. In the future, each of the Partnership’s restricted subsidiaries that either (i) guarantees any of its or a guarantor’s other indebtedness or (ii) is a domestic restricted subsidiary and is an obligor with respect to any indebtedness under any credit facility will be required to guarantee the Notes. The Notes will mature on November 1, 2027. As of September 30, 2021, $479.9 million in aggregate principal amount of the Notes was outstanding. The Partnership did not repurchase any Notes during the three or nine months ended September 30, 2021, but may do so opportunistically from time to time in future periods.</w:t>
      </w:r>
    </w:p>
    <w:p>
      <w:pPr>
        <w:spacing w:after="0" w:line="2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UNITHOLDERS’ EQUITY AND DISTRIBUTIONS</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Partnership has general partner and limited partner units. At September 30, 2021, the Partnership had a total of 63,830,715 common units issued and outstanding and 90,709,946 Class B units issued and outstanding, of which 731,500 common units and 90,709,946 Class B units were beneficially owned by Diamondback, representing approximately 59% of the Partnership’s total units outstanding. At September 30, 2021, Diamondback also beneficially owns 90,709,946 Operating Company units, representing a 59% non-controlling ownership interest in the Operating Company. The Operating Company units and the Partnership’s Class B units beneficially owned by Diamondback are exchangeable from time to time for the Partnership’s common units (that is, one Operating Company unit and one Partnership Class B unit, together, will be exchangeable for one Partnership common unit).</w:t>
      </w:r>
    </w:p>
    <w:p>
      <w:pPr>
        <w:spacing w:after="0" w:line="191"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Note 13—</w:t>
      </w:r>
      <w:hyperlink w:anchor="page22">
        <w:r>
          <w:rPr>
            <w:rFonts w:ascii="Arial" w:cs="Arial" w:eastAsia="Arial" w:hAnsi="Arial"/>
            <w:sz w:val="18"/>
            <w:szCs w:val="18"/>
            <w:u w:val="single" w:color="auto"/>
            <w:color w:val="0000FF"/>
          </w:rPr>
          <w:t>Subsequent Events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discussion of additional common units issued in the fourth quarter of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Unit Repurchase Program</w:t>
      </w:r>
    </w:p>
    <w:p>
      <w:pPr>
        <w:spacing w:after="0" w:line="22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On November 6, 2020, the board of directors of the General Partner approved an expansion of the Partnership’s return of capital program with the implementation of a common unit repurchase program to acquire up to $100.0 million of the Partnership’s outstanding common units, of which approximately $57.6 million has been expended through September 30, 2021. During the three and nine months ended September 30, 2021, the Partnership repurchased approximately $13.7 million and $33.6 million, respectively, of common units under the repurchase program authorized to extend through December 31, 2021. The repurchase program may be suspended from time to time, modified, extended or discontinued by the board of directors of the General Partner at any time. Any common units under the repurchase program will be purchased opportunistically with funds from cash on hand, free cash flow from operations and potential liquidity events, such as the sale of assets. Any such repurchases may be made from time to time in open market or privately negotiated transactions in compliance with Rule 10b-18 under the Securities Exchange Act of 1934, as amended, and are subject to market conditions, applicable legal requirements, contractual obligations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on Common Units</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The board of directors of the General Partner has established a distribution policy whereby the Operating Company distributes all or a portion of its available cash on a quarterly basis to its unitholders (including Diamondback and the Partnership). The Partnership in turn distributes all of the available cash it receives from the Operating Company to its common unitholders. The Partnership’s available cash and the available cash of the Operating Company for each quarter is determined by the board of directors of the General Partner following the end of such quarter. The Operating Company’s available cash generally equals its Adjusted EBITDA for the quarter, less cash needed for debt service and other contractual obligations, fixed charges and reserves for future operating or capital needs that the board of directors of the General Partner deems necessary or appropriate, if any. The Partnership’s available cash for each quarter generally equals the Partnership’s proportional share of the Operating Company’s available cash for the quarter, less cash needed for the payment of income taxes, if any, and the preferred distribution. The percentage of available cash distributed pursuant to the distribution policy discussed above may change quarterly to enable the Operating Company to retain cash flow to help strengthen the Partnership’s balance sheet while also expanding the return of capital program through the Partnership’s common unit repurchase program. The Partnership is not required to pay distributions to its common unitholders on a quarterly or other basis.</w:t>
      </w:r>
    </w:p>
    <w:p>
      <w:pPr>
        <w:spacing w:after="0" w:line="2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information regarding cash distributions approved by the board of directors of the General Partner for the periods presented: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gridSpan w:val="5"/>
          </w:tcPr>
          <w:p>
            <w:pPr>
              <w:ind w:left="1140"/>
              <w:spacing w:after="0"/>
              <w:rPr>
                <w:sz w:val="20"/>
                <w:szCs w:val="20"/>
                <w:color w:val="auto"/>
              </w:rPr>
            </w:pPr>
            <w:r>
              <w:rPr>
                <w:rFonts w:ascii="Arial" w:cs="Arial" w:eastAsia="Arial" w:hAnsi="Arial"/>
                <w:sz w:val="16"/>
                <w:szCs w:val="16"/>
                <w:b w:val="1"/>
                <w:bCs w:val="1"/>
                <w:color w:val="auto"/>
              </w:rPr>
              <w:t>Distributions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80" w:type="dxa"/>
            <w:vAlign w:val="bottom"/>
            <w:tcBorders>
              <w:top w:val="single" w:sz="8" w:color="auto"/>
            </w:tcBorders>
            <w:gridSpan w:val="4"/>
          </w:tcPr>
          <w:p>
            <w:pPr>
              <w:jc w:val="right"/>
              <w:ind w:right="1114"/>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220"/>
              <w:spacing w:after="0" w:line="168" w:lineRule="exact"/>
              <w:rPr>
                <w:sz w:val="20"/>
                <w:szCs w:val="20"/>
                <w:color w:val="auto"/>
              </w:rPr>
            </w:pPr>
            <w:r>
              <w:rPr>
                <w:rFonts w:ascii="Arial" w:cs="Arial" w:eastAsia="Arial" w:hAnsi="Arial"/>
                <w:sz w:val="16"/>
                <w:szCs w:val="16"/>
                <w:b w:val="1"/>
                <w:bCs w:val="1"/>
                <w:color w:val="auto"/>
                <w:w w:val="94"/>
              </w:rPr>
              <w:t>Operating Company</w:t>
            </w:r>
          </w:p>
        </w:tc>
        <w:tc>
          <w:tcPr>
            <w:tcW w:w="220" w:type="dxa"/>
            <w:vAlign w:val="bottom"/>
          </w:tcPr>
          <w:p>
            <w:pPr>
              <w:spacing w:after="0"/>
              <w:rPr>
                <w:sz w:val="14"/>
                <w:szCs w:val="14"/>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2"/>
              </w:rPr>
              <w:t>Common</w:t>
            </w: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Unitholder Record</w:t>
            </w: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Period</w:t>
            </w:r>
          </w:p>
        </w:tc>
        <w:tc>
          <w:tcPr>
            <w:tcW w:w="100" w:type="dxa"/>
            <w:vAlign w:val="bottom"/>
          </w:tcPr>
          <w:p>
            <w:pPr>
              <w:spacing w:after="0"/>
              <w:rPr>
                <w:sz w:val="14"/>
                <w:szCs w:val="14"/>
                <w:color w:val="auto"/>
              </w:rPr>
            </w:pPr>
          </w:p>
        </w:tc>
        <w:tc>
          <w:tcPr>
            <w:tcW w:w="1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Amount per Unit</w:t>
            </w:r>
          </w:p>
        </w:tc>
        <w:tc>
          <w:tcPr>
            <w:tcW w:w="100" w:type="dxa"/>
            <w:vAlign w:val="bottom"/>
          </w:tcPr>
          <w:p>
            <w:pPr>
              <w:spacing w:after="0"/>
              <w:rPr>
                <w:sz w:val="14"/>
                <w:szCs w:val="14"/>
                <w:color w:val="auto"/>
              </w:rPr>
            </w:pPr>
          </w:p>
        </w:tc>
        <w:tc>
          <w:tcPr>
            <w:tcW w:w="16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Distributions to</w:t>
            </w:r>
          </w:p>
        </w:tc>
        <w:tc>
          <w:tcPr>
            <w:tcW w:w="2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84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Declaration Date</w:t>
            </w:r>
          </w:p>
        </w:tc>
        <w:tc>
          <w:tcPr>
            <w:tcW w:w="1800" w:type="dxa"/>
            <w:vAlign w:val="bottom"/>
            <w:gridSpan w:val="2"/>
            <w:vMerge w:val="continue"/>
          </w:tcPr>
          <w:p>
            <w:pPr>
              <w:spacing w:after="0"/>
              <w:rPr>
                <w:sz w:val="14"/>
                <w:szCs w:val="14"/>
                <w:color w:val="auto"/>
              </w:rPr>
            </w:pPr>
          </w:p>
        </w:tc>
        <w:tc>
          <w:tcPr>
            <w:tcW w:w="1600" w:type="dxa"/>
            <w:vAlign w:val="bottom"/>
            <w:vMerge w:val="restart"/>
          </w:tcPr>
          <w:p>
            <w:pPr>
              <w:jc w:val="right"/>
              <w:ind w:right="232"/>
              <w:spacing w:after="0"/>
              <w:rPr>
                <w:sz w:val="20"/>
                <w:szCs w:val="20"/>
                <w:color w:val="auto"/>
              </w:rPr>
            </w:pPr>
            <w:r>
              <w:rPr>
                <w:rFonts w:ascii="Arial" w:cs="Arial" w:eastAsia="Arial" w:hAnsi="Arial"/>
                <w:sz w:val="16"/>
                <w:szCs w:val="16"/>
                <w:b w:val="1"/>
                <w:bCs w:val="1"/>
                <w:color w:val="auto"/>
              </w:rPr>
              <w:t>Payment Date</w:t>
            </w:r>
          </w:p>
        </w:tc>
        <w:tc>
          <w:tcPr>
            <w:tcW w:w="0" w:type="dxa"/>
            <w:vAlign w:val="bottom"/>
          </w:tcPr>
          <w:p>
            <w:pPr>
              <w:spacing w:after="0"/>
              <w:rPr>
                <w:sz w:val="1"/>
                <w:szCs w:val="1"/>
                <w:color w:val="auto"/>
              </w:rPr>
            </w:pPr>
          </w:p>
        </w:tc>
      </w:tr>
      <w:tr>
        <w:trPr>
          <w:trHeight w:val="216"/>
        </w:trPr>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Diamondback</w:t>
            </w:r>
          </w:p>
        </w:tc>
        <w:tc>
          <w:tcPr>
            <w:tcW w:w="220" w:type="dxa"/>
            <w:vAlign w:val="bottom"/>
          </w:tcPr>
          <w:p>
            <w:pPr>
              <w:spacing w:after="0"/>
              <w:rPr>
                <w:sz w:val="18"/>
                <w:szCs w:val="18"/>
                <w:color w:val="auto"/>
              </w:rPr>
            </w:pPr>
          </w:p>
        </w:tc>
        <w:tc>
          <w:tcPr>
            <w:tcW w:w="1500" w:type="dxa"/>
            <w:vAlign w:val="bottom"/>
            <w:gridSpan w:val="2"/>
          </w:tcPr>
          <w:p>
            <w:pPr>
              <w:jc w:val="center"/>
              <w:ind w:right="320"/>
              <w:spacing w:after="0" w:line="216" w:lineRule="exact"/>
              <w:rPr>
                <w:sz w:val="20"/>
                <w:szCs w:val="20"/>
                <w:color w:val="auto"/>
              </w:rPr>
            </w:pPr>
            <w:r>
              <w:rPr>
                <w:rFonts w:ascii="Arial" w:cs="Arial" w:eastAsia="Arial" w:hAnsi="Arial"/>
                <w:sz w:val="16"/>
                <w:szCs w:val="16"/>
                <w:b w:val="1"/>
                <w:bCs w:val="1"/>
                <w:color w:val="auto"/>
                <w:w w:val="88"/>
              </w:rPr>
              <w:t>Unitholders</w:t>
            </w:r>
            <w:r>
              <w:rPr>
                <w:rFonts w:ascii="Arial" w:cs="Arial" w:eastAsia="Arial" w:hAnsi="Arial"/>
                <w:sz w:val="21"/>
                <w:szCs w:val="21"/>
                <w:b w:val="1"/>
                <w:bCs w:val="1"/>
                <w:color w:val="auto"/>
                <w:w w:val="88"/>
                <w:vertAlign w:val="superscript"/>
              </w:rPr>
              <w:t>(1)</w:t>
            </w:r>
          </w:p>
        </w:tc>
        <w:tc>
          <w:tcPr>
            <w:tcW w:w="1840" w:type="dxa"/>
            <w:vAlign w:val="bottom"/>
            <w:gridSpan w:val="2"/>
            <w:vMerge w:val="continue"/>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Date</w:t>
            </w: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Q4 2020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February 19, 2021</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4, 2021</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11, 2021</w:t>
            </w:r>
          </w:p>
        </w:tc>
        <w:tc>
          <w:tcPr>
            <w:tcW w:w="0" w:type="dxa"/>
            <w:vAlign w:val="bottom"/>
          </w:tcPr>
          <w:p>
            <w:pPr>
              <w:spacing w:after="0"/>
              <w:rPr>
                <w:sz w:val="1"/>
                <w:szCs w:val="1"/>
                <w:color w:val="auto"/>
              </w:rPr>
            </w:pPr>
          </w:p>
        </w:tc>
      </w:tr>
      <w:tr>
        <w:trPr>
          <w:trHeight w:val="230"/>
        </w:trPr>
        <w:tc>
          <w:tcPr>
            <w:tcW w:w="1000" w:type="dxa"/>
            <w:vAlign w:val="bottom"/>
            <w:gridSpan w:val="2"/>
          </w:tcPr>
          <w:p>
            <w:pPr>
              <w:ind w:left="20"/>
              <w:spacing w:after="0"/>
              <w:rPr>
                <w:sz w:val="20"/>
                <w:szCs w:val="20"/>
                <w:color w:val="auto"/>
              </w:rPr>
            </w:pPr>
            <w:r>
              <w:rPr>
                <w:rFonts w:ascii="Arial" w:cs="Arial" w:eastAsia="Arial" w:hAnsi="Arial"/>
                <w:sz w:val="18"/>
                <w:szCs w:val="18"/>
                <w:color w:val="auto"/>
              </w:rPr>
              <w:t>Q1 2021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22,678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16,230</w:t>
            </w:r>
          </w:p>
        </w:tc>
        <w:tc>
          <w:tcPr>
            <w:tcW w:w="10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April 27, 2021</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May 13, 2021</w:t>
            </w:r>
          </w:p>
        </w:tc>
        <w:tc>
          <w:tcPr>
            <w:tcW w:w="1600" w:type="dxa"/>
            <w:vAlign w:val="bottom"/>
          </w:tcPr>
          <w:p>
            <w:pPr>
              <w:jc w:val="right"/>
              <w:spacing w:after="0"/>
              <w:rPr>
                <w:sz w:val="20"/>
                <w:szCs w:val="20"/>
                <w:color w:val="auto"/>
              </w:rPr>
            </w:pPr>
            <w:r>
              <w:rPr>
                <w:rFonts w:ascii="Arial" w:cs="Arial" w:eastAsia="Arial" w:hAnsi="Arial"/>
                <w:sz w:val="18"/>
                <w:szCs w:val="18"/>
                <w:color w:val="auto"/>
              </w:rPr>
              <w:t>May 20, 2021</w:t>
            </w:r>
          </w:p>
        </w:tc>
        <w:tc>
          <w:tcPr>
            <w:tcW w:w="0" w:type="dxa"/>
            <w:vAlign w:val="bottom"/>
          </w:tcPr>
          <w:p>
            <w:pPr>
              <w:spacing w:after="0"/>
              <w:rPr>
                <w:sz w:val="1"/>
                <w:szCs w:val="1"/>
                <w:color w:val="auto"/>
              </w:rPr>
            </w:pPr>
          </w:p>
        </w:tc>
      </w:tr>
      <w:tr>
        <w:trPr>
          <w:trHeight w:val="229"/>
        </w:trPr>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Q2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21,235</w:t>
            </w:r>
          </w:p>
        </w:tc>
        <w:tc>
          <w:tcPr>
            <w:tcW w:w="1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28, 2021</w:t>
            </w: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August 12, 2021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19, 2021</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line="277" w:lineRule="auto"/>
        <w:tabs>
          <w:tab w:leader="none" w:pos="33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$0.1 million, $0.2 million and $0.2 million paid to Diamondback for the fourth quarter of 2020 and the first and second quarters of 2021, respectively.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distributions will be made to the common unitholders of record on the applicable record date, generally within 60 days after the end of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quarter.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Ownership of Consolidated Subsidiaries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Non-controlling interest in the accompanying condensed consolidated financial statements represents Diamondback’s ownership in the net assets of the Operating Company. Diamondback’s relative ownership interest in the Operating Company can change due to the Partnership’s public offerings, issuance of units for acquisitions, issuance of unit-based compensation, repurchases of common units and distribution equivalent rights paid on the Partnership’s units. These changes in ownership percentage and the disproportionate allocation of net income (loss) to Diamondback discussed below result in adjustments to non-controlling interest and common unitholder equity, tax effected. The following table summarizes the changes in common unitholder equity due to changes in ownership interest during the period: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Three Months Ended</w:t>
            </w:r>
          </w:p>
        </w:tc>
        <w:tc>
          <w:tcPr>
            <w:tcW w:w="200" w:type="dxa"/>
            <w:vAlign w:val="bottom"/>
          </w:tcPr>
          <w:p>
            <w:pPr>
              <w:spacing w:after="0"/>
              <w:rPr>
                <w:sz w:val="16"/>
                <w:szCs w:val="16"/>
                <w:color w:val="auto"/>
              </w:rPr>
            </w:pPr>
          </w:p>
        </w:tc>
        <w:tc>
          <w:tcPr>
            <w:tcW w:w="1780" w:type="dxa"/>
            <w:vAlign w:val="bottom"/>
          </w:tcPr>
          <w:p>
            <w:pPr>
              <w:jc w:val="right"/>
              <w:ind w:right="214"/>
              <w:spacing w:after="0"/>
              <w:rPr>
                <w:sz w:val="20"/>
                <w:szCs w:val="20"/>
                <w:color w:val="auto"/>
              </w:rPr>
            </w:pPr>
            <w:r>
              <w:rPr>
                <w:rFonts w:ascii="Arial" w:cs="Arial" w:eastAsia="Arial" w:hAnsi="Arial"/>
                <w:sz w:val="16"/>
                <w:szCs w:val="16"/>
                <w:b w:val="1"/>
                <w:bCs w:val="1"/>
                <w:color w:val="auto"/>
                <w:w w:val="97"/>
              </w:rPr>
              <w:t>Nine Months Ended</w:t>
            </w:r>
          </w:p>
        </w:tc>
        <w:tc>
          <w:tcPr>
            <w:tcW w:w="0" w:type="dxa"/>
            <w:vAlign w:val="bottom"/>
          </w:tcPr>
          <w:p>
            <w:pPr>
              <w:spacing w:after="0"/>
              <w:rPr>
                <w:sz w:val="1"/>
                <w:szCs w:val="1"/>
                <w:color w:val="auto"/>
              </w:rPr>
            </w:pPr>
          </w:p>
        </w:tc>
      </w:tr>
      <w:tr>
        <w:trPr>
          <w:trHeight w:val="213"/>
        </w:trPr>
        <w:tc>
          <w:tcPr>
            <w:tcW w:w="7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September 30, 2021</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w w:val="97"/>
              </w:rPr>
              <w:t>September 30, 2021</w:t>
            </w:r>
          </w:p>
        </w:tc>
        <w:tc>
          <w:tcPr>
            <w:tcW w:w="0" w:type="dxa"/>
            <w:vAlign w:val="bottom"/>
          </w:tcPr>
          <w:p>
            <w:pPr>
              <w:spacing w:after="0"/>
              <w:rPr>
                <w:sz w:val="1"/>
                <w:szCs w:val="1"/>
                <w:color w:val="auto"/>
              </w:rPr>
            </w:pPr>
          </w:p>
        </w:tc>
      </w:tr>
      <w:tr>
        <w:trPr>
          <w:trHeight w:val="209"/>
        </w:trPr>
        <w:tc>
          <w:tcPr>
            <w:tcW w:w="7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4"/>
          </w:tcPr>
          <w:p>
            <w:pPr>
              <w:jc w:val="right"/>
              <w:ind w:right="1434"/>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32"/>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Partnership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18,474</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Change in ownership of consolidated subsidiaries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8,416</w:t>
            </w:r>
          </w:p>
        </w:tc>
        <w:tc>
          <w:tcPr>
            <w:tcW w:w="0" w:type="dxa"/>
            <w:vAlign w:val="bottom"/>
          </w:tcPr>
          <w:p>
            <w:pPr>
              <w:spacing w:after="0"/>
              <w:rPr>
                <w:sz w:val="1"/>
                <w:szCs w:val="1"/>
                <w:color w:val="auto"/>
              </w:rPr>
            </w:pPr>
          </w:p>
        </w:tc>
      </w:tr>
      <w:tr>
        <w:trPr>
          <w:trHeight w:val="155"/>
        </w:trPr>
        <w:tc>
          <w:tcPr>
            <w:tcW w:w="71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3"/>
              </w:rPr>
              <w:t>Change from net income (loss) attributable to the Partnership's unitholders and transfers to non-</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20,947</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26,890</w:t>
            </w:r>
          </w:p>
        </w:tc>
        <w:tc>
          <w:tcPr>
            <w:tcW w:w="0" w:type="dxa"/>
            <w:vAlign w:val="bottom"/>
          </w:tcPr>
          <w:p>
            <w:pPr>
              <w:spacing w:after="0"/>
              <w:rPr>
                <w:sz w:val="1"/>
                <w:szCs w:val="1"/>
                <w:color w:val="auto"/>
              </w:rPr>
            </w:pPr>
          </w:p>
        </w:tc>
      </w:tr>
      <w:tr>
        <w:trPr>
          <w:trHeight w:val="223"/>
        </w:trPr>
        <w:tc>
          <w:tcPr>
            <w:tcW w:w="71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controlling interest</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changes in ownership of consolidated subsidiaries during the three and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Net Income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 as managing member of the Operating Company, has entered into an agreement whereby special allocations of the Operating Company’s income and gains over losses and deductions (but before depletion) are to be made to Diamondback through 2023. These special income allocations will reduce the taxable income allocated to the Partnership’s common unitholders.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EARNINGS PER COMMON UNIT</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net income (loss) per common unit on the condensed consolidated statements of operations is based on the net income (loss) of the Partnership for the three and nine months ended September 30, 2021 and 2020, which is the amount of net income (loss) attributable to the Partnership’s common units.</w:t>
      </w:r>
    </w:p>
    <w:p>
      <w:pPr>
        <w:spacing w:after="0" w:line="211" w:lineRule="exact"/>
        <w:rPr>
          <w:sz w:val="20"/>
          <w:szCs w:val="20"/>
          <w:color w:val="auto"/>
        </w:rPr>
      </w:pPr>
    </w:p>
    <w:p>
      <w:pPr>
        <w:jc w:val="both"/>
        <w:ind w:firstLine="648"/>
        <w:spacing w:after="0" w:line="248" w:lineRule="auto"/>
        <w:rPr>
          <w:rFonts w:ascii="Arial" w:cs="Arial" w:eastAsia="Arial" w:hAnsi="Arial"/>
          <w:sz w:val="18"/>
          <w:szCs w:val="18"/>
          <w:color w:val="0000FF"/>
        </w:rPr>
      </w:pPr>
      <w:r>
        <w:rPr>
          <w:rFonts w:ascii="Arial" w:cs="Arial" w:eastAsia="Arial" w:hAnsi="Arial"/>
          <w:sz w:val="18"/>
          <w:szCs w:val="18"/>
          <w:color w:val="auto"/>
        </w:rPr>
        <w:t xml:space="preserve">The Partnership’s net income (loss) is allocated wholly to the common units, as the General Partner does not have an economic interest. Payments </w:t>
      </w:r>
      <w:hyperlink w:anchor="page16">
        <w:r>
          <w:rPr>
            <w:rFonts w:ascii="Arial" w:cs="Arial" w:eastAsia="Arial" w:hAnsi="Arial"/>
            <w:sz w:val="18"/>
            <w:szCs w:val="18"/>
            <w:color w:val="auto"/>
          </w:rPr>
          <w:t>made to the Partnership’s unitholders are determined in relation to the cash distribution policy described in Note 7—</w:t>
        </w:r>
        <w:r>
          <w:rPr>
            <w:rFonts w:ascii="Arial" w:cs="Arial" w:eastAsia="Arial" w:hAnsi="Arial"/>
            <w:sz w:val="18"/>
            <w:szCs w:val="18"/>
            <w:u w:val="single" w:color="auto"/>
            <w:color w:val="0000FF"/>
          </w:rPr>
          <w:t>Unitholders' Equity and Partnership</w:t>
        </w:r>
      </w:hyperlink>
      <w:r>
        <w:rPr>
          <w:rFonts w:ascii="Arial" w:cs="Arial" w:eastAsia="Arial" w:hAnsi="Arial"/>
          <w:sz w:val="18"/>
          <w:szCs w:val="18"/>
          <w:color w:val="auto"/>
        </w:rPr>
        <w:t xml:space="preserve"> </w:t>
      </w:r>
      <w:hyperlink w:anchor="page16">
        <w:r>
          <w:rPr>
            <w:rFonts w:ascii="Arial" w:cs="Arial" w:eastAsia="Arial" w:hAnsi="Arial"/>
            <w:sz w:val="18"/>
            <w:szCs w:val="18"/>
            <w:u w:val="single" w:color="auto"/>
            <w:color w:val="0000FF"/>
          </w:rPr>
          <w:t>Distributions</w:t>
        </w:r>
        <w:r>
          <w:rPr>
            <w:rFonts w:ascii="Arial" w:cs="Arial" w:eastAsia="Arial" w:hAnsi="Arial"/>
            <w:sz w:val="18"/>
            <w:szCs w:val="18"/>
            <w:color w:val="000000"/>
          </w:rPr>
          <w:t>.</w:t>
        </w:r>
      </w:hyperlink>
    </w:p>
    <w:p>
      <w:pPr>
        <w:spacing w:after="0" w:line="20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Basic net income (loss) per common unit is calculated by dividing net income (loss) by the weighted-average number of common units outstanding during the period. Diluted net income (loss) per common unit gives effect, when applicable, to unvested common units granted under the LTIP.</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unit is presented in the table below:</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40" w:type="dxa"/>
            <w:vAlign w:val="bottom"/>
            <w:gridSpan w:val="4"/>
          </w:tcPr>
          <w:p>
            <w:pPr>
              <w:jc w:val="right"/>
              <w:ind w:right="91"/>
              <w:spacing w:after="0"/>
              <w:rPr>
                <w:sz w:val="20"/>
                <w:szCs w:val="20"/>
                <w:color w:val="auto"/>
              </w:rPr>
            </w:pPr>
            <w:r>
              <w:rPr>
                <w:rFonts w:ascii="Arial" w:cs="Arial" w:eastAsia="Arial" w:hAnsi="Arial"/>
                <w:sz w:val="16"/>
                <w:szCs w:val="16"/>
                <w:b w:val="1"/>
                <w:bCs w:val="1"/>
                <w:color w:val="auto"/>
                <w:w w:val="92"/>
              </w:rPr>
              <w:t>Nine Months Ended September 30,</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9"/>
        </w:trPr>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6"/>
          </w:tcPr>
          <w:p>
            <w:pPr>
              <w:ind w:left="20"/>
              <w:spacing w:after="0"/>
              <w:rPr>
                <w:sz w:val="20"/>
                <w:szCs w:val="20"/>
                <w:color w:val="auto"/>
              </w:rPr>
            </w:pPr>
            <w:r>
              <w:rPr>
                <w:rFonts w:ascii="Arial" w:cs="Arial" w:eastAsia="Arial" w:hAnsi="Arial"/>
                <w:sz w:val="16"/>
                <w:szCs w:val="16"/>
                <w:b w:val="1"/>
                <w:bCs w:val="1"/>
                <w:color w:val="auto"/>
                <w:w w:val="93"/>
              </w:rPr>
              <w:t>(In thousands, except per unit amounts)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(164,685)</w:t>
            </w: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Less: net income (loss) allocated to participating securities</w:t>
            </w:r>
            <w:r>
              <w:rPr>
                <w:rFonts w:ascii="Arial" w:cs="Arial" w:eastAsia="Arial" w:hAnsi="Arial"/>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1"/>
        </w:trPr>
        <w:tc>
          <w:tcPr>
            <w:tcW w:w="55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attributable to common unitholders</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16,770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18,333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(164,711)</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units outstanding:</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common units outstanding</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67,832</w:t>
            </w:r>
          </w:p>
        </w:tc>
        <w:tc>
          <w:tcPr>
            <w:tcW w:w="0" w:type="dxa"/>
            <w:vAlign w:val="bottom"/>
          </w:tcPr>
          <w:p>
            <w:pPr>
              <w:spacing w:after="0"/>
              <w:rPr>
                <w:sz w:val="1"/>
                <w:szCs w:val="1"/>
                <w:color w:val="auto"/>
              </w:rPr>
            </w:pPr>
          </w:p>
        </w:tc>
      </w:tr>
      <w:tr>
        <w:trPr>
          <w:trHeight w:val="230"/>
        </w:trPr>
        <w:tc>
          <w:tcPr>
            <w:tcW w:w="5580" w:type="dxa"/>
            <w:vAlign w:val="bottom"/>
          </w:tcPr>
          <w:p>
            <w:pPr>
              <w:ind w:left="22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8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Potential common units issuable</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80" w:type="dxa"/>
            <w:vAlign w:val="bottom"/>
          </w:tcPr>
          <w:p>
            <w:pPr>
              <w:ind w:left="220"/>
              <w:spacing w:after="0"/>
              <w:rPr>
                <w:sz w:val="20"/>
                <w:szCs w:val="20"/>
                <w:color w:val="auto"/>
              </w:rPr>
            </w:pPr>
            <w:r>
              <w:rPr>
                <w:rFonts w:ascii="Arial" w:cs="Arial" w:eastAsia="Arial" w:hAnsi="Arial"/>
                <w:sz w:val="18"/>
                <w:szCs w:val="18"/>
                <w:color w:val="auto"/>
              </w:rPr>
              <w:t>Diluted weighted average common units outstanding</w:t>
            </w: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64,241</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67,847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64,815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67,832</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common unit, 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30"/>
        </w:trPr>
        <w:tc>
          <w:tcPr>
            <w:tcW w:w="5580" w:type="dxa"/>
            <w:vAlign w:val="bottom"/>
          </w:tcPr>
          <w:p>
            <w:pPr>
              <w:ind w:left="20"/>
              <w:spacing w:after="0"/>
              <w:rPr>
                <w:sz w:val="20"/>
                <w:szCs w:val="20"/>
                <w:color w:val="auto"/>
              </w:rPr>
            </w:pPr>
            <w:r>
              <w:rPr>
                <w:rFonts w:ascii="Arial" w:cs="Arial" w:eastAsia="Arial" w:hAnsi="Arial"/>
                <w:sz w:val="18"/>
                <w:szCs w:val="18"/>
                <w:color w:val="auto"/>
              </w:rPr>
              <w:t>Net income (loss) per common unit,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Distribution equivalent rights granted to employees are considered participating securities.</w:t>
      </w:r>
    </w:p>
    <w:p>
      <w:pPr>
        <w:spacing w:after="0" w:line="23" w:lineRule="exact"/>
        <w:rPr>
          <w:rFonts w:ascii="Arial" w:cs="Arial" w:eastAsia="Arial" w:hAnsi="Arial"/>
          <w:sz w:val="18"/>
          <w:szCs w:val="18"/>
          <w:color w:val="auto"/>
        </w:rPr>
      </w:pPr>
    </w:p>
    <w:p>
      <w:pPr>
        <w:ind w:left="340" w:hanging="332"/>
        <w:spacing w:after="0" w:line="253" w:lineRule="auto"/>
        <w:tabs>
          <w:tab w:leader="none" w:pos="271"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nine months ended September 30, 2021, 2,955 potential common units were excluded from the computation of diluted earnings per common unit because their inclusion would have been anti-dilutive. For the nine months ended September 30, 2020, no potential common units were included in the computation of diluted earnings per common unit because their inclusion would have been anti-dilutive as a result of recording a net loss attributable to the common unitholders for the period.</w:t>
      </w:r>
    </w:p>
    <w:p>
      <w:pPr>
        <w:spacing w:after="0" w:line="220" w:lineRule="exact"/>
        <w:rPr>
          <w:sz w:val="20"/>
          <w:szCs w:val="20"/>
          <w:color w:val="auto"/>
        </w:rPr>
      </w:pPr>
    </w:p>
    <w:p>
      <w:pPr>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As discussed further in Note 13—</w:t>
      </w:r>
      <w:hyperlink w:anchor="page22">
        <w:r>
          <w:rPr>
            <w:rFonts w:ascii="Arial" w:cs="Arial" w:eastAsia="Arial" w:hAnsi="Arial"/>
            <w:sz w:val="18"/>
            <w:szCs w:val="18"/>
            <w:u w:val="single" w:color="auto"/>
            <w:color w:val="0000FF"/>
          </w:rPr>
          <w:t>Subsequent Events—Swallowtail Acquisition</w:t>
        </w:r>
      </w:hyperlink>
      <w:r>
        <w:rPr>
          <w:rFonts w:ascii="Arial" w:cs="Arial" w:eastAsia="Arial" w:hAnsi="Arial"/>
          <w:sz w:val="18"/>
          <w:szCs w:val="18"/>
          <w:color w:val="auto"/>
        </w:rPr>
        <w:t>, the Partnership issued 15.25 million additional common units as consideration for an acquisition in October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INCOME TAXES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the Partnership’s provision for (benefit from) income taxes and the effective income tax rate for the dates indicated: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80" w:type="dxa"/>
            <w:vAlign w:val="bottom"/>
          </w:tcPr>
          <w:p>
            <w:pPr>
              <w:spacing w:after="0"/>
              <w:rPr>
                <w:sz w:val="18"/>
                <w:szCs w:val="18"/>
                <w:color w:val="auto"/>
              </w:rPr>
            </w:pPr>
          </w:p>
        </w:tc>
        <w:tc>
          <w:tcPr>
            <w:tcW w:w="298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2720" w:type="dxa"/>
            <w:vAlign w:val="bottom"/>
            <w:gridSpan w:val="3"/>
          </w:tcPr>
          <w:p>
            <w:pPr>
              <w:jc w:val="right"/>
              <w:ind w:right="153"/>
              <w:spacing w:after="0"/>
              <w:rPr>
                <w:sz w:val="20"/>
                <w:szCs w:val="20"/>
                <w:color w:val="auto"/>
              </w:rPr>
            </w:pPr>
            <w:r>
              <w:rPr>
                <w:rFonts w:ascii="Arial" w:cs="Arial" w:eastAsia="Arial" w:hAnsi="Arial"/>
                <w:sz w:val="16"/>
                <w:szCs w:val="16"/>
                <w:b w:val="1"/>
                <w:bCs w:val="1"/>
                <w:color w:val="auto"/>
                <w:w w:val="93"/>
              </w:rPr>
              <w:t>Nine Months Ended September 30,</w:t>
            </w:r>
          </w:p>
        </w:tc>
      </w:tr>
      <w:tr>
        <w:trPr>
          <w:trHeight w:val="210"/>
        </w:trPr>
        <w:tc>
          <w:tcPr>
            <w:tcW w:w="538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2020</w:t>
            </w:r>
          </w:p>
        </w:tc>
      </w:tr>
      <w:tr>
        <w:trPr>
          <w:trHeight w:val="209"/>
        </w:trPr>
        <w:tc>
          <w:tcPr>
            <w:tcW w:w="5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20" w:type="dxa"/>
            <w:vAlign w:val="bottom"/>
            <w:gridSpan w:val="4"/>
          </w:tcPr>
          <w:p>
            <w:pPr>
              <w:jc w:val="right"/>
              <w:ind w:right="215"/>
              <w:spacing w:after="0"/>
              <w:rPr>
                <w:sz w:val="20"/>
                <w:szCs w:val="20"/>
                <w:color w:val="auto"/>
              </w:rPr>
            </w:pPr>
            <w:r>
              <w:rPr>
                <w:rFonts w:ascii="Arial" w:cs="Arial" w:eastAsia="Arial" w:hAnsi="Arial"/>
                <w:sz w:val="16"/>
                <w:szCs w:val="16"/>
                <w:b w:val="1"/>
                <w:bCs w:val="1"/>
                <w:color w:val="auto"/>
                <w:w w:val="93"/>
              </w:rPr>
              <w:t>(In thousands, except for tax rate)</w:t>
            </w: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2"/>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3"/>
              </w:rPr>
              <w:t>906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941</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142,466</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1.2 %</w:t>
            </w:r>
          </w:p>
        </w:tc>
        <w:tc>
          <w:tcPr>
            <w:tcW w:w="240" w:type="dxa"/>
            <w:vAlign w:val="bottom"/>
          </w:tcPr>
          <w:p>
            <w:pPr>
              <w:spacing w:after="0"/>
              <w:rPr>
                <w:sz w:val="20"/>
                <w:szCs w:val="20"/>
                <w:color w:val="auto"/>
              </w:rPr>
            </w:pP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0.7 %</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8,168.9 %</w:t>
            </w:r>
          </w:p>
        </w:tc>
      </w:tr>
    </w:tbl>
    <w:p>
      <w:pPr>
        <w:spacing w:after="0" w:line="3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Partnership’s effective income tax rates for the three and nine months ended September 30, 2021 and 2020 differed from amounts computed by applying the United States federal statutory tax rate to pre-tax income for the period primarily due to net income attributable to the non-controlling interest and the impact of maintaining a valuation allowance on the Partnership’s deferred tax assets. For the nine months ended September 30, 2020, the Partnership also recorded discrete income tax expense of approximately $142.5 million related to application of a valuation allowance on the Partnership’s beginning-of-year deferred tax assets.</w:t>
      </w:r>
    </w:p>
    <w:p>
      <w:pPr>
        <w:spacing w:after="0" w:line="20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8"/>
          <w:szCs w:val="18"/>
          <w:color w:val="auto"/>
        </w:rPr>
        <w:t>As of September 30, 2021 and 2020, the Partnership maintained a full valuation allowance against its deferred tax assets, based on its assessment of all available evidence, both positive and negative, supporting realizability of the Partnership’s deferred tax assets.</w:t>
      </w:r>
    </w:p>
    <w:p>
      <w:pPr>
        <w:spacing w:after="0" w:line="2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DERIVATIVES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derivative financial instruments are recorded at fair value. The Partnership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Contracts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 historically has used fixed price swap contracts, fixed price basis swap contracts and costless collars with corresponding put and call options to reduce price volatility associated with certain of its royalty income. At September 30, 2021, the Partnership has costless collars and put options outstanding.</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Partnership’s costless collar contracts, each collar has an established floor price and ceiling price. When the settlement price is below the floor price, the counterparty is required to make a payment to the Partnership and when the settlement price is above the ceiling price, the Partnership is required to make a payment to the counterparty. When the settlement price is between the floor and the ceiling, there is no payment required.</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Put options have a defined strike price, or floor price. The Partnership pays its counterparty a premium to enter into these derivative contracts, which are deferred until settlement. When the settlement price is below the floor price, the counterparty pays the Partnership an amount equal to the difference between the settlement price and the strike price multiplied by the derivative contract volume. When the settlement price is above the floor price, the put option expires worthless.</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Partnership’s derivative contracts are based upon reported settlement prices on commodity exchanges, with crude oil derivative settlements based on New York Mercantile Exchange West Texas Intermediate pricing (Cushing) and with natural gas derivative settlements based on the New York Mercantile Exchange Henry Hub pricing.</w:t>
      </w:r>
    </w:p>
    <w:p>
      <w:pPr>
        <w:spacing w:after="0" w:line="21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By using derivative instruments to economically hedge exposure to changes in commodity prices, the Partnership exposes itself to credit risk and market risk. Credit risk is the failure of the counterparty to perform under the terms of the derivative contract. When the fair value of a derivative contract is positive, the counterparty owes the Partnership, which creates credit risk. The Partnership’s counterparties are all participants in the amended and restated credit agreement, which is secured by substantially all of the assets of the guarantor subsidiaries; therefore, the Partnership is not required to post any collateral.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Partnership’s counterparties have been determined to have an acceptable credit risk; therefore, the Partnership does not require collateral from its counterparties.</w:t>
      </w:r>
    </w:p>
    <w:p>
      <w:pPr>
        <w:spacing w:after="0" w:line="19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September 30, 2021, the Partnership had the following outstanding derivative contracts. When aggregating multiple contracts, the weighted average contract price is disclosed.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60" w:type="dxa"/>
            <w:vAlign w:val="bottom"/>
            <w:gridSpan w:val="3"/>
          </w:tcPr>
          <w:p>
            <w:pPr>
              <w:ind w:left="920"/>
              <w:spacing w:after="0"/>
              <w:rPr>
                <w:sz w:val="20"/>
                <w:szCs w:val="20"/>
                <w:color w:val="auto"/>
              </w:rPr>
            </w:pPr>
            <w:r>
              <w:rPr>
                <w:rFonts w:ascii="Arial" w:cs="Arial" w:eastAsia="Arial" w:hAnsi="Arial"/>
                <w:sz w:val="16"/>
                <w:szCs w:val="16"/>
                <w:b w:val="1"/>
                <w:bCs w:val="1"/>
                <w:color w:val="auto"/>
              </w:rPr>
              <w:t>Swaps</w:t>
            </w:r>
          </w:p>
        </w:tc>
        <w:tc>
          <w:tcPr>
            <w:tcW w:w="2200" w:type="dxa"/>
            <w:vAlign w:val="bottom"/>
            <w:gridSpan w:val="3"/>
          </w:tcPr>
          <w:p>
            <w:pPr>
              <w:ind w:left="800"/>
              <w:spacing w:after="0"/>
              <w:rPr>
                <w:sz w:val="20"/>
                <w:szCs w:val="20"/>
                <w:color w:val="auto"/>
              </w:rPr>
            </w:pPr>
            <w:r>
              <w:rPr>
                <w:rFonts w:ascii="Arial" w:cs="Arial" w:eastAsia="Arial" w:hAnsi="Arial"/>
                <w:sz w:val="16"/>
                <w:szCs w:val="16"/>
                <w:b w:val="1"/>
                <w:bCs w:val="1"/>
                <w:color w:val="auto"/>
              </w:rPr>
              <w:t>Collars</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6"/>
              </w:rPr>
              <w:t>Puts</w:t>
            </w:r>
          </w:p>
        </w:tc>
        <w:tc>
          <w:tcPr>
            <w:tcW w:w="0" w:type="dxa"/>
            <w:vAlign w:val="bottom"/>
          </w:tcPr>
          <w:p>
            <w:pPr>
              <w:spacing w:after="0"/>
              <w:rPr>
                <w:sz w:val="1"/>
                <w:szCs w:val="1"/>
                <w:color w:val="auto"/>
              </w:rPr>
            </w:pPr>
          </w:p>
        </w:tc>
      </w:tr>
      <w:tr>
        <w:trPr>
          <w:trHeight w:val="158"/>
        </w:trPr>
        <w:tc>
          <w:tcPr>
            <w:tcW w:w="1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Type of</w:t>
            </w:r>
          </w:p>
        </w:tc>
        <w:tc>
          <w:tcPr>
            <w:tcW w:w="9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Bbls/Mcf</w:t>
            </w:r>
          </w:p>
        </w:tc>
        <w:tc>
          <w:tcPr>
            <w:tcW w:w="1280" w:type="dxa"/>
            <w:vAlign w:val="bottom"/>
          </w:tcPr>
          <w:p>
            <w:pPr>
              <w:spacing w:after="0"/>
              <w:rPr>
                <w:sz w:val="13"/>
                <w:szCs w:val="13"/>
                <w:color w:val="auto"/>
              </w:rPr>
            </w:pPr>
          </w:p>
        </w:tc>
        <w:tc>
          <w:tcPr>
            <w:tcW w:w="1120" w:type="dxa"/>
            <w:vAlign w:val="bottom"/>
            <w:tcBorders>
              <w:top w:val="single" w:sz="8" w:color="auto"/>
            </w:tcBorders>
          </w:tcPr>
          <w:p>
            <w:pPr>
              <w:jc w:val="center"/>
              <w:ind w:left="14"/>
              <w:spacing w:after="0" w:line="158" w:lineRule="exact"/>
              <w:rPr>
                <w:sz w:val="20"/>
                <w:szCs w:val="20"/>
                <w:color w:val="auto"/>
              </w:rPr>
            </w:pPr>
            <w:r>
              <w:rPr>
                <w:rFonts w:ascii="Arial" w:cs="Arial" w:eastAsia="Arial" w:hAnsi="Arial"/>
                <w:sz w:val="16"/>
                <w:szCs w:val="16"/>
                <w:b w:val="1"/>
                <w:bCs w:val="1"/>
                <w:color w:val="auto"/>
                <w:w w:val="91"/>
              </w:rPr>
              <w:t>Weighted</w:t>
            </w:r>
          </w:p>
        </w:tc>
        <w:tc>
          <w:tcPr>
            <w:tcW w:w="1160" w:type="dxa"/>
            <w:vAlign w:val="bottom"/>
            <w:tcBorders>
              <w:top w:val="single" w:sz="8" w:color="auto"/>
            </w:tcBorders>
          </w:tcPr>
          <w:p>
            <w:pPr>
              <w:jc w:val="center"/>
              <w:ind w:left="13"/>
              <w:spacing w:after="0" w:line="158" w:lineRule="exact"/>
              <w:rPr>
                <w:sz w:val="20"/>
                <w:szCs w:val="20"/>
                <w:color w:val="auto"/>
              </w:rPr>
            </w:pPr>
            <w:r>
              <w:rPr>
                <w:rFonts w:ascii="Arial" w:cs="Arial" w:eastAsia="Arial" w:hAnsi="Arial"/>
                <w:sz w:val="16"/>
                <w:szCs w:val="16"/>
                <w:b w:val="1"/>
                <w:bCs w:val="1"/>
                <w:color w:val="auto"/>
                <w:w w:val="91"/>
              </w:rPr>
              <w:t>Weighted</w:t>
            </w:r>
          </w:p>
        </w:tc>
        <w:tc>
          <w:tcPr>
            <w:tcW w:w="8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104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b w:val="1"/>
                <w:bCs w:val="1"/>
                <w:color w:val="auto"/>
                <w:w w:val="91"/>
              </w:rPr>
              <w:t>Weighted</w:t>
            </w:r>
          </w:p>
        </w:tc>
        <w:tc>
          <w:tcPr>
            <w:tcW w:w="8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620" w:type="dxa"/>
            <w:vAlign w:val="bottom"/>
            <w:gridSpan w:val="2"/>
            <w:vMerge w:val="restart"/>
          </w:tcPr>
          <w:p>
            <w:pPr>
              <w:jc w:val="right"/>
              <w:ind w:right="70"/>
              <w:spacing w:after="0"/>
              <w:rPr>
                <w:sz w:val="20"/>
                <w:szCs w:val="20"/>
                <w:color w:val="auto"/>
              </w:rPr>
            </w:pPr>
            <w:r>
              <w:rPr>
                <w:rFonts w:ascii="Arial" w:cs="Arial" w:eastAsia="Arial" w:hAnsi="Arial"/>
                <w:sz w:val="16"/>
                <w:szCs w:val="16"/>
                <w:b w:val="1"/>
                <w:bCs w:val="1"/>
                <w:color w:val="auto"/>
                <w:w w:val="93"/>
              </w:rPr>
              <w:t>Settlement Month Settlement Year</w:t>
            </w:r>
          </w:p>
        </w:tc>
        <w:tc>
          <w:tcPr>
            <w:tcW w:w="94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Index</w:t>
            </w:r>
          </w:p>
        </w:tc>
        <w:tc>
          <w:tcPr>
            <w:tcW w:w="11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Average</w:t>
            </w:r>
          </w:p>
        </w:tc>
        <w:tc>
          <w:tcPr>
            <w:tcW w:w="1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Average Fixed</w:t>
            </w:r>
          </w:p>
        </w:tc>
        <w:tc>
          <w:tcPr>
            <w:tcW w:w="1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Average Floor</w:t>
            </w:r>
          </w:p>
        </w:tc>
        <w:tc>
          <w:tcPr>
            <w:tcW w:w="11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Average</w:t>
            </w: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Strike Price</w:t>
            </w:r>
          </w:p>
        </w:tc>
        <w:tc>
          <w:tcPr>
            <w:tcW w:w="0" w:type="dxa"/>
            <w:vAlign w:val="bottom"/>
          </w:tcPr>
          <w:p>
            <w:pPr>
              <w:spacing w:after="0"/>
              <w:rPr>
                <w:sz w:val="1"/>
                <w:szCs w:val="1"/>
                <w:color w:val="auto"/>
              </w:rPr>
            </w:pPr>
          </w:p>
        </w:tc>
      </w:tr>
      <w:tr>
        <w:trPr>
          <w:trHeight w:val="213"/>
        </w:trPr>
        <w:tc>
          <w:tcPr>
            <w:tcW w:w="2620" w:type="dxa"/>
            <w:vAlign w:val="bottom"/>
            <w:gridSpan w:val="2"/>
            <w:vMerge w:val="continue"/>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3"/>
              </w:rPr>
              <w:t>Per Day</w:t>
            </w:r>
          </w:p>
        </w:tc>
        <w:tc>
          <w:tcPr>
            <w:tcW w:w="1280" w:type="dxa"/>
            <w:vAlign w:val="bottom"/>
            <w:vMerge w:val="continue"/>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5"/>
              </w:rPr>
              <w:t>Differential</w:t>
            </w: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Price</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1"/>
              </w:rPr>
              <w:t>Price</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Ceiling Price</w:t>
            </w: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80" w:type="dxa"/>
            <w:vAlign w:val="bottom"/>
            <w:tcBorders>
              <w:top w:val="single" w:sz="8" w:color="auto"/>
            </w:tcBorders>
          </w:tcPr>
          <w:p>
            <w:pPr>
              <w:jc w:val="center"/>
              <w:ind w:right="53"/>
              <w:spacing w:after="0"/>
              <w:rPr>
                <w:sz w:val="20"/>
                <w:szCs w:val="20"/>
                <w:color w:val="auto"/>
              </w:rPr>
            </w:pPr>
            <w:r>
              <w:rPr>
                <w:rFonts w:ascii="Arial" w:cs="Arial" w:eastAsia="Arial" w:hAnsi="Arial"/>
                <w:sz w:val="16"/>
                <w:szCs w:val="16"/>
                <w:b w:val="1"/>
                <w:bCs w:val="1"/>
                <w:color w:val="auto"/>
              </w:rPr>
              <w:t>OIL</w:t>
            </w:r>
          </w:p>
        </w:tc>
        <w:tc>
          <w:tcPr>
            <w:tcW w:w="1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48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92"/>
              </w:rPr>
              <w:t>Oct. - Dec.</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2021</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Collars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WTI Cushing</w:t>
            </w:r>
          </w:p>
        </w:tc>
        <w:tc>
          <w:tcPr>
            <w:tcW w:w="11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2"/>
              </w:rPr>
              <w:t>$—</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$43.05</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480" w:type="dxa"/>
            <w:vAlign w:val="bottom"/>
          </w:tcPr>
          <w:p>
            <w:pPr>
              <w:jc w:val="center"/>
              <w:ind w:right="73"/>
              <w:spacing w:after="0"/>
              <w:rPr>
                <w:sz w:val="20"/>
                <w:szCs w:val="20"/>
                <w:color w:val="auto"/>
              </w:rPr>
            </w:pPr>
            <w:r>
              <w:rPr>
                <w:rFonts w:ascii="Arial" w:cs="Arial" w:eastAsia="Arial" w:hAnsi="Arial"/>
                <w:sz w:val="18"/>
                <w:szCs w:val="18"/>
                <w:color w:val="auto"/>
                <w:w w:val="88"/>
              </w:rPr>
              <w:t>Jan. - Mar.</w:t>
            </w: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Collars</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2,500</w:t>
            </w: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WTI Cushing</w:t>
            </w:r>
          </w:p>
        </w:tc>
        <w:tc>
          <w:tcPr>
            <w:tcW w:w="1120" w:type="dxa"/>
            <w:vAlign w:val="bottom"/>
          </w:tcPr>
          <w:p>
            <w:pPr>
              <w:jc w:val="center"/>
              <w:ind w:left="14"/>
              <w:spacing w:after="0"/>
              <w:rPr>
                <w:sz w:val="20"/>
                <w:szCs w:val="20"/>
                <w:color w:val="auto"/>
              </w:rPr>
            </w:pPr>
            <w:r>
              <w:rPr>
                <w:rFonts w:ascii="Arial" w:cs="Arial" w:eastAsia="Arial" w:hAnsi="Arial"/>
                <w:sz w:val="18"/>
                <w:szCs w:val="18"/>
                <w:color w:val="auto"/>
                <w:w w:val="92"/>
              </w:rPr>
              <w:t>$—</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$45.00</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$79.55</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91"/>
              </w:rPr>
              <w:t>Apr. - Jun.</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2022</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Collars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WTI Cushing</w:t>
            </w:r>
          </w:p>
        </w:tc>
        <w:tc>
          <w:tcPr>
            <w:tcW w:w="11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2"/>
              </w:rPr>
              <w:t>$—</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$80.15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480" w:type="dxa"/>
            <w:vAlign w:val="bottom"/>
          </w:tcPr>
          <w:p>
            <w:pPr>
              <w:jc w:val="center"/>
              <w:ind w:right="73"/>
              <w:spacing w:after="0"/>
              <w:rPr>
                <w:sz w:val="20"/>
                <w:szCs w:val="20"/>
                <w:color w:val="auto"/>
              </w:rPr>
            </w:pPr>
            <w:r>
              <w:rPr>
                <w:rFonts w:ascii="Arial" w:cs="Arial" w:eastAsia="Arial" w:hAnsi="Arial"/>
                <w:sz w:val="18"/>
                <w:szCs w:val="18"/>
                <w:color w:val="auto"/>
                <w:w w:val="88"/>
              </w:rPr>
              <w:t>Jan. - Mar.</w:t>
            </w:r>
          </w:p>
        </w:tc>
        <w:tc>
          <w:tcPr>
            <w:tcW w:w="1140" w:type="dxa"/>
            <w:vAlign w:val="bottom"/>
          </w:tcPr>
          <w:p>
            <w:pPr>
              <w:jc w:val="right"/>
              <w:ind w:right="450"/>
              <w:spacing w:after="0"/>
              <w:rPr>
                <w:sz w:val="20"/>
                <w:szCs w:val="20"/>
                <w:color w:val="auto"/>
              </w:rPr>
            </w:pPr>
            <w:r>
              <w:rPr>
                <w:rFonts w:ascii="Arial" w:cs="Arial" w:eastAsia="Arial" w:hAnsi="Arial"/>
                <w:sz w:val="18"/>
                <w:szCs w:val="18"/>
                <w:color w:val="auto"/>
              </w:rPr>
              <w:t>2022</w:t>
            </w:r>
          </w:p>
        </w:tc>
        <w:tc>
          <w:tcPr>
            <w:tcW w:w="940" w:type="dxa"/>
            <w:vAlign w:val="bottom"/>
          </w:tcPr>
          <w:p>
            <w:pPr>
              <w:jc w:val="center"/>
              <w:spacing w:after="0" w:line="230" w:lineRule="exact"/>
              <w:rPr>
                <w:sz w:val="20"/>
                <w:szCs w:val="20"/>
                <w:color w:val="auto"/>
              </w:rPr>
            </w:pPr>
            <w:r>
              <w:rPr>
                <w:rFonts w:ascii="Arial" w:cs="Arial" w:eastAsia="Arial" w:hAnsi="Arial"/>
                <w:sz w:val="18"/>
                <w:szCs w:val="18"/>
                <w:color w:val="auto"/>
                <w:w w:val="80"/>
              </w:rPr>
              <w:t>Puts</w:t>
            </w:r>
            <w:r>
              <w:rPr>
                <w:rFonts w:ascii="Arial" w:cs="Arial" w:eastAsia="Arial" w:hAnsi="Arial"/>
                <w:sz w:val="23"/>
                <w:szCs w:val="23"/>
                <w:color w:val="auto"/>
                <w:w w:val="80"/>
                <w:vertAlign w:val="superscript"/>
              </w:rPr>
              <w:t>(1)</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9,500</w:t>
            </w: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WTI Cushing</w:t>
            </w:r>
          </w:p>
        </w:tc>
        <w:tc>
          <w:tcPr>
            <w:tcW w:w="1120" w:type="dxa"/>
            <w:vAlign w:val="bottom"/>
          </w:tcPr>
          <w:p>
            <w:pPr>
              <w:jc w:val="center"/>
              <w:ind w:left="14"/>
              <w:spacing w:after="0"/>
              <w:rPr>
                <w:sz w:val="20"/>
                <w:szCs w:val="20"/>
                <w:color w:val="auto"/>
              </w:rPr>
            </w:pPr>
            <w:r>
              <w:rPr>
                <w:rFonts w:ascii="Arial" w:cs="Arial" w:eastAsia="Arial" w:hAnsi="Arial"/>
                <w:sz w:val="18"/>
                <w:szCs w:val="18"/>
                <w:color w:val="auto"/>
                <w:w w:val="92"/>
              </w:rPr>
              <w:t>$—</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$47.51</w:t>
            </w:r>
          </w:p>
        </w:tc>
        <w:tc>
          <w:tcPr>
            <w:tcW w:w="0" w:type="dxa"/>
            <w:vAlign w:val="bottom"/>
          </w:tcPr>
          <w:p>
            <w:pPr>
              <w:spacing w:after="0"/>
              <w:rPr>
                <w:sz w:val="1"/>
                <w:szCs w:val="1"/>
                <w:color w:val="auto"/>
              </w:rPr>
            </w:pPr>
          </w:p>
        </w:tc>
      </w:tr>
      <w:tr>
        <w:trPr>
          <w:trHeight w:val="229"/>
        </w:trPr>
        <w:tc>
          <w:tcPr>
            <w:tcW w:w="148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91"/>
              </w:rPr>
              <w:t>Apr. - Jun.</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2022</w:t>
            </w:r>
          </w:p>
        </w:tc>
        <w:tc>
          <w:tcPr>
            <w:tcW w:w="94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0"/>
              </w:rPr>
              <w:t>Puts</w:t>
            </w:r>
            <w:r>
              <w:rPr>
                <w:rFonts w:ascii="Arial" w:cs="Arial" w:eastAsia="Arial" w:hAnsi="Arial"/>
                <w:sz w:val="23"/>
                <w:szCs w:val="23"/>
                <w:color w:val="auto"/>
                <w:w w:val="80"/>
                <w:vertAlign w:val="superscript"/>
              </w:rPr>
              <w:t>(2)</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WTI Cushing</w:t>
            </w:r>
          </w:p>
        </w:tc>
        <w:tc>
          <w:tcPr>
            <w:tcW w:w="11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2"/>
              </w:rPr>
              <w:t>$—</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$47.50</w:t>
            </w:r>
          </w:p>
        </w:tc>
        <w:tc>
          <w:tcPr>
            <w:tcW w:w="0" w:type="dxa"/>
            <w:vAlign w:val="bottom"/>
          </w:tcPr>
          <w:p>
            <w:pPr>
              <w:spacing w:after="0"/>
              <w:rPr>
                <w:sz w:val="1"/>
                <w:szCs w:val="1"/>
                <w:color w:val="auto"/>
              </w:rPr>
            </w:pPr>
          </w:p>
        </w:tc>
      </w:tr>
      <w:tr>
        <w:trPr>
          <w:trHeight w:val="213"/>
        </w:trPr>
        <w:tc>
          <w:tcPr>
            <w:tcW w:w="1480" w:type="dxa"/>
            <w:vAlign w:val="bottom"/>
          </w:tcPr>
          <w:p>
            <w:pPr>
              <w:jc w:val="center"/>
              <w:ind w:right="73"/>
              <w:spacing w:after="0"/>
              <w:rPr>
                <w:sz w:val="20"/>
                <w:szCs w:val="20"/>
                <w:color w:val="auto"/>
              </w:rPr>
            </w:pPr>
            <w:r>
              <w:rPr>
                <w:rFonts w:ascii="Arial" w:cs="Arial" w:eastAsia="Arial" w:hAnsi="Arial"/>
                <w:sz w:val="16"/>
                <w:szCs w:val="16"/>
                <w:b w:val="1"/>
                <w:bCs w:val="1"/>
                <w:color w:val="auto"/>
                <w:w w:val="99"/>
              </w:rPr>
              <w:t>NATURAL GAS</w:t>
            </w: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480" w:type="dxa"/>
            <w:vAlign w:val="bottom"/>
            <w:shd w:val="clear" w:color="auto" w:fill="CCEEFF"/>
          </w:tcPr>
          <w:p>
            <w:pPr>
              <w:jc w:val="center"/>
              <w:ind w:right="73"/>
              <w:spacing w:after="0"/>
              <w:rPr>
                <w:sz w:val="20"/>
                <w:szCs w:val="20"/>
                <w:color w:val="auto"/>
              </w:rPr>
            </w:pPr>
            <w:r>
              <w:rPr>
                <w:rFonts w:ascii="Arial" w:cs="Arial" w:eastAsia="Arial" w:hAnsi="Arial"/>
                <w:sz w:val="18"/>
                <w:szCs w:val="18"/>
                <w:color w:val="auto"/>
                <w:w w:val="87"/>
              </w:rPr>
              <w:t>Jan. - Dec.</w:t>
            </w:r>
          </w:p>
        </w:tc>
        <w:tc>
          <w:tcPr>
            <w:tcW w:w="11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2022</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Collars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20,000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Henry Hub</w:t>
            </w:r>
          </w:p>
        </w:tc>
        <w:tc>
          <w:tcPr>
            <w:tcW w:w="112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2"/>
              </w:rPr>
              <w:t>$—</w:t>
            </w:r>
          </w:p>
        </w:tc>
        <w:tc>
          <w:tcPr>
            <w:tcW w:w="1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$2.50</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$4.62</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 deferred premium at a weighted average price of $1.57/Bbl.</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a deferred premium at a weighted average price of $1.55/Bbl.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11—</w:t>
      </w:r>
      <w:hyperlink w:anchor="page20">
        <w:r>
          <w:rPr>
            <w:rFonts w:ascii="Arial" w:cs="Arial" w:eastAsia="Arial" w:hAnsi="Arial"/>
            <w:sz w:val="18"/>
            <w:szCs w:val="18"/>
            <w:u w:val="single" w:color="auto"/>
            <w:color w:val="0000FF"/>
          </w:rPr>
          <w:t>Fair Value Measurements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gains and losses on derivative instruments included in the condensed consolidated statements of operations and the net cash receipts (payments) on derivatives for the periods presented: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4"/>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3"/>
          </w:tcPr>
          <w:p>
            <w:pPr>
              <w:jc w:val="right"/>
              <w:ind w:right="73"/>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6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r>
      <w:tr>
        <w:trPr>
          <w:trHeight w:val="210"/>
        </w:trPr>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00" w:type="dxa"/>
            <w:vAlign w:val="bottom"/>
            <w:gridSpan w:val="4"/>
          </w:tcPr>
          <w:p>
            <w:pPr>
              <w:jc w:val="right"/>
              <w:ind w:right="835"/>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2"/>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(47,469)</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(25,306)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(16,164)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(61,188)</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(18,718)</w:t>
            </w:r>
          </w:p>
        </w:tc>
      </w:tr>
    </w:tbl>
    <w:p>
      <w:pPr>
        <w:spacing w:after="0" w:line="318"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Partnership’s assessment of the significance of a particular input to the fair value measurements requires judgment and may affect the valuation of the assets and liabilities being measured and their placement within the fair value hierarchy. The Partnership uses appropriate valuation techniques based on available inputs to measure the fair values of its assets and liabilities.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6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assets and liabilities are reported at fair value on a recurring basis, including the Partnership’s derivative instruments. The fair values of the Partnership’s derivative contracts are measured internally using established commodity futures price strips for the underlying commodity provided by a reputable third party, the contracted notional volumes, and time to maturity. These valuations are Level 2 inputs.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6" w:lineRule="exact"/>
        <w:rPr>
          <w:sz w:val="20"/>
          <w:szCs w:val="20"/>
          <w:color w:val="auto"/>
        </w:rPr>
      </w:pPr>
    </w:p>
    <w:p>
      <w:pPr>
        <w:jc w:val="both"/>
        <w:ind w:firstLine="8"/>
        <w:spacing w:after="0" w:line="255"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gross amounts of recognized derivative assets and liabilities, (iii) the amounts offset under master netting arrangements with counterparties, and (iv) the resulting net amounts presented in the Partnership’s condensed consolidated balance sheets as of September 30, 2021 and December 31, 2020. The net amounts are classified as current or noncurrent based on their anticipated settlement dates.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4"/>
          </w:tcPr>
          <w:p>
            <w:pPr>
              <w:ind w:left="560"/>
              <w:spacing w:after="0"/>
              <w:rPr>
                <w:sz w:val="20"/>
                <w:szCs w:val="20"/>
                <w:color w:val="auto"/>
              </w:rPr>
            </w:pPr>
            <w:r>
              <w:rPr>
                <w:rFonts w:ascii="Arial" w:cs="Arial" w:eastAsia="Arial" w:hAnsi="Arial"/>
                <w:sz w:val="16"/>
                <w:szCs w:val="16"/>
                <w:b w:val="1"/>
                <w:bCs w:val="1"/>
                <w:color w:val="auto"/>
              </w:rPr>
              <w:t>As of September 30, 2021</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vMerge w:val="restart"/>
          </w:tcPr>
          <w:p>
            <w:pPr>
              <w:jc w:val="center"/>
              <w:ind w:left="755"/>
              <w:spacing w:after="0"/>
              <w:rPr>
                <w:sz w:val="20"/>
                <w:szCs w:val="20"/>
                <w:color w:val="auto"/>
              </w:rPr>
            </w:pPr>
            <w:r>
              <w:rPr>
                <w:rFonts w:ascii="Arial" w:cs="Arial" w:eastAsia="Arial" w:hAnsi="Arial"/>
                <w:sz w:val="16"/>
                <w:szCs w:val="16"/>
                <w:b w:val="1"/>
                <w:bCs w:val="1"/>
                <w:color w:val="auto"/>
                <w:w w:val="92"/>
              </w:rPr>
              <w:t>Total Gross Fair</w:t>
            </w:r>
          </w:p>
        </w:tc>
        <w:tc>
          <w:tcPr>
            <w:tcW w:w="140" w:type="dxa"/>
            <w:vAlign w:val="bottom"/>
          </w:tcPr>
          <w:p>
            <w:pPr>
              <w:spacing w:after="0"/>
              <w:rPr>
                <w:sz w:val="13"/>
                <w:szCs w:val="13"/>
                <w:color w:val="auto"/>
              </w:rPr>
            </w:pPr>
          </w:p>
        </w:tc>
        <w:tc>
          <w:tcPr>
            <w:tcW w:w="1400" w:type="dxa"/>
            <w:vAlign w:val="bottom"/>
          </w:tcPr>
          <w:p>
            <w:pPr>
              <w:jc w:val="center"/>
              <w:ind w:right="54"/>
              <w:spacing w:after="0" w:line="158" w:lineRule="exact"/>
              <w:rPr>
                <w:sz w:val="20"/>
                <w:szCs w:val="20"/>
                <w:color w:val="auto"/>
              </w:rPr>
            </w:pPr>
            <w:r>
              <w:rPr>
                <w:rFonts w:ascii="Arial" w:cs="Arial" w:eastAsia="Arial" w:hAnsi="Arial"/>
                <w:sz w:val="16"/>
                <w:szCs w:val="16"/>
                <w:b w:val="1"/>
                <w:bCs w:val="1"/>
                <w:color w:val="auto"/>
                <w:w w:val="88"/>
              </w:rPr>
              <w:t>Gross Amounts</w:t>
            </w:r>
          </w:p>
        </w:tc>
        <w:tc>
          <w:tcPr>
            <w:tcW w:w="180" w:type="dxa"/>
            <w:vAlign w:val="bottom"/>
          </w:tcPr>
          <w:p>
            <w:pPr>
              <w:spacing w:after="0"/>
              <w:rPr>
                <w:sz w:val="13"/>
                <w:szCs w:val="13"/>
                <w:color w:val="auto"/>
              </w:rPr>
            </w:pPr>
          </w:p>
        </w:tc>
        <w:tc>
          <w:tcPr>
            <w:tcW w:w="1340" w:type="dxa"/>
            <w:vAlign w:val="bottom"/>
          </w:tcPr>
          <w:p>
            <w:pPr>
              <w:jc w:val="right"/>
              <w:ind w:right="173"/>
              <w:spacing w:after="0" w:line="158" w:lineRule="exact"/>
              <w:rPr>
                <w:sz w:val="20"/>
                <w:szCs w:val="20"/>
                <w:color w:val="auto"/>
              </w:rPr>
            </w:pPr>
            <w:r>
              <w:rPr>
                <w:rFonts w:ascii="Arial" w:cs="Arial" w:eastAsia="Arial" w:hAnsi="Arial"/>
                <w:sz w:val="16"/>
                <w:szCs w:val="16"/>
                <w:b w:val="1"/>
                <w:bCs w:val="1"/>
                <w:color w:val="auto"/>
                <w:w w:val="99"/>
              </w:rPr>
              <w:t>Net Fair Value</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32"/>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Level 3</w:t>
            </w:r>
          </w:p>
        </w:tc>
        <w:tc>
          <w:tcPr>
            <w:tcW w:w="94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8"/>
              </w:rPr>
              <w:t>Value</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Sheet</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left="775"/>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Non-current:</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37,324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37,324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(1,967)</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35,357</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Non-current: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799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58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799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4"/>
          </w:tcPr>
          <w:p>
            <w:pPr>
              <w:jc w:val="center"/>
              <w:ind w:right="615"/>
              <w:spacing w:after="0"/>
              <w:rPr>
                <w:sz w:val="20"/>
                <w:szCs w:val="20"/>
                <w:color w:val="auto"/>
              </w:rPr>
            </w:pPr>
            <w:r>
              <w:rPr>
                <w:rFonts w:ascii="Arial" w:cs="Arial" w:eastAsia="Arial" w:hAnsi="Arial"/>
                <w:sz w:val="16"/>
                <w:szCs w:val="16"/>
                <w:b w:val="1"/>
                <w:bCs w:val="1"/>
                <w:color w:val="auto"/>
                <w:w w:val="91"/>
              </w:rPr>
              <w:t>As of December 31, 2020</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vMerge w:val="restart"/>
          </w:tcPr>
          <w:p>
            <w:pPr>
              <w:jc w:val="center"/>
              <w:ind w:left="736"/>
              <w:spacing w:after="0"/>
              <w:rPr>
                <w:sz w:val="20"/>
                <w:szCs w:val="20"/>
                <w:color w:val="auto"/>
              </w:rPr>
            </w:pPr>
            <w:r>
              <w:rPr>
                <w:rFonts w:ascii="Arial" w:cs="Arial" w:eastAsia="Arial" w:hAnsi="Arial"/>
                <w:sz w:val="16"/>
                <w:szCs w:val="16"/>
                <w:b w:val="1"/>
                <w:bCs w:val="1"/>
                <w:color w:val="auto"/>
                <w:w w:val="91"/>
              </w:rPr>
              <w:t>Total Gross Fair</w:t>
            </w:r>
          </w:p>
        </w:tc>
        <w:tc>
          <w:tcPr>
            <w:tcW w:w="140" w:type="dxa"/>
            <w:vAlign w:val="bottom"/>
          </w:tcPr>
          <w:p>
            <w:pPr>
              <w:spacing w:after="0"/>
              <w:rPr>
                <w:sz w:val="13"/>
                <w:szCs w:val="13"/>
                <w:color w:val="auto"/>
              </w:rPr>
            </w:pPr>
          </w:p>
        </w:tc>
        <w:tc>
          <w:tcPr>
            <w:tcW w:w="1380" w:type="dxa"/>
            <w:vAlign w:val="bottom"/>
          </w:tcPr>
          <w:p>
            <w:pPr>
              <w:jc w:val="center"/>
              <w:ind w:right="55"/>
              <w:spacing w:after="0" w:line="158" w:lineRule="exact"/>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3"/>
                <w:szCs w:val="13"/>
                <w:color w:val="auto"/>
              </w:rPr>
            </w:pPr>
          </w:p>
        </w:tc>
        <w:tc>
          <w:tcPr>
            <w:tcW w:w="1340" w:type="dxa"/>
            <w:vAlign w:val="bottom"/>
          </w:tcPr>
          <w:p>
            <w:pPr>
              <w:jc w:val="right"/>
              <w:ind w:right="175"/>
              <w:spacing w:after="0" w:line="158" w:lineRule="exact"/>
              <w:rPr>
                <w:sz w:val="20"/>
                <w:szCs w:val="20"/>
                <w:color w:val="auto"/>
              </w:rPr>
            </w:pPr>
            <w:r>
              <w:rPr>
                <w:rFonts w:ascii="Arial" w:cs="Arial" w:eastAsia="Arial" w:hAnsi="Arial"/>
                <w:sz w:val="16"/>
                <w:szCs w:val="16"/>
                <w:b w:val="1"/>
                <w:bCs w:val="1"/>
                <w:color w:val="auto"/>
                <w:w w:val="99"/>
              </w:rPr>
              <w:t>Net Fair Value</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Level 1</w:t>
            </w:r>
          </w:p>
        </w:tc>
        <w:tc>
          <w:tcPr>
            <w:tcW w:w="800" w:type="dxa"/>
            <w:vAlign w:val="bottom"/>
            <w:vMerge w:val="restart"/>
          </w:tcPr>
          <w:p>
            <w:pPr>
              <w:jc w:val="right"/>
              <w:ind w:right="133"/>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center"/>
              <w:ind w:right="35"/>
              <w:spacing w:after="0" w:line="162" w:lineRule="exact"/>
              <w:rPr>
                <w:sz w:val="20"/>
                <w:szCs w:val="20"/>
                <w:color w:val="auto"/>
              </w:rPr>
            </w:pPr>
            <w:r>
              <w:rPr>
                <w:rFonts w:ascii="Arial" w:cs="Arial" w:eastAsia="Arial" w:hAnsi="Arial"/>
                <w:sz w:val="16"/>
                <w:szCs w:val="16"/>
                <w:b w:val="1"/>
                <w:bCs w:val="1"/>
                <w:color w:val="auto"/>
                <w:w w:val="90"/>
              </w:rPr>
              <w:t>Offset in Balance</w:t>
            </w:r>
          </w:p>
        </w:tc>
        <w:tc>
          <w:tcPr>
            <w:tcW w:w="15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0"/>
              </w:rPr>
              <w:t>Presented in Balance</w:t>
            </w:r>
          </w:p>
        </w:tc>
        <w:tc>
          <w:tcPr>
            <w:tcW w:w="0" w:type="dxa"/>
            <w:vAlign w:val="bottom"/>
          </w:tcPr>
          <w:p>
            <w:pPr>
              <w:spacing w:after="0"/>
              <w:rPr>
                <w:sz w:val="1"/>
                <w:szCs w:val="1"/>
                <w:color w:val="auto"/>
              </w:rPr>
            </w:pPr>
          </w:p>
        </w:tc>
      </w:tr>
      <w:tr>
        <w:trPr>
          <w:trHeight w:val="213"/>
        </w:trPr>
        <w:tc>
          <w:tcPr>
            <w:tcW w:w="3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Level 3</w:t>
            </w:r>
          </w:p>
        </w:tc>
        <w:tc>
          <w:tcPr>
            <w:tcW w:w="94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b w:val="1"/>
                <w:bCs w:val="1"/>
                <w:color w:val="auto"/>
                <w:w w:val="87"/>
              </w:rPr>
              <w:t>Sheet</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Sheet</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center"/>
              <w:ind w:left="736"/>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20"/>
              <w:spacing w:after="0"/>
              <w:rPr>
                <w:sz w:val="20"/>
                <w:szCs w:val="20"/>
                <w:color w:val="auto"/>
              </w:rPr>
            </w:pPr>
            <w:r>
              <w:rPr>
                <w:rFonts w:ascii="Arial" w:cs="Arial" w:eastAsia="Arial" w:hAnsi="Arial"/>
                <w:sz w:val="18"/>
                <w:szCs w:val="18"/>
                <w:color w:val="auto"/>
              </w:rPr>
              <w:t>Current:</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Derivative 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44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ind w:left="580"/>
              <w:spacing w:after="0"/>
              <w:rPr>
                <w:sz w:val="20"/>
                <w:szCs w:val="20"/>
                <w:color w:val="auto"/>
              </w:rPr>
            </w:pPr>
            <w:r>
              <w:rPr>
                <w:rFonts w:ascii="Arial" w:cs="Arial" w:eastAsia="Arial" w:hAnsi="Arial"/>
                <w:sz w:val="18"/>
                <w:szCs w:val="18"/>
                <w:color w:val="auto"/>
              </w:rPr>
              <w:t>— $</w:t>
            </w:r>
          </w:p>
        </w:tc>
        <w:tc>
          <w:tcPr>
            <w:tcW w:w="800" w:type="dxa"/>
            <w:vAlign w:val="bottom"/>
          </w:tcPr>
          <w:p>
            <w:pPr>
              <w:jc w:val="right"/>
              <w:spacing w:after="0"/>
              <w:rPr>
                <w:sz w:val="20"/>
                <w:szCs w:val="20"/>
                <w:color w:val="auto"/>
              </w:rPr>
            </w:pPr>
            <w:r>
              <w:rPr>
                <w:rFonts w:ascii="Arial" w:cs="Arial" w:eastAsia="Arial" w:hAnsi="Arial"/>
                <w:sz w:val="18"/>
                <w:szCs w:val="18"/>
                <w:color w:val="auto"/>
              </w:rPr>
              <w:t>28,933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560"/>
              <w:spacing w:after="0"/>
              <w:rPr>
                <w:sz w:val="20"/>
                <w:szCs w:val="20"/>
                <w:color w:val="auto"/>
              </w:rPr>
            </w:pPr>
            <w:r>
              <w:rPr>
                <w:rFonts w:ascii="Arial" w:cs="Arial" w:eastAsia="Arial" w:hAnsi="Arial"/>
                <w:sz w:val="18"/>
                <w:szCs w:val="18"/>
                <w:color w:val="auto"/>
              </w:rPr>
              <w:t>— $</w:t>
            </w:r>
          </w:p>
        </w:tc>
        <w:tc>
          <w:tcPr>
            <w:tcW w:w="940" w:type="dxa"/>
            <w:vAlign w:val="bottom"/>
          </w:tcPr>
          <w:p>
            <w:pPr>
              <w:jc w:val="right"/>
              <w:spacing w:after="0"/>
              <w:rPr>
                <w:sz w:val="20"/>
                <w:szCs w:val="20"/>
                <w:color w:val="auto"/>
              </w:rPr>
            </w:pPr>
            <w:r>
              <w:rPr>
                <w:rFonts w:ascii="Arial" w:cs="Arial" w:eastAsia="Arial" w:hAnsi="Arial"/>
                <w:sz w:val="18"/>
                <w:szCs w:val="18"/>
                <w:color w:val="auto"/>
              </w:rPr>
              <w:t>28,933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(2,340)</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26,593</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Not Recorded at Fair Value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condensed consolidated balance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4"/>
          </w:tcPr>
          <w:p>
            <w:pPr>
              <w:ind w:left="800"/>
              <w:spacing w:after="0"/>
              <w:rPr>
                <w:sz w:val="20"/>
                <w:szCs w:val="20"/>
                <w:color w:val="auto"/>
              </w:rPr>
            </w:pPr>
            <w:r>
              <w:rPr>
                <w:rFonts w:ascii="Arial" w:cs="Arial" w:eastAsia="Arial" w:hAnsi="Arial"/>
                <w:sz w:val="16"/>
                <w:szCs w:val="16"/>
                <w:b w:val="1"/>
                <w:bCs w:val="1"/>
                <w:color w:val="auto"/>
              </w:rPr>
              <w:t>September 30, 2021</w:t>
            </w:r>
          </w:p>
        </w:tc>
        <w:tc>
          <w:tcPr>
            <w:tcW w:w="200" w:type="dxa"/>
            <w:vAlign w:val="bottom"/>
          </w:tcPr>
          <w:p>
            <w:pPr>
              <w:spacing w:after="0"/>
              <w:rPr>
                <w:sz w:val="18"/>
                <w:szCs w:val="18"/>
                <w:color w:val="auto"/>
              </w:rPr>
            </w:pPr>
          </w:p>
        </w:tc>
        <w:tc>
          <w:tcPr>
            <w:tcW w:w="3160" w:type="dxa"/>
            <w:vAlign w:val="bottom"/>
            <w:gridSpan w:val="3"/>
          </w:tcPr>
          <w:p>
            <w:pPr>
              <w:jc w:val="right"/>
              <w:ind w:right="933"/>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44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9"/>
              </w:rPr>
              <w:t>Carrying Value</w:t>
            </w:r>
          </w:p>
        </w:tc>
        <w:tc>
          <w:tcPr>
            <w:tcW w:w="3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w w:val="99"/>
              </w:rPr>
              <w:t>Carrying Value</w:t>
            </w:r>
          </w:p>
        </w:tc>
        <w:tc>
          <w:tcPr>
            <w:tcW w:w="3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gridSpan w:val="4"/>
          </w:tcPr>
          <w:p>
            <w:pPr>
              <w:jc w:val="right"/>
              <w:ind w:right="1095"/>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2"/>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Debt:</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92,000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92,000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84,000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84,000</w:t>
            </w:r>
          </w:p>
        </w:tc>
      </w:tr>
      <w:tr>
        <w:trPr>
          <w:trHeight w:val="229"/>
        </w:trPr>
        <w:tc>
          <w:tcPr>
            <w:tcW w:w="4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5.375% senior notes due 2027</w:t>
            </w:r>
            <w:r>
              <w:rPr>
                <w:rFonts w:ascii="Arial" w:cs="Arial" w:eastAsia="Arial" w:hAnsi="Arial"/>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472,452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471,644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501,439</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The carrying value includes associated deferred loan costs and any discount.</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fair value of the Operating Company’s revolving credit facility approximates the carrying value based on borrowing rates available to the Partnership for bank loans with similar terms and maturities and is classified as Level 2 in the fair value hierarchy. The fair value of the Notes was determined using the September 30, 2021 quoted market price, a Level 1 classification in the fair value hierarchy.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Partnership has other financial instruments consisting of cash and cash equivalents, royalty income receivable, other current assets, accounts payable and accrued liabilities. The carrying value of these instruments approximate their fair value because of the short-term nature of the instruments.</w:t>
      </w:r>
    </w:p>
    <w:p>
      <w:pPr>
        <w:spacing w:after="0" w:line="14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COMMITMENTS AND CONTINGENCIES</w:t>
      </w:r>
    </w:p>
    <w:p>
      <w:pPr>
        <w:spacing w:after="0" w:line="256" w:lineRule="exact"/>
        <w:rPr>
          <w:sz w:val="20"/>
          <w:szCs w:val="20"/>
          <w:color w:val="auto"/>
        </w:rPr>
      </w:pPr>
    </w:p>
    <w:p>
      <w:pPr>
        <w:jc w:val="both"/>
        <w:ind w:right="80" w:firstLine="648"/>
        <w:spacing w:after="0" w:line="269" w:lineRule="auto"/>
        <w:rPr>
          <w:sz w:val="20"/>
          <w:szCs w:val="20"/>
          <w:color w:val="auto"/>
        </w:rPr>
      </w:pPr>
      <w:r>
        <w:rPr>
          <w:rFonts w:ascii="Arial" w:cs="Arial" w:eastAsia="Arial" w:hAnsi="Arial"/>
          <w:sz w:val="17"/>
          <w:szCs w:val="17"/>
          <w:color w:val="auto"/>
        </w:rPr>
        <w:t>The Partnership is a party to various routine legal proceedings, disputes and claims from time to time arising in the ordinary course of its business, including those that arise from interpretation of federal and state laws and regulations affecting the crude oil and natural gas industry. These proceedings, disputes and claims may include differing interpretations as to the prices at which crude oil and natural gas sales may be made, the prices at which royalty owners may be paid for production from their leases, title claims, environmental issues and other matters. While the ultimate outcome of the pending proceedings, disputes or claims, and any resulting impact on the Partnership, cannot be predicted with certainty, the Partnership’s management believes that none of these matters, if ultimately decided adversely, will have a material adverse effect on the Partnership’s financial condition, results of operations or cash flows. The Partnership’s assessment is based on information known about the pending matters and its experience in contesting, litigating and settling similar matters. Actual outcomes could differ materially from the Partnership’s assessment. The Partnership records reserves for contingencies related to outstanding legal proceedings, disputes or claims when information available indicates that a loss is probable and the amount of the loss can be reasonably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Viper Energy Partners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27, 2021, the board of directors of the General Partner approved a cash distribution for the third quarter of 2021 of $0.38 per common unit, payable on November 18, 2021, to eligible unitholders of record at the close of business on November 11, 2021.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Swallowtail Acquisition</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October 1, 2021, the Partnership and the Operating Company acquired certain mineral and royalty interests from Swallowtail Royalties LLC and Swallowtail Royalties II LLC (the “Swallowtail entities”) pursuant to a definitive purchase and sale agreement for 15.25 million common units and approximately $225.0 million in cash (the “Swallowtail Acquisition”). The mineral and royalty interests acquired in the Swallowtail Acquisition represent 2,313 net royalty acres primarily in the Northern Midland Basin, of which 62% are operated by Diamondback. The Swallowtail Acquisition has an effective date of August 1, 2021. In accordance with the terms of the purchase agreement, the Partnership deposited $30.0 million into an escrow account in August 2021, which was released upon the closing of the transaction. The cash portion of this transaction was funded through a combination of cash on hand and approximately of $190.0 million borrowings under the Operating Company’s revolving credit facility. Following the completion of the Swallowtail Acquisition, Diamondback beneficially owned an approximate 54% of the Partnership’s total limited partner units outstanding.</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16">
        <w:r>
          <w:rPr>
            <w:rFonts w:ascii="Arial" w:cs="Arial" w:eastAsia="Arial" w:hAnsi="Arial"/>
            <w:sz w:val="17"/>
            <w:szCs w:val="17"/>
            <w:i w:val="1"/>
            <w:iCs w:val="1"/>
            <w:u w:val="single" w:color="auto"/>
            <w:color w:val="0000FF"/>
          </w:rPr>
          <w:t>Annual Report on 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for the year ended December 31, 2020.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page36">
        <w:r>
          <w:rPr>
            <w:rFonts w:ascii="Arial" w:cs="Arial" w:eastAsia="Arial" w:hAnsi="Arial"/>
            <w:sz w:val="17"/>
            <w:szCs w:val="17"/>
            <w:i w:val="1"/>
            <w:iCs w:val="1"/>
            <w:u w:val="single" w:color="auto"/>
            <w:color w:val="0000FF"/>
          </w:rPr>
          <w:t>Part II. Item 1A. Risk Factors</w:t>
        </w:r>
      </w:hyperlink>
      <w:r>
        <w:rPr>
          <w:rFonts w:ascii="Arial" w:cs="Arial" w:eastAsia="Arial" w:hAnsi="Arial"/>
          <w:sz w:val="17"/>
          <w:szCs w:val="17"/>
          <w:i w:val="1"/>
          <w:iCs w:val="1"/>
          <w:color w:val="auto"/>
        </w:rPr>
        <w:t>” and “</w:t>
      </w:r>
      <w:hyperlink w:anchor="page4">
        <w:r>
          <w:rPr>
            <w:rFonts w:ascii="Arial" w:cs="Arial" w:eastAsia="Arial" w:hAnsi="Arial"/>
            <w:sz w:val="17"/>
            <w:szCs w:val="17"/>
            <w:i w:val="1"/>
            <w:iCs w:val="1"/>
            <w:u w:val="single" w:color="auto"/>
            <w:color w:val="0000FF"/>
          </w:rPr>
          <w:t>Cautionary Statement Regarding Forward-Looking Statements</w:t>
        </w:r>
      </w:hyperlink>
      <w:r>
        <w:rPr>
          <w:rFonts w:ascii="Arial" w:cs="Arial" w:eastAsia="Arial" w:hAnsi="Arial"/>
          <w:sz w:val="17"/>
          <w:szCs w:val="17"/>
          <w:i w:val="1"/>
          <w:iCs w:val="1"/>
          <w:color w:val="auto"/>
        </w:rPr>
        <w:t>.”</w:t>
      </w:r>
    </w:p>
    <w:p>
      <w:pPr>
        <w:spacing w:after="0" w:line="199"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rFonts w:ascii="Arial" w:cs="Arial" w:eastAsia="Arial" w:hAnsi="Arial"/>
          <w:sz w:val="17"/>
          <w:szCs w:val="17"/>
          <w:i w:val="1"/>
          <w:iCs w:val="1"/>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a publicly traded Delaware limited partnership formed by Diamondback to own and acquire mineral and royalty interests in oil and natural gas properties primarily in the Permian Basin. We operate in one reportable segment. Since May 10, 2018, we have been treated as a corporation for U.S. federal income tax purposes.</w:t>
      </w:r>
    </w:p>
    <w:p>
      <w:pPr>
        <w:spacing w:after="0" w:line="211" w:lineRule="exact"/>
        <w:rPr>
          <w:rFonts w:ascii="Arial" w:cs="Arial" w:eastAsia="Arial" w:hAnsi="Arial"/>
          <w:sz w:val="17"/>
          <w:szCs w:val="17"/>
          <w:i w:val="1"/>
          <w:iCs w:val="1"/>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2021, our general partner held a 100% general partner interest in us, and Diamondback owned 731,500 of our common units and beneficially owned all of our 90,709,946 outstanding Class B units, representing approximately 59% of our total units outstanding. Diamondback also owns and controls our general partner.</w:t>
      </w:r>
    </w:p>
    <w:p>
      <w:pPr>
        <w:spacing w:after="0" w:line="207"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COVID-19 and Commodity Prices</w:t>
      </w:r>
    </w:p>
    <w:p>
      <w:pPr>
        <w:spacing w:after="0" w:line="252" w:lineRule="exact"/>
        <w:rPr>
          <w:rFonts w:ascii="Arial" w:cs="Arial" w:eastAsia="Arial" w:hAnsi="Arial"/>
          <w:sz w:val="17"/>
          <w:szCs w:val="17"/>
          <w:i w:val="1"/>
          <w:iCs w:val="1"/>
          <w:color w:val="auto"/>
        </w:rPr>
      </w:pPr>
    </w:p>
    <w:p>
      <w:pPr>
        <w:jc w:val="both"/>
        <w:ind w:firstLine="648"/>
        <w:spacing w:after="0" w:line="270" w:lineRule="auto"/>
        <w:rPr>
          <w:sz w:val="20"/>
          <w:szCs w:val="20"/>
          <w:color w:val="auto"/>
        </w:rPr>
      </w:pPr>
      <w:r>
        <w:rPr>
          <w:rFonts w:ascii="Arial" w:cs="Arial" w:eastAsia="Arial" w:hAnsi="Arial"/>
          <w:sz w:val="16"/>
          <w:szCs w:val="16"/>
          <w:color w:val="auto"/>
        </w:rPr>
        <w:t>In early March 2020, oil prices dropped sharply and continued to decline, briefly reaching negative levels, as a result of multiple factors affecting the supply and demand in global oil and natural gas markets, including (i) actions taken by OPEC members and other exporting nations impacting commodity price and production levels and (ii) a significant decrease in demand due to the COVID-19 pandemic. Additionally, the Delta variant emerged in March 2021 and became highly transmissible in July 2021, which contributed to additional pricing and demand volatility during the third quarter of 2021. However, certain restrictions on conducting business that were implemented in response to the COVID-19 pandemic have been lifted as improved treatments and vaccinations for COVID-19 have been rolled-out globally since late 2020. As a result, oil and natural gas market prices have improved in response to the increase in demand. During 2020 and 2021, the posted price for West Texas intermediate light sweet crude oil, or NYMEX WTI, has ranged from $(37.63) to $80.64 Bbl, and the NYMEX Henry Hub price of natural gas has ranged from $1.48 to $6.31 per MMBtu. On October 13, 2021, the closing NYMEX WTI price for crude oil was $80.44 per Bbl and the closing NYMEX Henry Hub price of natural gas was $5.59 per MMBtu. Commodity prices have historically been volatile and we cannot predict events which may lead to future fluctuations in these prices.</w:t>
      </w:r>
    </w:p>
    <w:p>
      <w:pPr>
        <w:spacing w:after="0" w:line="185" w:lineRule="exact"/>
        <w:rPr>
          <w:rFonts w:ascii="Arial" w:cs="Arial" w:eastAsia="Arial" w:hAnsi="Arial"/>
          <w:sz w:val="17"/>
          <w:szCs w:val="17"/>
          <w:i w:val="1"/>
          <w:iCs w:val="1"/>
          <w:color w:val="auto"/>
        </w:rPr>
      </w:pPr>
    </w:p>
    <w:p>
      <w:pPr>
        <w:jc w:val="both"/>
        <w:ind w:firstLine="648"/>
        <w:spacing w:after="0" w:line="256" w:lineRule="auto"/>
        <w:rPr>
          <w:sz w:val="20"/>
          <w:szCs w:val="20"/>
          <w:color w:val="auto"/>
        </w:rPr>
      </w:pPr>
      <w:r>
        <w:rPr>
          <w:rFonts w:ascii="Arial" w:cs="Arial" w:eastAsia="Arial" w:hAnsi="Arial"/>
          <w:sz w:val="16"/>
          <w:szCs w:val="16"/>
          <w:color w:val="auto"/>
        </w:rPr>
        <w:t>As a result of the reduction in crude oil demand caused by factors discussed above, Diamondback and other operators on properties in which we have mineral and royalty interests lowered their 2020 capital budgets and production guidance. However, Diamondback and certain of our other operators have since restored curtailed production. Although demand for oil and natural gas and commodity prices have recently increased, Diamondback and certain of our other operators have kept production on our acreage relatively flat during the first nine months of 2021, using excess cash flow for debt repayment and/or return to their stockholders rather than expanding their drilling programs. Diamondback also indicated that it intends to continue exercising capital discipline and maintaining its fourth quarter 2021 oil production flat in 2022. We cannot reasonably predict whether production levels will remain at current levels or the impact the full extent of the events above and subsequent recovery may have on our industry and our business.</w:t>
      </w:r>
    </w:p>
    <w:p>
      <w:pPr>
        <w:spacing w:after="0" w:line="206" w:lineRule="exact"/>
        <w:rPr>
          <w:rFonts w:ascii="Arial" w:cs="Arial" w:eastAsia="Arial" w:hAnsi="Arial"/>
          <w:sz w:val="17"/>
          <w:szCs w:val="17"/>
          <w:i w:val="1"/>
          <w:iCs w:val="1"/>
          <w:color w:val="auto"/>
        </w:rPr>
      </w:pPr>
    </w:p>
    <w:p>
      <w:pPr>
        <w:jc w:val="both"/>
        <w:ind w:firstLine="648"/>
        <w:spacing w:after="0" w:line="243" w:lineRule="auto"/>
        <w:rPr>
          <w:sz w:val="20"/>
          <w:szCs w:val="20"/>
          <w:color w:val="auto"/>
        </w:rPr>
      </w:pPr>
      <w:r>
        <w:rPr>
          <w:rFonts w:ascii="Arial" w:cs="Arial" w:eastAsia="Arial" w:hAnsi="Arial"/>
          <w:sz w:val="18"/>
          <w:szCs w:val="18"/>
          <w:color w:val="auto"/>
        </w:rPr>
        <w:t>Based on the results of the quarterly ceiling test, we were not required to record an impairment on our proved oil and natural gas interests for the quarter ended September 30, 2021. If commodity prices fall below current levels, we may be required to record impairments in future periods and such impairments could be material. Further, if commodity prices decrease, our production, proved reserves and cash flows may be adversely impacted. Our business may also be adversely impacted by any pipeline capacity and storage constraints.</w:t>
      </w: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368" w:lineRule="exact"/>
        <w:rPr>
          <w:rFonts w:ascii="Arial" w:cs="Arial" w:eastAsia="Arial" w:hAnsi="Arial"/>
          <w:sz w:val="17"/>
          <w:szCs w:val="17"/>
          <w:i w:val="1"/>
          <w:iCs w:val="1"/>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Divestitures Update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Swallowtail Acquisition</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1, 2021, we completed the acquisition of certain mineral and royalty interests from Swallowtail Royalties LLC and Swallowtail Royalties II LLC for approximately 15.25 million of our common units and approximately $225.0 million in cash. The mineral and royalty interests acquired in the Swallowtail Acquisition represent approximately 2,313 net royalty acres primarily in the Northern Midland Basin, of which approximately 62% are operated by Diamondback. The Swallowtail Acquisition has an effective date of August 1, 2021. We funded the cash portion of the purchase price for the Swallowtail Acquisition through a combination of cash on hand and approximately $190.0 million of borrowings under the Operating Company’s revolving credit facility.</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of the Swallowtail Acquisition, our footprint of mineral and royalty interests increased to a total of 26,281 net royalty acres at October 1,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Distributions on Common Units</w:t>
      </w:r>
    </w:p>
    <w:p>
      <w:pPr>
        <w:spacing w:after="0" w:line="239" w:lineRule="exact"/>
        <w:rPr>
          <w:sz w:val="20"/>
          <w:szCs w:val="20"/>
          <w:color w:val="auto"/>
        </w:rPr>
      </w:pPr>
    </w:p>
    <w:p>
      <w:pPr>
        <w:jc w:val="both"/>
        <w:ind w:left="40" w:firstLine="608"/>
        <w:spacing w:after="0" w:line="258" w:lineRule="auto"/>
        <w:rPr>
          <w:sz w:val="20"/>
          <w:szCs w:val="20"/>
          <w:color w:val="auto"/>
        </w:rPr>
      </w:pPr>
      <w:r>
        <w:rPr>
          <w:rFonts w:ascii="Arial" w:cs="Arial" w:eastAsia="Arial" w:hAnsi="Arial"/>
          <w:sz w:val="16"/>
          <w:szCs w:val="16"/>
          <w:color w:val="auto"/>
        </w:rPr>
        <w:t>On October 27, 2021, the board of directors of our general partner declared a cash distribution for the three months ended September 30, 2021 of $0.38 per common unit, maintaining our distribution from the second quarter of 2021 of 70% of cash available for distribution. The distribution is payable on November 18, 2021 to eligible common unitholders of record at the close of business on November 11, 2021. Net debt decreased in the third quarter of 2020 from peak levels due to strong free cash flow generation, as well as an improved forward outlook for production, realized pricing and free cash flow yield. These were primarily driven by Diamondback’s anticipated development plan and benefits from our 2021 hedging arrangements. We expect to continue to generate robust amounts of free cash flow and subsequently use that cash to both reduce debt and increase our return on capital to unitholders.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Operational Update</w:t>
      </w:r>
    </w:p>
    <w:p>
      <w:pPr>
        <w:spacing w:after="0" w:line="225"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8"/>
          <w:szCs w:val="18"/>
          <w:color w:val="auto"/>
        </w:rPr>
        <w:t>Our business has rebounded strongly from the unprecedented volatility experienced throughout 2020 as commodity prices have increased and activity has returned to our acreage. Third party operated net wells turned to production on our acreage during the third quarter of 2021 are at their highest level since the first quarter of 2020. There are currently 35 rigs operating on our mineral and royalty acreage, five of which are operated by Diamondback. Our production and free cash flow outlook is expected to be driven by Diamondback’s continued focus on developing our acreage, as well as our exposure to other well-capitalized operators in the Permian Basin. We have increased our production outlook for 2021 and have a high level of visibility into Diamondback’s expected forward development plan that is expected to bolster oil production for Viper not only for the next several quarters, but in the coming years.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gross well information as of the dates indicated, inclusive of the Swallowtail Acquisition: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Diamondback</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Third Party</w:t>
            </w:r>
          </w:p>
        </w:tc>
        <w:tc>
          <w:tcPr>
            <w:tcW w:w="1100" w:type="dxa"/>
            <w:vAlign w:val="bottom"/>
            <w:vMerge w:val="restart"/>
          </w:tcPr>
          <w:p>
            <w:pPr>
              <w:jc w:val="right"/>
              <w:ind w:right="2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18"/>
                <w:szCs w:val="18"/>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Operated</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Operated</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940" w:type="dxa"/>
            <w:vAlign w:val="bottom"/>
            <w:tcBorders>
              <w:top w:val="single" w:sz="8" w:color="CCEEFF"/>
            </w:tcBorders>
            <w:shd w:val="clear" w:color="auto" w:fill="CCEEFF"/>
          </w:tcPr>
          <w:p>
            <w:pPr>
              <w:ind w:left="20"/>
              <w:spacing w:after="0" w:line="199" w:lineRule="exact"/>
              <w:rPr>
                <w:sz w:val="20"/>
                <w:szCs w:val="20"/>
                <w:color w:val="auto"/>
              </w:rPr>
            </w:pPr>
            <w:r>
              <w:rPr>
                <w:rFonts w:ascii="Arial" w:cs="Arial" w:eastAsia="Arial" w:hAnsi="Arial"/>
                <w:sz w:val="16"/>
                <w:szCs w:val="16"/>
                <w:b w:val="1"/>
                <w:bCs w:val="1"/>
                <w:color w:val="auto"/>
              </w:rPr>
              <w:t>Horizontal wells turned to production (third quarter 2021)</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w:t>
            </w:r>
          </w:p>
        </w:tc>
        <w:tc>
          <w:tcPr>
            <w:tcW w:w="1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4.0 %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0.7 %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Horizontal producing well count (as of October 11, 2021):</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97.7</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Horizontal active development well count (as of October 11, 2021)</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tcPr>
          <w:p>
            <w:pPr>
              <w:jc w:val="right"/>
              <w:spacing w:after="0"/>
              <w:rPr>
                <w:sz w:val="20"/>
                <w:szCs w:val="20"/>
                <w:color w:val="auto"/>
              </w:rPr>
            </w:pPr>
            <w:r>
              <w:rPr>
                <w:rFonts w:ascii="Arial" w:cs="Arial" w:eastAsia="Arial" w:hAnsi="Arial"/>
                <w:sz w:val="18"/>
                <w:szCs w:val="18"/>
                <w:color w:val="auto"/>
              </w:rPr>
              <w:t>5.7 %</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0.8 %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Line of sight wells (as of October 11, 2021)</w:t>
            </w:r>
            <w:r>
              <w:rPr>
                <w:rFonts w:ascii="Arial" w:cs="Arial" w:eastAsia="Arial" w:hAnsi="Arial"/>
                <w:sz w:val="21"/>
                <w:szCs w:val="21"/>
                <w:b w:val="1"/>
                <w:bCs w:val="1"/>
                <w:color w:val="auto"/>
                <w:vertAlign w:val="superscript"/>
              </w:rPr>
              <w:t>(3)</w:t>
            </w:r>
            <w:r>
              <w:rPr>
                <w:rFonts w:ascii="Arial" w:cs="Arial" w:eastAsia="Arial" w:hAnsi="Arial"/>
                <w:sz w:val="16"/>
                <w:szCs w:val="16"/>
                <w:b w:val="1"/>
                <w:bCs w:val="1"/>
                <w:color w:val="auto"/>
              </w:rPr>
              <w:t>:</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wells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0"/>
        </w:trPr>
        <w:tc>
          <w:tcPr>
            <w:tcW w:w="6940" w:type="dxa"/>
            <w:vAlign w:val="bottom"/>
          </w:tcPr>
          <w:p>
            <w:pPr>
              <w:ind w:left="240"/>
              <w:spacing w:after="0"/>
              <w:rPr>
                <w:sz w:val="20"/>
                <w:szCs w:val="20"/>
                <w:color w:val="auto"/>
              </w:rPr>
            </w:pPr>
            <w:r>
              <w:rPr>
                <w:rFonts w:ascii="Arial" w:cs="Arial" w:eastAsia="Arial" w:hAnsi="Arial"/>
                <w:sz w:val="18"/>
                <w:szCs w:val="18"/>
                <w:color w:val="auto"/>
              </w:rPr>
              <w:t>Net 100% royalty interest wells</w:t>
            </w:r>
          </w:p>
        </w:tc>
        <w:tc>
          <w:tcPr>
            <w:tcW w:w="158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Average percent net royalty interest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lateral length of 10,163.</w:t>
      </w:r>
    </w:p>
    <w:p>
      <w:pPr>
        <w:spacing w:after="0" w:line="11" w:lineRule="exact"/>
        <w:rPr>
          <w:rFonts w:ascii="Arial" w:cs="Arial" w:eastAsia="Arial" w:hAnsi="Arial"/>
          <w:sz w:val="18"/>
          <w:szCs w:val="18"/>
          <w:color w:val="auto"/>
        </w:rPr>
      </w:pPr>
    </w:p>
    <w:p>
      <w:pPr>
        <w:ind w:left="260" w:hanging="252"/>
        <w:spacing w:after="0" w:line="234" w:lineRule="auto"/>
        <w:tabs>
          <w:tab w:leader="none" w:pos="27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570 gross wells currently in the process of active development are those wells that have been spud and are expected to be turned to production within approximately the next six to eight months.</w:t>
      </w:r>
    </w:p>
    <w:p>
      <w:pPr>
        <w:spacing w:after="0" w:line="1" w:lineRule="exact"/>
        <w:rPr>
          <w:rFonts w:ascii="Arial" w:cs="Arial" w:eastAsia="Arial" w:hAnsi="Arial"/>
          <w:sz w:val="18"/>
          <w:szCs w:val="18"/>
          <w:color w:val="auto"/>
        </w:rPr>
      </w:pPr>
    </w:p>
    <w:p>
      <w:pPr>
        <w:jc w:val="both"/>
        <w:ind w:left="260" w:hanging="252"/>
        <w:spacing w:after="0" w:line="238" w:lineRule="auto"/>
        <w:tabs>
          <w:tab w:leader="none" w:pos="27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492 gross line-of-sight wells are those that are not currently in the process of active development, but for which we have reason to believe that they will be turned to production within approximately the next 15 to 18 months. The expected timing of these line-of-sight wells is based primarily on permitting by third party operators or Diamondback’s current expected completion schedule. Existing permits or active development of our royalty acreage does not ensure that those wells will be turned to production given the volatility in oil prices.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income and expenses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spacing w:after="0"/>
              <w:rPr>
                <w:sz w:val="20"/>
                <w:szCs w:val="20"/>
                <w:color w:val="auto"/>
              </w:rPr>
            </w:pPr>
            <w:r>
              <w:rPr>
                <w:rFonts w:ascii="Arial" w:cs="Arial" w:eastAsia="Arial" w:hAnsi="Arial"/>
                <w:sz w:val="16"/>
                <w:szCs w:val="16"/>
                <w:b w:val="1"/>
                <w:bCs w:val="1"/>
                <w:color w:val="auto"/>
                <w:w w:val="99"/>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70"/>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5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r>
      <w:tr>
        <w:trPr>
          <w:trHeight w:val="209"/>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ind w:left="58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Oil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100,154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53,595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272,450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153,412</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w:t>
            </w:r>
          </w:p>
        </w:tc>
      </w:tr>
      <w:tr>
        <w:trPr>
          <w:trHeight w:val="229"/>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Natural gas liquids income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13,536</w:t>
            </w:r>
          </w:p>
        </w:tc>
      </w:tr>
      <w:tr>
        <w:trPr>
          <w:trHeight w:val="223"/>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Royalty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171,857</w:t>
            </w: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Lease bonus income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1,685</w:t>
            </w: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operating income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23"/>
        </w:trPr>
        <w:tc>
          <w:tcPr>
            <w:tcW w:w="5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operating income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174,303</w:t>
            </w:r>
          </w:p>
        </w:tc>
      </w:tr>
      <w:tr>
        <w:trPr>
          <w:trHeight w:val="19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5640" w:type="dxa"/>
            <w:vAlign w:val="bottom"/>
          </w:tcPr>
          <w:p>
            <w:pPr>
              <w:ind w:left="360"/>
              <w:spacing w:after="0"/>
              <w:rPr>
                <w:sz w:val="20"/>
                <w:szCs w:val="20"/>
                <w:color w:val="auto"/>
              </w:rPr>
            </w:pPr>
            <w:r>
              <w:rPr>
                <w:rFonts w:ascii="Arial" w:cs="Arial" w:eastAsia="Arial" w:hAnsi="Arial"/>
                <w:sz w:val="18"/>
                <w:szCs w:val="18"/>
                <w:color w:val="auto"/>
              </w:rPr>
              <w:t>Production and ad valorem taxes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23,426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14,306</w:t>
            </w:r>
          </w:p>
        </w:tc>
      </w:tr>
      <w:tr>
        <w:trPr>
          <w:trHeight w:val="229"/>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Depletion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72,204</w:t>
            </w:r>
          </w:p>
        </w:tc>
      </w:tr>
      <w:tr>
        <w:trPr>
          <w:trHeight w:val="230"/>
        </w:trPr>
        <w:tc>
          <w:tcPr>
            <w:tcW w:w="5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w:t>
            </w:r>
          </w:p>
        </w:tc>
      </w:tr>
      <w:tr>
        <w:trPr>
          <w:trHeight w:val="223"/>
        </w:trPr>
        <w:tc>
          <w:tcPr>
            <w:tcW w:w="56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103,774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92,670</w:t>
            </w:r>
          </w:p>
        </w:tc>
      </w:tr>
      <w:tr>
        <w:trPr>
          <w:trHeight w:val="223"/>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92,278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235,356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81,633</w:t>
            </w: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(24,870)</w:t>
            </w: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derivative instruments, net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(47,469)</w:t>
            </w:r>
          </w:p>
        </w:tc>
      </w:tr>
      <w:tr>
        <w:trPr>
          <w:trHeight w:val="229"/>
        </w:trPr>
        <w:tc>
          <w:tcPr>
            <w:tcW w:w="5640" w:type="dxa"/>
            <w:vAlign w:val="bottom"/>
          </w:tcPr>
          <w:p>
            <w:pPr>
              <w:ind w:left="360"/>
              <w:spacing w:after="0"/>
              <w:rPr>
                <w:sz w:val="20"/>
                <w:szCs w:val="20"/>
                <w:color w:val="auto"/>
              </w:rPr>
            </w:pPr>
            <w:r>
              <w:rPr>
                <w:rFonts w:ascii="Arial" w:cs="Arial" w:eastAsia="Arial" w:hAnsi="Arial"/>
                <w:sz w:val="18"/>
                <w:szCs w:val="18"/>
                <w:color w:val="auto"/>
              </w:rPr>
              <w:t>Gain (loss) on revaluation of investment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(8,661)</w:t>
            </w:r>
          </w:p>
        </w:tc>
      </w:tr>
      <w:tr>
        <w:trPr>
          <w:trHeight w:val="230"/>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r>
      <w:tr>
        <w:trPr>
          <w:trHeight w:val="223"/>
        </w:trPr>
        <w:tc>
          <w:tcPr>
            <w:tcW w:w="56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(17,927)</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(15,118)</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(94,733)</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(79,889)</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142,466</w:t>
            </w:r>
          </w:p>
        </w:tc>
      </w:tr>
      <w:tr>
        <w:trPr>
          <w:trHeight w:val="223"/>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73,445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139,682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(140,722)</w:t>
            </w: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121,208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23,963</w:t>
            </w:r>
          </w:p>
        </w:tc>
      </w:tr>
      <w:tr>
        <w:trPr>
          <w:trHeight w:val="24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(164,685)</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production data, average sales prices and average costs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2800" w:type="dxa"/>
            <w:vAlign w:val="bottom"/>
            <w:gridSpan w:val="6"/>
          </w:tcPr>
          <w:p>
            <w:pPr>
              <w:ind w:left="100"/>
              <w:spacing w:after="0"/>
              <w:rPr>
                <w:sz w:val="20"/>
                <w:szCs w:val="20"/>
                <w:color w:val="auto"/>
              </w:rPr>
            </w:pPr>
            <w:r>
              <w:rPr>
                <w:rFonts w:ascii="Arial" w:cs="Arial" w:eastAsia="Arial" w:hAnsi="Arial"/>
                <w:sz w:val="16"/>
                <w:szCs w:val="16"/>
                <w:b w:val="1"/>
                <w:bCs w:val="1"/>
                <w:color w:val="auto"/>
                <w:w w:val="98"/>
              </w:rPr>
              <w:t>Three Months Ended September 30,</w:t>
            </w:r>
          </w:p>
        </w:tc>
        <w:tc>
          <w:tcPr>
            <w:tcW w:w="120" w:type="dxa"/>
            <w:vAlign w:val="bottom"/>
          </w:tcPr>
          <w:p>
            <w:pPr>
              <w:spacing w:after="0"/>
              <w:rPr>
                <w:sz w:val="18"/>
                <w:szCs w:val="18"/>
                <w:color w:val="auto"/>
              </w:rPr>
            </w:pPr>
          </w:p>
        </w:tc>
        <w:tc>
          <w:tcPr>
            <w:tcW w:w="2580" w:type="dxa"/>
            <w:vAlign w:val="bottom"/>
            <w:gridSpan w:val="4"/>
          </w:tcPr>
          <w:p>
            <w:pPr>
              <w:jc w:val="right"/>
              <w:ind w:right="50"/>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57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2020</w:t>
            </w:r>
          </w:p>
        </w:tc>
      </w:tr>
      <w:tr>
        <w:trPr>
          <w:trHeight w:val="199"/>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 data:</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Oil (MBbls)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4,359</w:t>
            </w:r>
          </w:p>
        </w:tc>
      </w:tr>
      <w:tr>
        <w:trPr>
          <w:trHeight w:val="229"/>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(MMcf)</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w:t>
            </w: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Natural gas liquids (MBbls)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1,402</w:t>
            </w:r>
          </w:p>
        </w:tc>
      </w:tr>
      <w:tr>
        <w:trPr>
          <w:trHeight w:val="230"/>
        </w:trPr>
        <w:tc>
          <w:tcPr>
            <w:tcW w:w="57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volumes (MBOE)</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w:t>
            </w:r>
          </w:p>
        </w:tc>
      </w:tr>
      <w:tr>
        <w:trPr>
          <w:trHeight w:val="270"/>
        </w:trPr>
        <w:tc>
          <w:tcPr>
            <w:tcW w:w="5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 daily oil volumes (BO/d)</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15,907</w:t>
            </w: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Average daily combined volumes (BOE/d)</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27,015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26,165</w:t>
            </w:r>
          </w:p>
        </w:tc>
      </w:tr>
      <w:tr>
        <w:trPr>
          <w:trHeight w:val="270"/>
        </w:trPr>
        <w:tc>
          <w:tcPr>
            <w:tcW w:w="5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Average sales prices: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2"/>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Oil ($/Bbl)</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r>
      <w:tr>
        <w:trPr>
          <w:trHeight w:val="229"/>
        </w:trPr>
        <w:tc>
          <w:tcPr>
            <w:tcW w:w="5740" w:type="dxa"/>
            <w:vAlign w:val="bottom"/>
          </w:tcPr>
          <w:p>
            <w:pPr>
              <w:ind w:left="180"/>
              <w:spacing w:after="0"/>
              <w:rPr>
                <w:sz w:val="20"/>
                <w:szCs w:val="20"/>
                <w:color w:val="auto"/>
              </w:rPr>
            </w:pPr>
            <w:r>
              <w:rPr>
                <w:rFonts w:ascii="Arial" w:cs="Arial" w:eastAsia="Arial" w:hAnsi="Arial"/>
                <w:sz w:val="18"/>
                <w:szCs w:val="18"/>
                <w:color w:val="auto"/>
              </w:rPr>
              <w:t>Natural gas ($/Mcf)</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0.58</w:t>
            </w:r>
          </w:p>
        </w:tc>
      </w:tr>
      <w:tr>
        <w:trPr>
          <w:trHeight w:val="230"/>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Natural gas liquids ($/Bbl)</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r>
      <w:tr>
        <w:trPr>
          <w:trHeight w:val="229"/>
        </w:trPr>
        <w:tc>
          <w:tcPr>
            <w:tcW w:w="5740" w:type="dxa"/>
            <w:vAlign w:val="bottom"/>
          </w:tcPr>
          <w:p>
            <w:pPr>
              <w:ind w:left="180"/>
              <w:spacing w:after="0" w:line="230" w:lineRule="exact"/>
              <w:rPr>
                <w:sz w:val="20"/>
                <w:szCs w:val="20"/>
                <w:color w:val="auto"/>
              </w:rPr>
            </w:pPr>
            <w:r>
              <w:rPr>
                <w:rFonts w:ascii="Arial" w:cs="Arial" w:eastAsia="Arial" w:hAnsi="Arial"/>
                <w:sz w:val="18"/>
                <w:szCs w:val="18"/>
                <w:color w:val="auto"/>
              </w:rPr>
              <w:t>Combined ($/BOE)</w:t>
            </w:r>
            <w:r>
              <w:rPr>
                <w:rFonts w:ascii="Arial" w:cs="Arial" w:eastAsia="Arial" w:hAnsi="Arial"/>
                <w:sz w:val="23"/>
                <w:szCs w:val="23"/>
                <w:color w:val="auto"/>
                <w:vertAlign w:val="superscript"/>
              </w:rPr>
              <w:t>(2)</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50.24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25.76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45.78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23.97</w:t>
            </w:r>
          </w:p>
        </w:tc>
      </w:tr>
      <w:tr>
        <w:trPr>
          <w:trHeight w:val="270"/>
        </w:trPr>
        <w:tc>
          <w:tcPr>
            <w:tcW w:w="57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29"/>
        </w:trPr>
        <w:tc>
          <w:tcPr>
            <w:tcW w:w="5740" w:type="dxa"/>
            <w:vAlign w:val="bottom"/>
          </w:tcPr>
          <w:p>
            <w:pPr>
              <w:ind w:left="180"/>
              <w:spacing w:after="0" w:line="230" w:lineRule="exact"/>
              <w:rPr>
                <w:sz w:val="20"/>
                <w:szCs w:val="20"/>
                <w:color w:val="auto"/>
              </w:rPr>
            </w:pPr>
            <w:r>
              <w:rPr>
                <w:rFonts w:ascii="Arial" w:cs="Arial" w:eastAsia="Arial" w:hAnsi="Arial"/>
                <w:sz w:val="18"/>
                <w:szCs w:val="18"/>
                <w:color w:val="auto"/>
              </w:rPr>
              <w:t>Oil, hedged ($/Bbl)</w:t>
            </w:r>
            <w:r>
              <w:rPr>
                <w:rFonts w:ascii="Arial" w:cs="Arial" w:eastAsia="Arial" w:hAnsi="Arial"/>
                <w:sz w:val="23"/>
                <w:szCs w:val="23"/>
                <w:color w:val="auto"/>
                <w:vertAlign w:val="superscript"/>
              </w:rPr>
              <w:t>(3)</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50.57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32.56</w:t>
            </w:r>
          </w:p>
        </w:tc>
      </w:tr>
      <w:tr>
        <w:trPr>
          <w:trHeight w:val="230"/>
        </w:trPr>
        <w:tc>
          <w:tcPr>
            <w:tcW w:w="57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Natural gas, hedged ($/Mcf)</w:t>
            </w:r>
            <w:r>
              <w:rPr>
                <w:rFonts w:ascii="Arial" w:cs="Arial" w:eastAsia="Arial" w:hAnsi="Arial"/>
                <w:sz w:val="23"/>
                <w:szCs w:val="23"/>
                <w:color w:val="auto"/>
                <w:vertAlign w:val="superscript"/>
              </w:rPr>
              <w:t>(3)</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29"/>
        </w:trPr>
        <w:tc>
          <w:tcPr>
            <w:tcW w:w="5740" w:type="dxa"/>
            <w:vAlign w:val="bottom"/>
          </w:tcPr>
          <w:p>
            <w:pPr>
              <w:ind w:left="180"/>
              <w:spacing w:after="0" w:line="230" w:lineRule="exact"/>
              <w:rPr>
                <w:sz w:val="20"/>
                <w:szCs w:val="20"/>
                <w:color w:val="auto"/>
              </w:rPr>
            </w:pPr>
            <w:r>
              <w:rPr>
                <w:rFonts w:ascii="Arial" w:cs="Arial" w:eastAsia="Arial" w:hAnsi="Arial"/>
                <w:sz w:val="18"/>
                <w:szCs w:val="18"/>
                <w:color w:val="auto"/>
              </w:rPr>
              <w:t>Natural gas liquids ($/Bbl)</w:t>
            </w:r>
            <w:r>
              <w:rPr>
                <w:rFonts w:ascii="Arial" w:cs="Arial" w:eastAsia="Arial" w:hAnsi="Arial"/>
                <w:sz w:val="23"/>
                <w:szCs w:val="23"/>
                <w:color w:val="auto"/>
                <w:vertAlign w:val="superscript"/>
              </w:rPr>
              <w:t>(3)</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30.66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30"/>
        </w:trPr>
        <w:tc>
          <w:tcPr>
            <w:tcW w:w="57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Combined price, hedged ($/BOE)</w:t>
            </w:r>
            <w:r>
              <w:rPr>
                <w:rFonts w:ascii="Arial" w:cs="Arial" w:eastAsia="Arial" w:hAnsi="Arial"/>
                <w:sz w:val="23"/>
                <w:szCs w:val="23"/>
                <w:color w:val="auto"/>
                <w:vertAlign w:val="superscript"/>
              </w:rPr>
              <w:t>(3)</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w:t>
            </w:r>
          </w:p>
        </w:tc>
      </w:tr>
      <w:tr>
        <w:trPr>
          <w:trHeight w:val="270"/>
        </w:trPr>
        <w:tc>
          <w:tcPr>
            <w:tcW w:w="5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costs ($/BOE):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Production and ad valorem taxes</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57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General and administrative - cash component</w:t>
            </w:r>
            <w:r>
              <w:rPr>
                <w:rFonts w:ascii="Arial" w:cs="Arial" w:eastAsia="Arial" w:hAnsi="Arial"/>
                <w:sz w:val="23"/>
                <w:szCs w:val="23"/>
                <w:color w:val="auto"/>
                <w:vertAlign w:val="superscript"/>
              </w:rPr>
              <w:t>(4)</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r>
      <w:tr>
        <w:trPr>
          <w:trHeight w:val="223"/>
        </w:trPr>
        <w:tc>
          <w:tcPr>
            <w:tcW w:w="5740" w:type="dxa"/>
            <w:vAlign w:val="bottom"/>
          </w:tcPr>
          <w:p>
            <w:pPr>
              <w:ind w:left="220"/>
              <w:spacing w:after="0"/>
              <w:rPr>
                <w:sz w:val="20"/>
                <w:szCs w:val="20"/>
                <w:color w:val="auto"/>
              </w:rPr>
            </w:pPr>
            <w:r>
              <w:rPr>
                <w:rFonts w:ascii="Arial" w:cs="Arial" w:eastAsia="Arial" w:hAnsi="Arial"/>
                <w:sz w:val="18"/>
                <w:szCs w:val="18"/>
                <w:color w:val="auto"/>
              </w:rPr>
              <w:t>Total operating expense - cash</w:t>
            </w: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5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General and administrative - non-cash unit compensation expense</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0.13</w:t>
            </w:r>
          </w:p>
        </w:tc>
      </w:tr>
      <w:tr>
        <w:trPr>
          <w:trHeight w:val="229"/>
        </w:trPr>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30"/>
        </w:trPr>
        <w:tc>
          <w:tcPr>
            <w:tcW w:w="5740" w:type="dxa"/>
            <w:vAlign w:val="bottom"/>
          </w:tcPr>
          <w:p>
            <w:pPr>
              <w:ind w:left="140"/>
              <w:spacing w:after="0"/>
              <w:rPr>
                <w:sz w:val="20"/>
                <w:szCs w:val="20"/>
                <w:color w:val="auto"/>
              </w:rPr>
            </w:pPr>
            <w:r>
              <w:rPr>
                <w:rFonts w:ascii="Arial" w:cs="Arial" w:eastAsia="Arial" w:hAnsi="Arial"/>
                <w:sz w:val="18"/>
                <w:szCs w:val="18"/>
                <w:color w:val="auto"/>
              </w:rPr>
              <w:t>Depletion</w:t>
            </w: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10.07</w:t>
            </w:r>
          </w:p>
        </w:tc>
      </w:tr>
    </w:tbl>
    <w:p>
      <w:pPr>
        <w:spacing w:after="0" w:line="79"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Bbl equivalents are calculated using a conversion rate of six Mcf per one Bbl.</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Realized price net of all deducts for gathering, transportation and processing.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Hedged prices reflect the impact of cash settlements of our matured commodity derivative transactions on our average sales prices.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non-cash unit-based compensation expense for the respective periods presented.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2021 and 2020</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Royalty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royalty income is a function of oil, natural gas liquids and natural gas production volumes sold and average prices received for those volumes.</w:t>
      </w:r>
    </w:p>
    <w:p>
      <w:pPr>
        <w:spacing w:after="0" w:line="275" w:lineRule="exact"/>
        <w:rPr>
          <w:sz w:val="20"/>
          <w:szCs w:val="20"/>
          <w:color w:val="auto"/>
        </w:rPr>
      </w:pPr>
    </w:p>
    <w:p>
      <w:pPr>
        <w:jc w:val="both"/>
        <w:ind w:firstLine="648"/>
        <w:spacing w:after="0" w:line="259" w:lineRule="auto"/>
        <w:rPr>
          <w:rFonts w:ascii="Arial" w:cs="Arial" w:eastAsia="Arial" w:hAnsi="Arial"/>
          <w:sz w:val="18"/>
          <w:szCs w:val="18"/>
          <w:color w:val="auto"/>
        </w:rPr>
      </w:pPr>
      <w:r>
        <w:rPr>
          <w:rFonts w:ascii="Arial" w:cs="Arial" w:eastAsia="Arial" w:hAnsi="Arial"/>
          <w:sz w:val="18"/>
          <w:szCs w:val="18"/>
          <w:color w:val="auto"/>
        </w:rPr>
        <w:t>Royalty income increased $65.1 million and $165.8 million during the three and nine months ended September 30, 2021, respectively, compared to the same periods in 2020. Higher average prices contributed approximately $63.4 million and $164.7 million of the total increases, respectively, due largely to the recovery in oil prices, and to a lesser extent, natural gas and natural gas liquids prices from historic lows experienced in the 2020 periods as discussed in “—</w:t>
      </w:r>
      <w:hyperlink w:anchor="page24">
        <w:r>
          <w:rPr>
            <w:rFonts w:ascii="Arial" w:cs="Arial" w:eastAsia="Arial" w:hAnsi="Arial"/>
            <w:sz w:val="18"/>
            <w:szCs w:val="18"/>
            <w:i w:val="1"/>
            <w:iCs w:val="1"/>
            <w:u w:val="single" w:color="auto"/>
            <w:color w:val="0000FF"/>
          </w:rPr>
          <w:t>Overview</w:t>
        </w:r>
      </w:hyperlink>
      <w:r>
        <w:rPr>
          <w:rFonts w:ascii="Arial" w:cs="Arial" w:eastAsia="Arial" w:hAnsi="Arial"/>
          <w:sz w:val="18"/>
          <w:szCs w:val="18"/>
          <w:i w:val="1"/>
          <w:iCs w:val="1"/>
          <w:color w:val="auto"/>
        </w:rPr>
        <w:t>.”</w:t>
      </w:r>
    </w:p>
    <w:p>
      <w:pPr>
        <w:spacing w:after="0" w:line="200"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8"/>
          <w:szCs w:val="18"/>
          <w:color w:val="auto"/>
        </w:rPr>
        <w:t>The 5% increase in production volumes during the third quarter of 2021 compared to the same period in 2020 contributed approximately $1.7 million of the total increase in royalty income. The 3% increase in production volumes during the nine months ended September 30, 2021 compared to the same period in 2020 contributed approximately $1.1 million of the total increase in royalty income. The increase in production for both the three and nine month periods is primarily attributable to new well additions between periods.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Production and Ad Valorem Taxes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production and ad valorem taxes for the three and nine months ended September 30, 2021 and 2020:</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 thousands)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Royalty Income</w:t>
            </w: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Royalty Income</w:t>
            </w:r>
          </w:p>
        </w:tc>
        <w:tc>
          <w:tcPr>
            <w:tcW w:w="0" w:type="dxa"/>
            <w:vAlign w:val="bottom"/>
          </w:tcPr>
          <w:p>
            <w:pPr>
              <w:spacing w:after="0"/>
              <w:rPr>
                <w:sz w:val="1"/>
                <w:szCs w:val="1"/>
                <w:color w:val="auto"/>
              </w:rPr>
            </w:pP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5.3 %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5.0 %</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6.8 %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8.1 %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3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Nine Months Ended September 30,</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 BOE</w:t>
            </w:r>
          </w:p>
        </w:tc>
        <w:tc>
          <w:tcPr>
            <w:tcW w:w="13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Percentage of</w:t>
            </w:r>
          </w:p>
        </w:tc>
        <w:tc>
          <w:tcPr>
            <w:tcW w:w="0" w:type="dxa"/>
            <w:vAlign w:val="bottom"/>
          </w:tcPr>
          <w:p>
            <w:pPr>
              <w:spacing w:after="0"/>
              <w:rPr>
                <w:sz w:val="1"/>
                <w:szCs w:val="1"/>
                <w:color w:val="auto"/>
              </w:rPr>
            </w:pPr>
          </w:p>
        </w:tc>
      </w:tr>
      <w:tr>
        <w:trPr>
          <w:trHeight w:val="213"/>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 thousands)</w:t>
            </w: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Royalty Income</w:t>
            </w:r>
          </w:p>
        </w:tc>
        <w:tc>
          <w:tcPr>
            <w:tcW w:w="1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Royalty Income</w:t>
            </w:r>
          </w:p>
        </w:tc>
        <w:tc>
          <w:tcPr>
            <w:tcW w:w="0" w:type="dxa"/>
            <w:vAlign w:val="bottom"/>
          </w:tcPr>
          <w:p>
            <w:pPr>
              <w:spacing w:after="0"/>
              <w:rPr>
                <w:sz w:val="1"/>
                <w:szCs w:val="1"/>
                <w:color w:val="auto"/>
              </w:rPr>
            </w:pPr>
          </w:p>
        </w:tc>
      </w:tr>
      <w:tr>
        <w:trPr>
          <w:trHeight w:val="226"/>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5.1 %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4.9 %</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0.84</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production and ad valorem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6.9 %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91"/>
              </w:rPr>
              <w:t>8.3 %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In general, production taxes are directly related to production revenues and are based upon current year commodity prices. Production taxes as a percentage of royalty income for the three and nine months ended September 30, 2021 remained consistent with the three and nine months ended September 30, 2020. Ad valorem taxes are based, among other factors, on property values driven by prior year commodity prices. Ad valorem taxes as a percentage of royalty income for these same periods in 2021 compared to 2020 decreased primarily due to improved average sales prices, while the tax valuation of oil and natural gas interests remained relatively flat.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Depletion</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Depletion expense and the depletion rate for the three and nine months ended September 30, 2021 compared to the same periods in 2020 were relatively flat as the increases in production during the 2021 periods were partially offset by a slight decrease in average depletion rates.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Interest Expense</w:t>
      </w:r>
    </w:p>
    <w:p>
      <w:pPr>
        <w:spacing w:after="0" w:line="252" w:lineRule="exact"/>
        <w:rPr>
          <w:sz w:val="20"/>
          <w:szCs w:val="20"/>
          <w:color w:val="auto"/>
        </w:rPr>
      </w:pPr>
    </w:p>
    <w:p>
      <w:pPr>
        <w:jc w:val="both"/>
        <w:ind w:firstLine="648"/>
        <w:spacing w:after="0" w:line="311" w:lineRule="auto"/>
        <w:rPr>
          <w:rFonts w:ascii="Arial" w:cs="Arial" w:eastAsia="Arial" w:hAnsi="Arial"/>
          <w:sz w:val="16"/>
          <w:szCs w:val="16"/>
          <w:color w:val="auto"/>
        </w:rPr>
      </w:pPr>
      <w:r>
        <w:rPr>
          <w:rFonts w:ascii="Arial" w:cs="Arial" w:eastAsia="Arial" w:hAnsi="Arial"/>
          <w:sz w:val="16"/>
          <w:szCs w:val="16"/>
          <w:color w:val="auto"/>
        </w:rPr>
        <w:t xml:space="preserve">Net interest expense remained relatively flat for the three and nine months ended September 30, 2021 compared to the same periods in 2020. Net interest expense may increase in future periods as approximately $190.0 million of the Swallowtail Acquisition was funded with additional borrowings under the Operating Company’s revolving credit facility in October 2021 as discussed in “— </w:t>
      </w:r>
      <w:hyperlink w:anchor="page34">
        <w:r>
          <w:rPr>
            <w:rFonts w:ascii="Arial" w:cs="Arial" w:eastAsia="Arial" w:hAnsi="Arial"/>
            <w:sz w:val="16"/>
            <w:szCs w:val="16"/>
            <w:i w:val="1"/>
            <w:iCs w:val="1"/>
            <w:u w:val="single" w:color="auto"/>
            <w:color w:val="0000FF"/>
          </w:rPr>
          <w:t>Liquidity and Capital Resources</w:t>
        </w:r>
        <w:r>
          <w:rPr>
            <w:rFonts w:ascii="Arial" w:cs="Arial" w:eastAsia="Arial" w:hAnsi="Arial"/>
            <w:sz w:val="16"/>
            <w:szCs w:val="16"/>
            <w:u w:val="single" w:color="auto"/>
            <w:color w:val="0000FF"/>
          </w:rPr>
          <w:t>—</w:t>
        </w:r>
        <w:r>
          <w:rPr>
            <w:rFonts w:ascii="Arial" w:cs="Arial" w:eastAsia="Arial" w:hAnsi="Arial"/>
            <w:sz w:val="16"/>
            <w:szCs w:val="16"/>
            <w:i w:val="1"/>
            <w:iCs w:val="1"/>
            <w:u w:val="single" w:color="auto"/>
            <w:color w:val="0000FF"/>
          </w:rPr>
          <w:t>Indebtedness</w:t>
        </w:r>
      </w:hyperlink>
      <w:r>
        <w:rPr>
          <w:rFonts w:ascii="Arial" w:cs="Arial" w:eastAsia="Arial" w:hAnsi="Arial"/>
          <w:sz w:val="16"/>
          <w:szCs w:val="16"/>
          <w:color w:val="auto"/>
        </w:rPr>
        <w:t>” above.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net gain (loss) on derivative instruments and the net cash receipts (payments) on derivatives for the periods presented: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2800" w:type="dxa"/>
            <w:vAlign w:val="bottom"/>
            <w:gridSpan w:val="5"/>
          </w:tcPr>
          <w:p>
            <w:pPr>
              <w:ind w:left="100"/>
              <w:spacing w:after="0"/>
              <w:rPr>
                <w:sz w:val="20"/>
                <w:szCs w:val="20"/>
                <w:color w:val="auto"/>
              </w:rPr>
            </w:pPr>
            <w:r>
              <w:rPr>
                <w:rFonts w:ascii="Arial" w:cs="Arial" w:eastAsia="Arial" w:hAnsi="Arial"/>
                <w:sz w:val="16"/>
                <w:szCs w:val="16"/>
                <w:b w:val="1"/>
                <w:bCs w:val="1"/>
                <w:color w:val="auto"/>
                <w:w w:val="98"/>
              </w:rPr>
              <w:t>Three Months Ended September 30,</w:t>
            </w:r>
          </w:p>
        </w:tc>
        <w:tc>
          <w:tcPr>
            <w:tcW w:w="120" w:type="dxa"/>
            <w:vAlign w:val="bottom"/>
          </w:tcPr>
          <w:p>
            <w:pPr>
              <w:spacing w:after="0"/>
              <w:rPr>
                <w:sz w:val="18"/>
                <w:szCs w:val="18"/>
                <w:color w:val="auto"/>
              </w:rPr>
            </w:pPr>
          </w:p>
        </w:tc>
        <w:tc>
          <w:tcPr>
            <w:tcW w:w="2580" w:type="dxa"/>
            <w:vAlign w:val="bottom"/>
            <w:gridSpan w:val="3"/>
          </w:tcPr>
          <w:p>
            <w:pPr>
              <w:jc w:val="right"/>
              <w:ind w:right="53"/>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57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6"/>
                <w:szCs w:val="16"/>
                <w:b w:val="1"/>
                <w:bCs w:val="1"/>
                <w:color w:val="auto"/>
              </w:rPr>
              <w:t>2020</w:t>
            </w:r>
          </w:p>
        </w:tc>
      </w:tr>
      <w:tr>
        <w:trPr>
          <w:trHeight w:val="209"/>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40" w:type="dxa"/>
            <w:vAlign w:val="bottom"/>
            <w:gridSpan w:val="4"/>
          </w:tcPr>
          <w:p>
            <w:pPr>
              <w:jc w:val="right"/>
              <w:ind w:right="815"/>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2"/>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w:t>
            </w:r>
          </w:p>
        </w:tc>
        <w:tc>
          <w:tcPr>
            <w:tcW w:w="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(70,649)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(47,469)</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Net cash receipts (payments) on derivatives</w:t>
            </w: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(25,306)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(16,164)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(61,188)</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(18,718)</w:t>
            </w:r>
          </w:p>
        </w:tc>
      </w:tr>
    </w:tbl>
    <w:p>
      <w:pPr>
        <w:spacing w:after="0" w:line="30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recorded losses on our derivative instruments for the three and nine months ended September 30, 2021 and 2020 primarily due to market prices being higher than the strike prices on our derivative contracts. We are required to recognize all derivative instruments on our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 instruments, net.”</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Gain (Loss) on Revaluation of Investment</w:t>
      </w:r>
    </w:p>
    <w:p>
      <w:pPr>
        <w:spacing w:after="0" w:line="25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did not record a gain or loss on revaluation of investment for the three and nine months ended September 30, 2021, as we fully divested our equity interest in a limited partnership during 2020. We recorded losses on revaluation of investment of $2.0 million and $8.7 million for the three and nine months ended September 30, 2020 primarily due to recording the remaining investment at its fair value at September 30, 2020.</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39"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7"/>
          <w:szCs w:val="17"/>
          <w:color w:val="auto"/>
        </w:rPr>
        <w:t>Income tax expense remained low at $0.9 million for the three months ended September 30, 2021, due to maintaining a valuation allowance against our deferred tax assets. We did not record an income tax benefit or expense for the three months ended September 30, 2020.</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Income tax expense for the nine months ended September 30, 2021 was $0.9 million compared to $142.5 million for the nine months ended September 30, 2020. The change in our income tax provision was primarily due to the impact of recording a valuation allowance on our deferred tax assets during the first quarter of 2020. The total income tax provision for the nine months ended September 30, 2021 differed from amounts computed by applying the federal statutory tax rate to pre-tax income for the period primarily due to net income attributable to the non-controlling interest and the impact of maintaining a valuation allowance on our deferred tax assets.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Adjusted EBITDA</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Adjusted EBITDA is a supplemental non-GAAP financial measure used by management and external users of our financial statements, such as industry analysts, investors, lenders and rating agencies. We believe Adjusted EBITDA is useful because it allows us to more effectively evaluate our operating performance and compare the results of our operations period to period without regard to our financing methods or capital structure. In addition, management uses Adjusted EBITDA to evaluate cash flow available to pay distributions to our common unitholders.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define Adjusted EBITDA as net income (loss) attributable to Viper Energy Partners LP plus net income (loss) attributable to non-controlling interest before interest expense, net, non-cash unit-based compensation expense, depletion expense, impairment expense, (gain) loss on revaluation of investment, non-cash (gain) loss on derivative instruments, (gain) loss on extinguishment of debt and provision for (benefit from) income taxes, if any. We exclude the items listed above from net income (loss) in arriving at Adjusted EBITDA because these amounts can vary substantially from company to company within our industry depending upon accounting methods and book values of assets, capital structures and the method by which the assets were acquired. Certain items excluded from Adjusted EBITDA are significant components in understanding and assessing a company’s financial performance, such as a company’s cost of capital and tax structure, as well as historic costs of depreciable assets, none of which are components of Adjusted EBITDA.</w:t>
      </w:r>
    </w:p>
    <w:p>
      <w:pPr>
        <w:spacing w:after="0" w:line="19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GAAP measure most directly comparable to Adjusted EBITDA is net income (loss). However, Adjusted EBITDA is not a measure of net income (loss) as determined by GAAP and should not be considered an alternative to, or more meaningful than, net income (loss), royalty income, cash flow from operating activities or any other measure of financial performance or liquidity presented as determined in accordance with GAAP. Our computation of Adjusted EBITDA excludes some, but not all, items that affect net income (loss), and these measures may vary from those of other companies. As a result, Adjusted EBITDA as presented below may not be comparable to other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reconciliation of the GAAP financial measure of net income (loss) to the non-GAAP financial measures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and cash available for distribution for the periods indicated:</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2800" w:type="dxa"/>
            <w:vAlign w:val="bottom"/>
            <w:gridSpan w:val="6"/>
          </w:tcPr>
          <w:p>
            <w:pPr>
              <w:ind w:left="100"/>
              <w:spacing w:after="0"/>
              <w:rPr>
                <w:sz w:val="20"/>
                <w:szCs w:val="20"/>
                <w:color w:val="auto"/>
              </w:rPr>
            </w:pPr>
            <w:r>
              <w:rPr>
                <w:rFonts w:ascii="Arial" w:cs="Arial" w:eastAsia="Arial" w:hAnsi="Arial"/>
                <w:sz w:val="16"/>
                <w:szCs w:val="16"/>
                <w:b w:val="1"/>
                <w:bCs w:val="1"/>
                <w:color w:val="auto"/>
                <w:w w:val="98"/>
              </w:rPr>
              <w:t>Three Months Ended September 30,</w:t>
            </w:r>
          </w:p>
        </w:tc>
        <w:tc>
          <w:tcPr>
            <w:tcW w:w="120" w:type="dxa"/>
            <w:vAlign w:val="bottom"/>
          </w:tcPr>
          <w:p>
            <w:pPr>
              <w:spacing w:after="0"/>
              <w:rPr>
                <w:sz w:val="18"/>
                <w:szCs w:val="18"/>
                <w:color w:val="auto"/>
              </w:rPr>
            </w:pPr>
          </w:p>
        </w:tc>
        <w:tc>
          <w:tcPr>
            <w:tcW w:w="2580" w:type="dxa"/>
            <w:vAlign w:val="bottom"/>
            <w:gridSpan w:val="4"/>
          </w:tcPr>
          <w:p>
            <w:pPr>
              <w:jc w:val="right"/>
              <w:ind w:right="50"/>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57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6"/>
                <w:szCs w:val="16"/>
                <w:b w:val="1"/>
                <w:bCs w:val="1"/>
                <w:color w:val="auto"/>
              </w:rPr>
              <w:t>2020</w:t>
            </w:r>
          </w:p>
        </w:tc>
      </w:tr>
      <w:tr>
        <w:trPr>
          <w:trHeight w:val="209"/>
        </w:trPr>
        <w:tc>
          <w:tcPr>
            <w:tcW w:w="5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5"/>
          </w:tcPr>
          <w:p>
            <w:pPr>
              <w:ind w:left="56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2"/>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Viper Energy Partners LP</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(164,685)</w:t>
            </w: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Net income (loss) attributable to non-controlling interest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56,613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23,963</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(140,722)</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24,870</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Non-cash unit-based compensation expense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Depletion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24,780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74,230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72,204</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loss on revaluation of investment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w:t>
            </w: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Non-cash (gain) loss on derivative instruments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9,461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28,751</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(Gain) loss on extinguishment of debt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142,466</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Adjusted EBITDA</w:t>
            </w: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92,581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249,371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137,181</w:t>
            </w:r>
          </w:p>
        </w:tc>
      </w:tr>
      <w:tr>
        <w:trPr>
          <w:trHeight w:val="229"/>
        </w:trPr>
        <w:tc>
          <w:tcPr>
            <w:tcW w:w="5740" w:type="dxa"/>
            <w:vAlign w:val="bottom"/>
            <w:tcBorders>
              <w:bottom w:val="single" w:sz="8" w:color="CCEEFF"/>
            </w:tcBorders>
          </w:tcPr>
          <w:p>
            <w:pPr>
              <w:ind w:left="240"/>
              <w:spacing w:after="0" w:line="230" w:lineRule="exact"/>
              <w:rPr>
                <w:sz w:val="20"/>
                <w:szCs w:val="20"/>
                <w:color w:val="auto"/>
              </w:rPr>
            </w:pPr>
            <w:r>
              <w:rPr>
                <w:rFonts w:ascii="Arial" w:cs="Arial" w:eastAsia="Arial" w:hAnsi="Arial"/>
                <w:sz w:val="18"/>
                <w:szCs w:val="18"/>
                <w:color w:val="auto"/>
              </w:rPr>
              <w:t>Less: Adjusted EBITDA attributable to non-controlling interest</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23,113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78,492</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attributable to Viper Energy Partners LP</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7"/>
              </w:rPr>
              <w:t>Adjustments to reconcile Adjusted EBITDA to cash available for distribution:</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Debt service, contractual obligations, fixed charges and reserves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w:t>
            </w:r>
          </w:p>
        </w:tc>
      </w:tr>
      <w:tr>
        <w:trPr>
          <w:trHeight w:val="230"/>
        </w:trPr>
        <w:tc>
          <w:tcPr>
            <w:tcW w:w="5740" w:type="dxa"/>
            <w:vAlign w:val="bottom"/>
          </w:tcPr>
          <w:p>
            <w:pPr>
              <w:ind w:left="240"/>
              <w:spacing w:after="0"/>
              <w:rPr>
                <w:sz w:val="20"/>
                <w:szCs w:val="20"/>
                <w:color w:val="auto"/>
              </w:rPr>
            </w:pPr>
            <w:r>
              <w:rPr>
                <w:rFonts w:ascii="Arial" w:cs="Arial" w:eastAsia="Arial" w:hAnsi="Arial"/>
                <w:sz w:val="18"/>
                <w:szCs w:val="18"/>
                <w:color w:val="auto"/>
              </w:rPr>
              <w:t>Cash paid for tax withholding on vested common units</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 equivalent rights payments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Preferred distributions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available for distribution to Viper Energy Partners LP unitholders</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48,203</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limited partner units outstanding</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67,851</w:t>
            </w:r>
          </w:p>
        </w:tc>
      </w:tr>
      <w:tr>
        <w:trPr>
          <w:trHeight w:val="270"/>
        </w:trPr>
        <w:tc>
          <w:tcPr>
            <w:tcW w:w="5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available for distribution per limited partner unit</w:t>
            </w:r>
          </w:p>
        </w:tc>
        <w:tc>
          <w:tcPr>
            <w:tcW w:w="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Cash per unit approved for distribution</w:t>
            </w:r>
          </w:p>
        </w:tc>
        <w:tc>
          <w:tcPr>
            <w:tcW w:w="300" w:type="dxa"/>
            <w:vAlign w:val="bottom"/>
          </w:tcPr>
          <w:p>
            <w:pPr>
              <w:jc w:val="right"/>
              <w:ind w:right="91"/>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0.23</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(1) Does not take into account special income allocation consideration.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Distributions</w:t>
      </w:r>
    </w:p>
    <w:p>
      <w:pPr>
        <w:spacing w:after="0" w:line="252" w:lineRule="exact"/>
        <w:rPr>
          <w:sz w:val="20"/>
          <w:szCs w:val="20"/>
          <w:color w:val="auto"/>
        </w:rPr>
      </w:pPr>
    </w:p>
    <w:p>
      <w:pPr>
        <w:jc w:val="both"/>
        <w:ind w:firstLine="648"/>
        <w:spacing w:after="0" w:line="291" w:lineRule="auto"/>
        <w:rPr>
          <w:rFonts w:ascii="Arial" w:cs="Arial" w:eastAsia="Arial" w:hAnsi="Arial"/>
          <w:sz w:val="17"/>
          <w:szCs w:val="17"/>
          <w:color w:val="auto"/>
        </w:rPr>
      </w:pPr>
      <w:r>
        <w:rPr>
          <w:rFonts w:ascii="Arial" w:cs="Arial" w:eastAsia="Arial" w:hAnsi="Arial"/>
          <w:sz w:val="17"/>
          <w:szCs w:val="17"/>
          <w:color w:val="auto"/>
        </w:rPr>
        <w:t>The distribution for the third quarter of 2021 of $0.38 per common unit is payable on November 18, 2021 to common unitholders of record at the close of business on November 11, 2021. See Note 7—</w:t>
      </w:r>
      <w:hyperlink w:anchor="page16">
        <w:r>
          <w:rPr>
            <w:rFonts w:ascii="Arial" w:cs="Arial" w:eastAsia="Arial" w:hAnsi="Arial"/>
            <w:sz w:val="17"/>
            <w:szCs w:val="17"/>
            <w:u w:val="single" w:color="auto"/>
            <w:color w:val="0000FF"/>
          </w:rPr>
          <w:t>Unitholders' Equity and Distributions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discussion of our distributions.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primary sources of liquidity have been cash flows from operations, proceeds from sales of non-core assets and investments, equity and debt offerings and borrowings under our credit agreement. Our primary uses of cash have been distributions to our unitholders, repayment of debt and capital expenditures for the acquisition of our mineral interests and royalty interests in oil and natural gas properties, and repurchases of our common units. We intend to finance future expenditures through a combination of cash on hand, borrowings under our credit agreement, issuance of common units and, subject to market conditions and other factors, proceeds from one or more capital market transactions, which may include debt or equity offerings.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ability to generate cash is subject to several factors, some of which are beyond our control, including commodity prices and general economic, financial, competitive, legislative, regulatory and other factors, including extreme weather conditions, such as the February 2021 winter storms in the Permian Basin that impacted production volumes on our mineral and royalty acreage. Continued prolonged volatility in the capital, financial and/or credit markets, commodity pricing environment and uncertain macroeconomic conditions may limit our access to, or increase our cost of, capital or make capital unavailable on terms acceptable to us or at all.</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for the periods indicated: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6"/>
                <w:szCs w:val="16"/>
                <w:b w:val="1"/>
                <w:bCs w:val="1"/>
                <w:color w:val="auto"/>
                <w:w w:val="91"/>
              </w:rPr>
              <w:t>Nine Months Ended September 30,</w:t>
            </w:r>
          </w:p>
        </w:tc>
      </w:tr>
      <w:tr>
        <w:trPr>
          <w:trHeight w:val="210"/>
        </w:trPr>
        <w:tc>
          <w:tcPr>
            <w:tcW w:w="84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w w:val="95"/>
              </w:rPr>
              <w:t>2020</w:t>
            </w:r>
          </w:p>
        </w:tc>
      </w:tr>
      <w:tr>
        <w:trPr>
          <w:trHeight w:val="209"/>
        </w:trPr>
        <w:tc>
          <w:tcPr>
            <w:tcW w:w="8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60" w:type="dxa"/>
            <w:vAlign w:val="bottom"/>
          </w:tcPr>
          <w:p>
            <w:pPr>
              <w:spacing w:after="0"/>
              <w:rPr>
                <w:sz w:val="18"/>
                <w:szCs w:val="18"/>
                <w:color w:val="auto"/>
              </w:rPr>
            </w:pP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480" w:type="dxa"/>
            <w:vAlign w:val="bottom"/>
          </w:tcPr>
          <w:p>
            <w:pPr>
              <w:ind w:left="22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199,672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143,206</w:t>
            </w:r>
          </w:p>
        </w:tc>
      </w:tr>
      <w:tr>
        <w:trPr>
          <w:trHeight w:val="230"/>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(57,148)</w:t>
            </w:r>
          </w:p>
        </w:tc>
      </w:tr>
      <w:tr>
        <w:trPr>
          <w:trHeight w:val="230"/>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(140,525)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(82,286)</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252" w:lineRule="exact"/>
        <w:rPr>
          <w:sz w:val="20"/>
          <w:szCs w:val="20"/>
          <w:color w:val="auto"/>
        </w:rPr>
      </w:pPr>
    </w:p>
    <w:p>
      <w:pPr>
        <w:jc w:val="both"/>
        <w:ind w:firstLine="648"/>
        <w:spacing w:after="0" w:line="272" w:lineRule="auto"/>
        <w:rPr>
          <w:rFonts w:ascii="Arial" w:cs="Arial" w:eastAsia="Arial" w:hAnsi="Arial"/>
          <w:sz w:val="16"/>
          <w:szCs w:val="16"/>
          <w:color w:val="auto"/>
        </w:rPr>
      </w:pPr>
      <w:r>
        <w:rPr>
          <w:rFonts w:ascii="Arial" w:cs="Arial" w:eastAsia="Arial" w:hAnsi="Arial"/>
          <w:sz w:val="16"/>
          <w:szCs w:val="16"/>
          <w:color w:val="auto"/>
        </w:rPr>
        <w:t>Our operating cash flow is sensitive to many variables, the most significant of which are the volatility of prices for oil and natural gas and the volume of oil and natural gas sold by our producers as discussed in “—</w:t>
      </w:r>
      <w:hyperlink w:anchor="page26">
        <w:r>
          <w:rPr>
            <w:rFonts w:ascii="Arial" w:cs="Arial" w:eastAsia="Arial" w:hAnsi="Arial"/>
            <w:sz w:val="16"/>
            <w:szCs w:val="16"/>
            <w:u w:val="single" w:color="auto"/>
            <w:color w:val="0000FF"/>
          </w:rPr>
          <w:t>Results of Operations</w:t>
        </w:r>
      </w:hyperlink>
      <w:r>
        <w:rPr>
          <w:rFonts w:ascii="Arial" w:cs="Arial" w:eastAsia="Arial" w:hAnsi="Arial"/>
          <w:sz w:val="16"/>
          <w:szCs w:val="16"/>
          <w:color w:val="auto"/>
        </w:rPr>
        <w:t>” above. Prices for these commodities are determined primarily by prevailing market conditions. Regional and worldwide economic activity, extreme weather conditions and other substantially variable factors influence market conditions for these products. These factors are beyond our control and are difficult to predict. The increase in net cash provided by operating activities during the nine months ended September 30, 2021 compared to the same period in 2020 was primarily driven by higher royalty income in 2021, which was largely offset by (i) changes in our working capital accounts, most notably through a reduction in cash collections on our accounts receivable in 2021 compared to 2020 due to the timing of our receipt of royalty income payments from our operators, (ii) an increase in cash paid for derivative settlements and (iii) an increase in production and ad valorem expenses due to the corresponding increase in royalty income.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cash used in investing activities during the nine months ended September 30, 2021 and 2020, was primarily related to acquisitions of oil and natural gas interests.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financing activities during the nine months ended September 30, 2021, was primarily related to the net borrowings of $8.0 million under the Operating Company’s revolving credit facility, distributions of $112.0 million to our unitholders and $33.6 million of repurchases of our common units during the third quarter of 2021 as discussed below.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financing activities during the nine months ended September 30, 2020, was primarily related to distributions of $92.1 million to our unitholders and by repurchases of the Notes totaling $19.7 million, net of discounts during the second quarter of 2020. These reductions were partially offset by net proceeds from borrowing activity under the Operating Company’s revolving credit facility of $30.0 million.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Common Unit Repurchase Program</w:t>
      </w:r>
    </w:p>
    <w:p>
      <w:pPr>
        <w:spacing w:after="0" w:line="21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On November 6, 2020, the board of directors of our general partner approved an expansion of our return of capital program with the implementation of a common unit repurchase program to acquire up to $100.0 million of our outstanding common units, of which approximately $57.6 million has been expended through September 30, 2021. During the nine months ended September 30, 2021, we repurchased approximately $33.6 million of common units under our repurchase program, which is authorized to extend through December 31, 2021. The repurchase program may be suspended from time to time, modified, extended or discontinued by the board of directors of our general partner at any time. Any common units under the repurchase program will be purchased opportunistically with funds from cash on hand, free cash flow from operations and potential liquidity events, such as the sale of assets. Any such repurchases may be made from time to time in open market or privately negotiated transactions in compliance with Rule 10b-18 under the Securities Exchange Act of 1934, as amended, and are subject to market conditions, applicable legal requirements, contractual obligations and other factors.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Indebtedness</w:t>
      </w:r>
    </w:p>
    <w:p>
      <w:pPr>
        <w:spacing w:after="0" w:line="239" w:lineRule="exact"/>
        <w:rPr>
          <w:sz w:val="20"/>
          <w:szCs w:val="20"/>
          <w:color w:val="auto"/>
        </w:rPr>
      </w:pPr>
    </w:p>
    <w:p>
      <w:pPr>
        <w:jc w:val="both"/>
        <w:ind w:left="40" w:firstLine="648"/>
        <w:spacing w:after="0" w:line="223" w:lineRule="auto"/>
        <w:rPr>
          <w:sz w:val="20"/>
          <w:szCs w:val="20"/>
          <w:color w:val="auto"/>
        </w:rPr>
      </w:pPr>
      <w:r>
        <w:rPr>
          <w:rFonts w:ascii="Arial" w:cs="Arial" w:eastAsia="Arial" w:hAnsi="Arial"/>
          <w:sz w:val="18"/>
          <w:szCs w:val="18"/>
          <w:color w:val="auto"/>
        </w:rPr>
        <w:t>As of September 30, 2021, our indebtedness consists of $479.9 million in principal amount of Notes outstanding and $92.0 million in borrowings under the Operating Company’s revolving credit facility. We did not repurchase any Notes during the three and nine months ended September 30, 2021, but may do so opportunistically from time to time in future periods. The Operating Company’s credit agreement, as amended to date, provides for a revolving credit facility in the maximum credit amount of $2.0 billion, with a borrowing base of $580.0 million as of September 30, 2021, based on the Operating Company’s oil and natural gas reserves and other factors, although the Operating Company had elected a commitment amount of $500.0 million. The borrowing base of $580.0 million is expected to be reaffirmed by the lenders during the regularly scheduled (semi-annual) fall 2021 redetermination in November 2021. The next semi-annual redetermination is scheduled to occur in May 2022. As of September 30, 2021, there was $408.0 million available for future borrowings under the Operating Company’s revolving credit facility. During the three and nine months ended September 30, 2021, the weighted average interest rate on the Operating Company’s revolving credit facility was 1.98% and 2.14%, respectively. The revolving credit facility will mature on June 2, 2025.</w:t>
      </w:r>
    </w:p>
    <w:p>
      <w:pPr>
        <w:spacing w:after="0" w:line="210" w:lineRule="exact"/>
        <w:rPr>
          <w:sz w:val="20"/>
          <w:szCs w:val="20"/>
          <w:color w:val="auto"/>
        </w:rPr>
      </w:pPr>
    </w:p>
    <w:p>
      <w:pPr>
        <w:jc w:val="both"/>
        <w:ind w:left="40" w:firstLine="648"/>
        <w:spacing w:after="0" w:line="231" w:lineRule="auto"/>
        <w:rPr>
          <w:rFonts w:ascii="Arial" w:cs="Arial" w:eastAsia="Arial" w:hAnsi="Arial"/>
          <w:sz w:val="18"/>
          <w:szCs w:val="18"/>
          <w:color w:val="0000FF"/>
        </w:rPr>
      </w:pPr>
      <w:hyperlink w:anchor="page22">
        <w:r>
          <w:rPr>
            <w:rFonts w:ascii="Arial" w:cs="Arial" w:eastAsia="Arial" w:hAnsi="Arial"/>
            <w:sz w:val="18"/>
            <w:szCs w:val="18"/>
            <w:color w:val="auto"/>
          </w:rPr>
          <w:t>On October 1, 2021, the Partnership and the Operating Company completed the Swallowtail Acquisition as discussed in Note 13—</w:t>
        </w:r>
        <w:r>
          <w:rPr>
            <w:rFonts w:ascii="Arial" w:cs="Arial" w:eastAsia="Arial" w:hAnsi="Arial"/>
            <w:sz w:val="18"/>
            <w:szCs w:val="18"/>
            <w:u w:val="single" w:color="auto"/>
            <w:color w:val="0000FF"/>
          </w:rPr>
          <w:t>Subsequent</w:t>
        </w:r>
      </w:hyperlink>
      <w:r>
        <w:rPr>
          <w:rFonts w:ascii="Arial" w:cs="Arial" w:eastAsia="Arial" w:hAnsi="Arial"/>
          <w:sz w:val="18"/>
          <w:szCs w:val="18"/>
          <w:color w:val="auto"/>
        </w:rPr>
        <w:t xml:space="preserve"> </w:t>
      </w:r>
      <w:hyperlink w:anchor="page22">
        <w:r>
          <w:rPr>
            <w:rFonts w:ascii="Arial" w:cs="Arial" w:eastAsia="Arial" w:hAnsi="Arial"/>
            <w:sz w:val="18"/>
            <w:szCs w:val="18"/>
            <w:u w:val="single" w:color="auto"/>
            <w:color w:val="0000FF"/>
          </w:rPr>
          <w:t>Events—Swallowtail Acquisition</w:t>
        </w:r>
        <w:r>
          <w:rPr>
            <w:rFonts w:ascii="Arial" w:cs="Arial" w:eastAsia="Arial" w:hAnsi="Arial"/>
            <w:sz w:val="18"/>
            <w:szCs w:val="18"/>
            <w:color w:val="000000"/>
          </w:rPr>
          <w:t>. Approximately $190.0 million of the cash portion of this transaction was funded through borrowings under the</w:t>
        </w:r>
      </w:hyperlink>
      <w:r>
        <w:rPr>
          <w:rFonts w:ascii="Arial" w:cs="Arial" w:eastAsia="Arial" w:hAnsi="Arial"/>
          <w:sz w:val="18"/>
          <w:szCs w:val="18"/>
          <w:color w:val="0000FF"/>
        </w:rPr>
        <w:t xml:space="preserve"> </w:t>
      </w:r>
      <w:r>
        <w:rPr>
          <w:rFonts w:ascii="Arial" w:cs="Arial" w:eastAsia="Arial" w:hAnsi="Arial"/>
          <w:sz w:val="18"/>
          <w:szCs w:val="18"/>
          <w:color w:val="000000"/>
        </w:rPr>
        <w:t>Operating Company’s revolving credit facility, reducing the amount that remained available for future borrowings under this facility to $218.0 million as of October 1, 2021.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2021, the Operating Company was in compliance with the financial maintenance covenants under its credit agreement.</w:t>
      </w:r>
    </w:p>
    <w:p>
      <w:pPr>
        <w:spacing w:after="0" w:line="264" w:lineRule="exact"/>
        <w:rPr>
          <w:sz w:val="20"/>
          <w:szCs w:val="20"/>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additional discussion of our indebtedness in Note 6—</w:t>
      </w:r>
      <w:hyperlink w:anchor="page15">
        <w:r>
          <w:rPr>
            <w:rFonts w:ascii="Arial" w:cs="Arial" w:eastAsia="Arial" w:hAnsi="Arial"/>
            <w:sz w:val="18"/>
            <w:szCs w:val="18"/>
            <w:u w:val="single" w:color="auto"/>
            <w:color w:val="0000FF"/>
          </w:rPr>
          <w:t>Debt</w:t>
        </w:r>
      </w:hyperlink>
      <w:r>
        <w:rPr>
          <w:rFonts w:ascii="Arial" w:cs="Arial" w:eastAsia="Arial" w:hAnsi="Arial"/>
          <w:sz w:val="18"/>
          <w:szCs w:val="18"/>
          <w:color w:val="auto"/>
        </w:rPr>
        <w: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firstLine="648"/>
        <w:spacing w:after="0" w:line="277" w:lineRule="auto"/>
        <w:rPr>
          <w:rFonts w:ascii="Arial" w:cs="Arial" w:eastAsia="Arial" w:hAnsi="Arial"/>
          <w:sz w:val="18"/>
          <w:szCs w:val="18"/>
          <w:color w:val="auto"/>
        </w:rPr>
      </w:pPr>
      <w:r>
        <w:rPr>
          <w:rFonts w:ascii="Arial" w:cs="Arial" w:eastAsia="Arial" w:hAnsi="Arial"/>
          <w:sz w:val="18"/>
          <w:szCs w:val="18"/>
          <w:color w:val="auto"/>
        </w:rPr>
        <w:t>Other than the changes in our outstanding debt discussed in Note 6—</w:t>
      </w:r>
      <w:hyperlink w:anchor="page15">
        <w:r>
          <w:rPr>
            <w:rFonts w:ascii="Arial" w:cs="Arial" w:eastAsia="Arial" w:hAnsi="Arial"/>
            <w:sz w:val="18"/>
            <w:szCs w:val="18"/>
            <w:u w:val="single" w:color="auto"/>
            <w:color w:val="0000FF"/>
          </w:rPr>
          <w:t>Debt</w:t>
        </w:r>
      </w:hyperlink>
      <w:r>
        <w:rPr>
          <w:rFonts w:ascii="Arial" w:cs="Arial" w:eastAsia="Arial" w:hAnsi="Arial"/>
          <w:sz w:val="18"/>
          <w:szCs w:val="18"/>
          <w:color w:val="auto"/>
        </w:rPr>
        <w:t xml:space="preserve">, there were no material changes in our contractual obligations and other commitments as disclosed in our </w:t>
      </w:r>
      <w:hyperlink r:id="rId16">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right="20" w:firstLine="648"/>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There have been no changes to our critical accounting policies from those disclosed in our </w:t>
      </w:r>
      <w:hyperlink r:id="rId16">
        <w:r>
          <w:rPr>
            <w:rFonts w:ascii="Arial" w:cs="Arial" w:eastAsia="Arial" w:hAnsi="Arial"/>
            <w:sz w:val="18"/>
            <w:szCs w:val="18"/>
            <w:u w:val="single" w:color="auto"/>
            <w:color w:val="0000FF"/>
          </w:rPr>
          <w:t>Annual Report on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have no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exposed to market risk, including the effects of adverse changes in commodity prices and interest rates as described below. The primary objective of the following information is to provide quantitative and qualitative information about our potential exposure to market risks. The term “market risk” refers to the risk of loss arising from adverse changes in oil and natural gas prices and interest rates. The disclosures are not meant to be precise indicators of expected future losses, but rather indicators of reasonably possible losses.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Our major market risk exposure is in the pricing applicable to the oil and natural gas production of our operators. Realized prices are driven primarily by the prevailing worldwide price for crude oil and prices for natural gas in the United States. Both crude oil and natural gas realized prices are also impacted by the quality of the product, supply and demand balances in local physical markets and the availability of transportation to demand centers. Pricing for oil and natural gas production has been historically volatile and unpredictable and the prices that our operators receive for production depend on many factors outside of our or their control. Oil prices dropped sharply in early March 2020 and then continued to decline, briefly reaching negative levels. This was a result of multiple factors affecting supply and demand in the global oil and natural gas markets, including actions taken by OPEC members and other exporting nations, and a significant decrease in demand due to the COVID-19 pandemic, which resulted in a widespread health crisis and significant volatility, uncertainty and turmoil in the global economy, financial markets and oil and natural gas industry. Although demand and market prices for oil and natural gas have recently increased due to the rising energy use, easing of the COVID-19 pandemic and the improvements in the U.S. economic activity, we cannot predict events that may lead to future price volatility and the near term energy outlook remains subject to heightened levels of uncertainty.</w:t>
      </w:r>
    </w:p>
    <w:p>
      <w:pPr>
        <w:spacing w:after="0" w:line="20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historically have used fixed price swap contracts, fixed price basis swap contracts and costless collars with corresponding put and call options to reduce price volatility associated with certain of our royalty income. Under our costless collar contracts, each collar has an established floor price and ceiling price. When the settlement price is below the floor price, the counterparty is required to make a payment to us and when the settlement price is above the ceiling price, we are required to make a payment to the counterparty. When the settlement price is between the floor and the ceiling, there is no payment required.</w:t>
      </w:r>
    </w:p>
    <w:p>
      <w:pPr>
        <w:spacing w:after="0" w:line="21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At September 30, 2021, we had a net liability derivative position related to our commodity price derivatives of $36.1 million. Utilizing actual derivative contractual volumes under our contracts as of September 30, 2021, a 10% increase in forward curves associated with the underlying commodity would have increased the net liability position by $10.5 million to $46.6 million, while a 10% decrease in forward curves associated with the underlying commodity would have decreased the net liability derivative position by $10.0 million to $26.1 million. However, any cash derivative gain or loss would be substantially offset by a decrease or increase, respectively, in the actual sales value of production covered by the derivative instrument.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Risk</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subject to risk resulting from the concentration of royalty income in producing oil and natural gas interests and receivables with a limited number of significant purchasers and producers. We do not require collateral and the failure or inability of our significant purchasers to meet their obligations to us due to their liquidity issues, bankruptcy, insolvency or liquidation may adversely affect our financial results. Volatility in commodity pricing environment and macroeconomic conditions may enhance our purchaser credit risk.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subject to market risk exposure related to changes in interest rates on our indebtedness under the Operating Company’s credit agreement. The terms of the credit agreement provide for interest on borrowings at a floating rate equal to an alternative base rate (which is equal to the greatest of the prime rate, the Federal Funds effective rate plus 0.50% and 3-month LIBOR plus 1.0%) or LIBOR, in each case plus the applicable margin. The applicable margin ranges from 1.00% to 2.00% in the case of the alternative base rate and from 2.00% to 3.00% in the case of LIBOR, in each case depending on the amount of the loan outstanding in relation to the borrowing base. We are obligated to pay a quarterly commitment fee ranging from 0.375% to 0.500% per year on the unused portion of the borrowing base, which fee is the least of the maximum credit amount, the aggregate elected commitment amount and the borrowing base. As of September 30, 2021, we had $92.0 million in outstanding borrowings. During the three and nine months ended September 30, 2021, the weighted average interest rate on the Operating Company’s revolving credit facility was 1.98% and 2.14%, respectively.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Evaluation of Disclosure Control and Procedures</w:t>
      </w:r>
      <w:r>
        <w:rPr>
          <w:rFonts w:ascii="Arial" w:cs="Arial" w:eastAsia="Arial" w:hAnsi="Arial"/>
          <w:sz w:val="16"/>
          <w:szCs w:val="16"/>
          <w:color w:val="auto"/>
        </w:rPr>
        <w:t>. Under the direction of the Chief Executive Officer and Chief Financial Officer of our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the Chief Executive Officer and Chief Financial Officer of our general partner,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September 30, 2021, an evaluation was performed under the supervision and with the participation of management, including the Chief Executive Officer and Chief Financial Officer of our general partner, of the effectiveness of the design and operation of our disclosure controls and procedures pursuant to Rule 13a-15(b) under the Exchange Act. Based upon the evaluation, the Chief Executive Officer and Chief Financial Officer of our general partner have concluded that as of September 30, 2021, our disclosure controls and procedures are effective.</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In July 2021, we implemented an enterprise resource planning system covering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and accounting processes. As a result of this implementation, certain internal controls over financial reporting have been automated, modified or implemented to address the new environment associated with the implementation of this system. We believe we have maintained appropriate internal control over financial reporting during the implementation and believe this new system will strengthen our internal control system. However, there are inherent risks in implementing any new system, and we will continue to evaluate these control changes as part of our assessment of internal control over financial reporting throughout 2021. There have not been any changes in our internal control over financial reporting that occurred during the quarter ended September 30, 2021 that have materially affected, or are reasonably likely to materially affect, internal controls over financial reporting.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ind w:firstLine="648"/>
        <w:spacing w:after="0" w:line="286" w:lineRule="auto"/>
        <w:rPr>
          <w:rFonts w:ascii="Arial" w:cs="Arial" w:eastAsia="Arial" w:hAnsi="Arial"/>
          <w:sz w:val="17"/>
          <w:szCs w:val="17"/>
          <w:color w:val="auto"/>
        </w:rPr>
      </w:pPr>
      <w:r>
        <w:rPr>
          <w:rFonts w:ascii="Arial" w:cs="Arial" w:eastAsia="Arial" w:hAnsi="Arial"/>
          <w:sz w:val="17"/>
          <w:szCs w:val="17"/>
          <w:color w:val="auto"/>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hyperlink w:anchor="page22">
        <w:r>
          <w:rPr>
            <w:rFonts w:ascii="Arial" w:cs="Arial" w:eastAsia="Arial" w:hAnsi="Arial"/>
            <w:sz w:val="17"/>
            <w:szCs w:val="17"/>
            <w:u w:val="single" w:color="auto"/>
            <w:color w:val="0000FF"/>
          </w:rPr>
          <w:t>Commitments and Contingencies</w:t>
        </w:r>
      </w:hyperlink>
      <w:r>
        <w:rPr>
          <w:rFonts w:ascii="Arial" w:cs="Arial" w:eastAsia="Arial" w:hAnsi="Arial"/>
          <w:sz w:val="17"/>
          <w:szCs w:val="17"/>
          <w:color w:val="auto"/>
        </w:rPr>
        <w:t>.</w:t>
      </w:r>
    </w:p>
    <w:p>
      <w:pPr>
        <w:spacing w:after="0" w:line="18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11" w:lineRule="exact"/>
        <w:rPr>
          <w:sz w:val="20"/>
          <w:szCs w:val="20"/>
          <w:color w:val="auto"/>
        </w:rPr>
      </w:pPr>
    </w:p>
    <w:p>
      <w:pPr>
        <w:jc w:val="both"/>
        <w:ind w:firstLine="648"/>
        <w:spacing w:after="0" w:line="270" w:lineRule="auto"/>
        <w:rPr>
          <w:rFonts w:ascii="Arial" w:cs="Arial" w:eastAsia="Arial" w:hAnsi="Arial"/>
          <w:sz w:val="17"/>
          <w:szCs w:val="17"/>
          <w:color w:val="000000"/>
        </w:rPr>
      </w:pPr>
      <w:hyperlink r:id="rId48">
        <w:r>
          <w:rPr>
            <w:rFonts w:ascii="Arial" w:cs="Arial" w:eastAsia="Arial" w:hAnsi="Arial"/>
            <w:sz w:val="17"/>
            <w:szCs w:val="17"/>
            <w:color w:val="auto"/>
          </w:rPr>
          <w:t xml:space="preserve">In addition to the information set forth in this report, you should carefully consider the risk factors disclosed in </w:t>
        </w:r>
        <w:r>
          <w:rPr>
            <w:rFonts w:ascii="Arial" w:cs="Arial" w:eastAsia="Arial" w:hAnsi="Arial"/>
            <w:sz w:val="17"/>
            <w:szCs w:val="17"/>
            <w:u w:val="single" w:color="auto"/>
            <w:color w:val="0000FF"/>
          </w:rPr>
          <w:t>Part I, Item 1A. Risk Factors in our</w:t>
        </w:r>
      </w:hyperlink>
      <w:r>
        <w:rPr>
          <w:rFonts w:ascii="Arial" w:cs="Arial" w:eastAsia="Arial" w:hAnsi="Arial"/>
          <w:sz w:val="17"/>
          <w:szCs w:val="17"/>
          <w:color w:val="auto"/>
        </w:rPr>
        <w:t xml:space="preserve"> </w:t>
      </w:r>
      <w:hyperlink r:id="rId48">
        <w:r>
          <w:rPr>
            <w:rFonts w:ascii="Arial" w:cs="Arial" w:eastAsia="Arial" w:hAnsi="Arial"/>
            <w:sz w:val="17"/>
            <w:szCs w:val="17"/>
            <w:u w:val="single" w:color="auto"/>
            <w:color w:val="0000FF"/>
          </w:rPr>
          <w:t>Annual Report on Form 10-K</w:t>
        </w:r>
        <w:r>
          <w:rPr>
            <w:rFonts w:ascii="Arial" w:cs="Arial" w:eastAsia="Arial" w:hAnsi="Arial"/>
            <w:sz w:val="17"/>
            <w:szCs w:val="17"/>
            <w:color w:val="0000FF"/>
          </w:rPr>
          <w:t xml:space="preserve"> </w:t>
        </w:r>
        <w:r>
          <w:rPr>
            <w:rFonts w:ascii="Arial" w:cs="Arial" w:eastAsia="Arial" w:hAnsi="Arial"/>
            <w:sz w:val="17"/>
            <w:szCs w:val="17"/>
            <w:color w:val="000000"/>
          </w:rPr>
          <w:t>for the year ended December 31, 2020, and in subsequent filings we make with the SEC. There have been no material</w:t>
        </w:r>
      </w:hyperlink>
      <w:r>
        <w:rPr>
          <w:rFonts w:ascii="Arial" w:cs="Arial" w:eastAsia="Arial" w:hAnsi="Arial"/>
          <w:sz w:val="17"/>
          <w:szCs w:val="17"/>
          <w:color w:val="0000FF"/>
        </w:rPr>
        <w:t xml:space="preserve"> </w:t>
      </w:r>
      <w:r>
        <w:rPr>
          <w:rFonts w:ascii="Arial" w:cs="Arial" w:eastAsia="Arial" w:hAnsi="Arial"/>
          <w:sz w:val="17"/>
          <w:szCs w:val="17"/>
          <w:color w:val="000000"/>
        </w:rPr>
        <w:t xml:space="preserve">changes in our risk factors from those described in our </w:t>
      </w:r>
      <w:hyperlink r:id="rId16">
        <w:r>
          <w:rPr>
            <w:rFonts w:ascii="Arial" w:cs="Arial" w:eastAsia="Arial" w:hAnsi="Arial"/>
            <w:sz w:val="17"/>
            <w:szCs w:val="17"/>
            <w:u w:val="single" w:color="auto"/>
            <w:color w:val="0000FF"/>
          </w:rPr>
          <w:t>Annual Report on Form 10-K</w:t>
        </w:r>
        <w:r>
          <w:rPr>
            <w:rFonts w:ascii="Arial" w:cs="Arial" w:eastAsia="Arial" w:hAnsi="Arial"/>
            <w:sz w:val="17"/>
            <w:szCs w:val="17"/>
            <w:u w:val="single" w:color="auto"/>
            <w:color w:val="000000"/>
          </w:rPr>
          <w:t xml:space="preserve"> </w:t>
        </w:r>
      </w:hyperlink>
      <w:r>
        <w:rPr>
          <w:rFonts w:ascii="Arial" w:cs="Arial" w:eastAsia="Arial" w:hAnsi="Arial"/>
          <w:sz w:val="17"/>
          <w:szCs w:val="17"/>
          <w:color w:val="000000"/>
        </w:rPr>
        <w:t>for the year ended December 31, 2020.</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44"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unit repurchase activity for the three months ended September 30, 2021 was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Total Number of Units</w:t>
            </w:r>
          </w:p>
        </w:tc>
        <w:tc>
          <w:tcPr>
            <w:tcW w:w="260" w:type="dxa"/>
            <w:vAlign w:val="bottom"/>
          </w:tcPr>
          <w:p>
            <w:pPr>
              <w:spacing w:after="0"/>
              <w:rPr>
                <w:sz w:val="16"/>
                <w:szCs w:val="16"/>
                <w:color w:val="auto"/>
              </w:rPr>
            </w:pPr>
          </w:p>
        </w:tc>
        <w:tc>
          <w:tcPr>
            <w:tcW w:w="1640" w:type="dxa"/>
            <w:vAlign w:val="bottom"/>
          </w:tcPr>
          <w:p>
            <w:pPr>
              <w:jc w:val="right"/>
              <w:ind w:right="114"/>
              <w:spacing w:after="0"/>
              <w:rPr>
                <w:sz w:val="20"/>
                <w:szCs w:val="20"/>
                <w:color w:val="auto"/>
              </w:rPr>
            </w:pPr>
            <w:r>
              <w:rPr>
                <w:rFonts w:ascii="Arial" w:cs="Arial" w:eastAsia="Arial" w:hAnsi="Arial"/>
                <w:sz w:val="16"/>
                <w:szCs w:val="16"/>
                <w:b w:val="1"/>
                <w:bCs w:val="1"/>
                <w:color w:val="auto"/>
                <w:w w:val="96"/>
              </w:rPr>
              <w:t>Approximate Dollar</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rPr>
              <w:t>Total Number of Units</w:t>
            </w:r>
          </w:p>
        </w:tc>
        <w:tc>
          <w:tcPr>
            <w:tcW w:w="1720" w:type="dxa"/>
            <w:vAlign w:val="bottom"/>
            <w:gridSpan w:val="2"/>
            <w:vMerge w:val="restart"/>
          </w:tcPr>
          <w:p>
            <w:pPr>
              <w:jc w:val="right"/>
              <w:ind w:right="113"/>
              <w:spacing w:after="0"/>
              <w:rPr>
                <w:sz w:val="20"/>
                <w:szCs w:val="20"/>
                <w:color w:val="auto"/>
              </w:rPr>
            </w:pPr>
            <w:r>
              <w:rPr>
                <w:rFonts w:ascii="Arial" w:cs="Arial" w:eastAsia="Arial" w:hAnsi="Arial"/>
                <w:sz w:val="16"/>
                <w:szCs w:val="16"/>
                <w:b w:val="1"/>
                <w:bCs w:val="1"/>
                <w:color w:val="auto"/>
              </w:rPr>
              <w:t>Average Price Paid</w:t>
            </w:r>
          </w:p>
        </w:tc>
        <w:tc>
          <w:tcPr>
            <w:tcW w:w="1860" w:type="dxa"/>
            <w:vAlign w:val="bottom"/>
            <w:vMerge w:val="continue"/>
          </w:tcPr>
          <w:p>
            <w:pPr>
              <w:spacing w:after="0"/>
              <w:rPr>
                <w:sz w:val="14"/>
                <w:szCs w:val="14"/>
                <w:color w:val="auto"/>
              </w:rPr>
            </w:pPr>
          </w:p>
        </w:tc>
        <w:tc>
          <w:tcPr>
            <w:tcW w:w="19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Value of Units that May</w:t>
            </w:r>
          </w:p>
        </w:tc>
        <w:tc>
          <w:tcPr>
            <w:tcW w:w="0" w:type="dxa"/>
            <w:vAlign w:val="bottom"/>
          </w:tcPr>
          <w:p>
            <w:pPr>
              <w:spacing w:after="0"/>
              <w:rPr>
                <w:sz w:val="1"/>
                <w:szCs w:val="1"/>
                <w:color w:val="auto"/>
              </w:rPr>
            </w:pPr>
          </w:p>
        </w:tc>
      </w:tr>
      <w:tr>
        <w:trPr>
          <w:trHeight w:val="162"/>
        </w:trPr>
        <w:tc>
          <w:tcPr>
            <w:tcW w:w="3900" w:type="dxa"/>
            <w:vAlign w:val="bottom"/>
            <w:gridSpan w:val="2"/>
            <w:vMerge w:val="restart"/>
          </w:tcPr>
          <w:p>
            <w:pPr>
              <w:ind w:left="1660"/>
              <w:spacing w:after="0"/>
              <w:rPr>
                <w:sz w:val="20"/>
                <w:szCs w:val="20"/>
                <w:color w:val="auto"/>
              </w:rPr>
            </w:pPr>
            <w:r>
              <w:rPr>
                <w:rFonts w:ascii="Arial" w:cs="Arial" w:eastAsia="Arial" w:hAnsi="Arial"/>
                <w:sz w:val="16"/>
                <w:szCs w:val="16"/>
                <w:b w:val="1"/>
                <w:bCs w:val="1"/>
                <w:color w:val="auto"/>
              </w:rPr>
              <w:t>Period</w:t>
            </w:r>
          </w:p>
        </w:tc>
        <w:tc>
          <w:tcPr>
            <w:tcW w:w="1860" w:type="dxa"/>
            <w:vAlign w:val="bottom"/>
            <w:vMerge w:val="continue"/>
          </w:tcPr>
          <w:p>
            <w:pPr>
              <w:spacing w:after="0"/>
              <w:rPr>
                <w:sz w:val="14"/>
                <w:szCs w:val="14"/>
                <w:color w:val="auto"/>
              </w:rPr>
            </w:pPr>
          </w:p>
        </w:tc>
        <w:tc>
          <w:tcPr>
            <w:tcW w:w="1720" w:type="dxa"/>
            <w:vAlign w:val="bottom"/>
            <w:gridSpan w:val="2"/>
            <w:vMerge w:val="continue"/>
          </w:tcPr>
          <w:p>
            <w:pPr>
              <w:spacing w:after="0"/>
              <w:rPr>
                <w:sz w:val="14"/>
                <w:szCs w:val="14"/>
                <w:color w:val="auto"/>
              </w:rPr>
            </w:pPr>
          </w:p>
        </w:tc>
        <w:tc>
          <w:tcPr>
            <w:tcW w:w="18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90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8"/>
              </w:rPr>
              <w:t>Yet Be Purchased Under</w:t>
            </w:r>
          </w:p>
        </w:tc>
        <w:tc>
          <w:tcPr>
            <w:tcW w:w="0" w:type="dxa"/>
            <w:vAlign w:val="bottom"/>
          </w:tcPr>
          <w:p>
            <w:pPr>
              <w:spacing w:after="0"/>
              <w:rPr>
                <w:sz w:val="1"/>
                <w:szCs w:val="1"/>
                <w:color w:val="auto"/>
              </w:rPr>
            </w:pPr>
          </w:p>
        </w:tc>
      </w:tr>
      <w:tr>
        <w:trPr>
          <w:trHeight w:val="216"/>
        </w:trPr>
        <w:tc>
          <w:tcPr>
            <w:tcW w:w="3900" w:type="dxa"/>
            <w:vAlign w:val="bottom"/>
            <w:gridSpan w:val="2"/>
            <w:vMerge w:val="continue"/>
          </w:tcPr>
          <w:p>
            <w:pPr>
              <w:spacing w:after="0"/>
              <w:rPr>
                <w:sz w:val="18"/>
                <w:szCs w:val="18"/>
                <w:color w:val="auto"/>
              </w:rPr>
            </w:pPr>
          </w:p>
        </w:tc>
        <w:tc>
          <w:tcPr>
            <w:tcW w:w="1860" w:type="dxa"/>
            <w:vAlign w:val="bottom"/>
          </w:tcPr>
          <w:p>
            <w:pPr>
              <w:jc w:val="right"/>
              <w:ind w:right="413"/>
              <w:spacing w:after="0" w:line="216" w:lineRule="exact"/>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360" w:type="dxa"/>
            <w:vAlign w:val="bottom"/>
          </w:tcPr>
          <w:p>
            <w:pPr>
              <w:spacing w:after="0"/>
              <w:rPr>
                <w:sz w:val="18"/>
                <w:szCs w:val="18"/>
                <w:color w:val="auto"/>
              </w:rPr>
            </w:pPr>
          </w:p>
        </w:tc>
        <w:tc>
          <w:tcPr>
            <w:tcW w:w="1360" w:type="dxa"/>
            <w:vAlign w:val="bottom"/>
          </w:tcPr>
          <w:p>
            <w:pPr>
              <w:jc w:val="right"/>
              <w:ind w:right="413"/>
              <w:spacing w:after="0" w:line="216" w:lineRule="exact"/>
              <w:rPr>
                <w:sz w:val="20"/>
                <w:szCs w:val="20"/>
                <w:color w:val="auto"/>
              </w:rPr>
            </w:pPr>
            <w:r>
              <w:rPr>
                <w:rFonts w:ascii="Arial" w:cs="Arial" w:eastAsia="Arial" w:hAnsi="Arial"/>
                <w:sz w:val="16"/>
                <w:szCs w:val="16"/>
                <w:b w:val="1"/>
                <w:bCs w:val="1"/>
                <w:color w:val="auto"/>
              </w:rPr>
              <w:t>Per Unit</w:t>
            </w:r>
            <w:r>
              <w:rPr>
                <w:rFonts w:ascii="Arial" w:cs="Arial" w:eastAsia="Arial" w:hAnsi="Arial"/>
                <w:sz w:val="21"/>
                <w:szCs w:val="21"/>
                <w:b w:val="1"/>
                <w:bCs w:val="1"/>
                <w:color w:val="auto"/>
                <w:vertAlign w:val="superscript"/>
              </w:rPr>
              <w:t>(2)</w:t>
            </w:r>
          </w:p>
        </w:tc>
        <w:tc>
          <w:tcPr>
            <w:tcW w:w="1860" w:type="dxa"/>
            <w:vAlign w:val="bottom"/>
          </w:tcPr>
          <w:p>
            <w:pPr>
              <w:jc w:val="center"/>
              <w:spacing w:after="0"/>
              <w:rPr>
                <w:sz w:val="20"/>
                <w:szCs w:val="20"/>
                <w:color w:val="auto"/>
              </w:rPr>
            </w:pPr>
            <w:r>
              <w:rPr>
                <w:rFonts w:ascii="Arial" w:cs="Arial" w:eastAsia="Arial" w:hAnsi="Arial"/>
                <w:sz w:val="16"/>
                <w:szCs w:val="16"/>
                <w:b w:val="1"/>
                <w:bCs w:val="1"/>
                <w:color w:val="auto"/>
                <w:w w:val="91"/>
              </w:rPr>
              <w:t>Publicly Announced Plan</w:t>
            </w:r>
          </w:p>
        </w:tc>
        <w:tc>
          <w:tcPr>
            <w:tcW w:w="260" w:type="dxa"/>
            <w:vAlign w:val="bottom"/>
          </w:tcPr>
          <w:p>
            <w:pPr>
              <w:spacing w:after="0"/>
              <w:rPr>
                <w:sz w:val="18"/>
                <w:szCs w:val="18"/>
                <w:color w:val="auto"/>
              </w:rPr>
            </w:pPr>
          </w:p>
        </w:tc>
        <w:tc>
          <w:tcPr>
            <w:tcW w:w="1640" w:type="dxa"/>
            <w:vAlign w:val="bottom"/>
          </w:tcPr>
          <w:p>
            <w:pPr>
              <w:jc w:val="right"/>
              <w:ind w:right="454"/>
              <w:spacing w:after="0" w:line="216" w:lineRule="exact"/>
              <w:rPr>
                <w:sz w:val="20"/>
                <w:szCs w:val="20"/>
                <w:color w:val="auto"/>
              </w:rPr>
            </w:pPr>
            <w:r>
              <w:rPr>
                <w:rFonts w:ascii="Arial" w:cs="Arial" w:eastAsia="Arial" w:hAnsi="Arial"/>
                <w:sz w:val="16"/>
                <w:szCs w:val="16"/>
                <w:b w:val="1"/>
                <w:bCs w:val="1"/>
                <w:color w:val="auto"/>
              </w:rPr>
              <w:t>the Plan</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07"/>
        </w:trPr>
        <w:tc>
          <w:tcPr>
            <w:tcW w:w="3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gridSpan w:val="2"/>
          </w:tcPr>
          <w:p>
            <w:pPr>
              <w:jc w:val="right"/>
              <w:ind w:right="454"/>
              <w:spacing w:after="0"/>
              <w:rPr>
                <w:sz w:val="20"/>
                <w:szCs w:val="20"/>
                <w:color w:val="auto"/>
              </w:rPr>
            </w:pPr>
            <w:r>
              <w:rPr>
                <w:rFonts w:ascii="Arial" w:cs="Arial" w:eastAsia="Arial" w:hAnsi="Arial"/>
                <w:sz w:val="16"/>
                <w:szCs w:val="16"/>
                <w:b w:val="1"/>
                <w:bCs w:val="1"/>
                <w:color w:val="auto"/>
                <w:w w:val="96"/>
              </w:rPr>
              <w:t>(In thousands, except unit amounts)</w:t>
            </w: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2021 - July 31, 2021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294,921</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17.41</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51,018</w:t>
            </w:r>
          </w:p>
        </w:tc>
        <w:tc>
          <w:tcPr>
            <w:tcW w:w="0" w:type="dxa"/>
            <w:vAlign w:val="bottom"/>
          </w:tcPr>
          <w:p>
            <w:pPr>
              <w:spacing w:after="0"/>
              <w:rPr>
                <w:sz w:val="1"/>
                <w:szCs w:val="1"/>
                <w:color w:val="auto"/>
              </w:rPr>
            </w:pPr>
          </w:p>
        </w:tc>
      </w:tr>
      <w:tr>
        <w:trPr>
          <w:trHeight w:val="229"/>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August 1, 2021 - August 31, 2021</w:t>
            </w:r>
          </w:p>
        </w:tc>
        <w:tc>
          <w:tcPr>
            <w:tcW w:w="1860" w:type="dxa"/>
            <w:vAlign w:val="bottom"/>
          </w:tcPr>
          <w:p>
            <w:pPr>
              <w:jc w:val="right"/>
              <w:spacing w:after="0"/>
              <w:rPr>
                <w:sz w:val="20"/>
                <w:szCs w:val="20"/>
                <w:color w:val="auto"/>
              </w:rPr>
            </w:pPr>
            <w:r>
              <w:rPr>
                <w:rFonts w:ascii="Arial" w:cs="Arial" w:eastAsia="Arial" w:hAnsi="Arial"/>
                <w:sz w:val="18"/>
                <w:szCs w:val="18"/>
                <w:color w:val="auto"/>
              </w:rPr>
              <w:t>335,957</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17.71</w:t>
            </w:r>
          </w:p>
        </w:tc>
        <w:tc>
          <w:tcPr>
            <w:tcW w:w="1860" w:type="dxa"/>
            <w:vAlign w:val="bottom"/>
          </w:tcPr>
          <w:p>
            <w:pPr>
              <w:jc w:val="right"/>
              <w:spacing w:after="0"/>
              <w:rPr>
                <w:sz w:val="20"/>
                <w:szCs w:val="20"/>
                <w:color w:val="auto"/>
              </w:rPr>
            </w:pPr>
            <w:r>
              <w:rPr>
                <w:rFonts w:ascii="Arial" w:cs="Arial" w:eastAsia="Arial" w:hAnsi="Arial"/>
                <w:sz w:val="18"/>
                <w:szCs w:val="18"/>
                <w:color w:val="auto"/>
              </w:rPr>
              <w:t>335,957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45,069</w:t>
            </w:r>
          </w:p>
        </w:tc>
        <w:tc>
          <w:tcPr>
            <w:tcW w:w="0" w:type="dxa"/>
            <w:vAlign w:val="bottom"/>
          </w:tcPr>
          <w:p>
            <w:pPr>
              <w:spacing w:after="0"/>
              <w:rPr>
                <w:sz w:val="1"/>
                <w:szCs w:val="1"/>
                <w:color w:val="auto"/>
              </w:rPr>
            </w:pPr>
          </w:p>
        </w:tc>
      </w:tr>
      <w:tr>
        <w:trPr>
          <w:trHeight w:val="23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2021 - September 30, 2021</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134,634</w:t>
            </w:r>
          </w:p>
        </w:tc>
        <w:tc>
          <w:tcPr>
            <w:tcW w:w="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19.74</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134,634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42,412</w:t>
            </w:r>
          </w:p>
        </w:tc>
        <w:tc>
          <w:tcPr>
            <w:tcW w:w="0" w:type="dxa"/>
            <w:vAlign w:val="bottom"/>
          </w:tcPr>
          <w:p>
            <w:pPr>
              <w:spacing w:after="0"/>
              <w:rPr>
                <w:sz w:val="1"/>
                <w:szCs w:val="1"/>
                <w:color w:val="auto"/>
              </w:rPr>
            </w:pPr>
          </w:p>
        </w:tc>
      </w:tr>
      <w:tr>
        <w:trPr>
          <w:trHeight w:val="224"/>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860" w:type="dxa"/>
            <w:vAlign w:val="bottom"/>
          </w:tcPr>
          <w:p>
            <w:pPr>
              <w:jc w:val="right"/>
              <w:spacing w:after="0"/>
              <w:rPr>
                <w:sz w:val="20"/>
                <w:szCs w:val="20"/>
                <w:color w:val="auto"/>
              </w:rPr>
            </w:pPr>
            <w:r>
              <w:rPr>
                <w:rFonts w:ascii="Arial" w:cs="Arial" w:eastAsia="Arial" w:hAnsi="Arial"/>
                <w:sz w:val="18"/>
                <w:szCs w:val="18"/>
                <w:color w:val="auto"/>
              </w:rPr>
              <w:t>765,512</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17.95</w:t>
            </w:r>
          </w:p>
        </w:tc>
        <w:tc>
          <w:tcPr>
            <w:tcW w:w="1860" w:type="dxa"/>
            <w:vAlign w:val="bottom"/>
          </w:tcPr>
          <w:p>
            <w:pPr>
              <w:jc w:val="right"/>
              <w:spacing w:after="0"/>
              <w:rPr>
                <w:sz w:val="20"/>
                <w:szCs w:val="20"/>
                <w:color w:val="auto"/>
              </w:rPr>
            </w:pPr>
            <w:r>
              <w:rPr>
                <w:rFonts w:ascii="Arial" w:cs="Arial" w:eastAsia="Arial" w:hAnsi="Arial"/>
                <w:sz w:val="18"/>
                <w:szCs w:val="18"/>
                <w:color w:val="auto"/>
              </w:rPr>
              <w:t>765,512</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340" w:hanging="332"/>
        <w:spacing w:after="0" w:line="258" w:lineRule="auto"/>
        <w:tabs>
          <w:tab w:leader="none" w:pos="3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common units repurchased from employees in order to satisfy tax withholding requirements, if any. Such units are cancelled and retired immediately upon repurchase.</w:t>
      </w:r>
    </w:p>
    <w:p>
      <w:pPr>
        <w:spacing w:after="0" w:line="1" w:lineRule="exact"/>
        <w:rPr>
          <w:rFonts w:ascii="Arial" w:cs="Arial" w:eastAsia="Arial" w:hAnsi="Arial"/>
          <w:sz w:val="18"/>
          <w:szCs w:val="18"/>
          <w:color w:val="auto"/>
        </w:rPr>
      </w:pPr>
    </w:p>
    <w:p>
      <w:pPr>
        <w:ind w:left="320" w:hanging="312"/>
        <w:spacing w:after="0" w:line="236"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average price paid per common unit includes any commissions paid to repurchase a common unit.</w:t>
      </w:r>
    </w:p>
    <w:p>
      <w:pPr>
        <w:jc w:val="both"/>
        <w:ind w:left="340" w:hanging="332"/>
        <w:spacing w:after="0" w:line="226" w:lineRule="auto"/>
        <w:tabs>
          <w:tab w:leader="none" w:pos="33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November 2020, the board of directors of our general partner approved a common unit repurchase program to acquire up to $100.0 million of our outstanding common units through December 31, 2021. This repurchase program is subject to market conditions, applicable legal requirements, contractual obligations and other factors and may be suspended from time to time, modified, extended or discontinued by the board of directors of our general partner at any time.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ind w:left="60"/>
              <w:spacing w:after="0"/>
              <w:rPr>
                <w:sz w:val="20"/>
                <w:szCs w:val="20"/>
                <w:color w:val="auto"/>
              </w:rPr>
            </w:pPr>
            <w:r>
              <w:rPr>
                <w:rFonts w:ascii="Arial" w:cs="Arial" w:eastAsia="Arial" w:hAnsi="Arial"/>
                <w:sz w:val="18"/>
                <w:szCs w:val="18"/>
                <w:b w:val="1"/>
                <w:bCs w:val="1"/>
                <w:color w:val="auto"/>
                <w:w w:val="99"/>
              </w:rPr>
              <w:t>Exhibit Number</w:t>
            </w:r>
          </w:p>
        </w:tc>
        <w:tc>
          <w:tcPr>
            <w:tcW w:w="10060" w:type="dxa"/>
            <w:vAlign w:val="bottom"/>
            <w:gridSpan w:val="27"/>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108"/>
        </w:trPr>
        <w:tc>
          <w:tcPr>
            <w:tcW w:w="14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183"/>
        </w:trPr>
        <w:tc>
          <w:tcPr>
            <w:tcW w:w="14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2.1</w:t>
            </w:r>
          </w:p>
        </w:tc>
        <w:tc>
          <w:tcPr>
            <w:tcW w:w="10060" w:type="dxa"/>
            <w:vAlign w:val="bottom"/>
            <w:gridSpan w:val="27"/>
            <w:shd w:val="clear" w:color="auto" w:fill="CCEEFF"/>
          </w:tcPr>
          <w:p>
            <w:pPr>
              <w:spacing w:after="0" w:line="182" w:lineRule="exact"/>
              <w:rPr>
                <w:rFonts w:ascii="Arial" w:cs="Arial" w:eastAsia="Arial" w:hAnsi="Arial"/>
                <w:sz w:val="18"/>
                <w:szCs w:val="18"/>
                <w:color w:val="0000FF"/>
              </w:rPr>
            </w:pPr>
            <w:hyperlink r:id="rId51">
              <w:r>
                <w:rPr>
                  <w:rFonts w:ascii="Arial" w:cs="Arial" w:eastAsia="Arial" w:hAnsi="Arial"/>
                  <w:sz w:val="18"/>
                  <w:szCs w:val="18"/>
                  <w:color w:val="0000FF"/>
                </w:rPr>
                <w:t>Purchase and Sale Agreement dated August 6, 2021 by and among Swallowtail Royalties LLC, Swallowtail Royalties II LLC</w:t>
              </w:r>
            </w:hyperlink>
          </w:p>
        </w:tc>
      </w:tr>
      <w:tr>
        <w:trPr>
          <w:trHeight w:val="156"/>
        </w:trPr>
        <w:tc>
          <w:tcPr>
            <w:tcW w:w="1400" w:type="dxa"/>
            <w:vAlign w:val="bottom"/>
            <w:tcBorders>
              <w:top w:val="single" w:sz="8" w:color="CCEEFF"/>
              <w:bottom w:val="single" w:sz="8" w:color="CCEEFF"/>
            </w:tcBorders>
            <w:shd w:val="clear" w:color="auto" w:fill="CCEEFF"/>
          </w:tcPr>
          <w:p>
            <w:pPr>
              <w:spacing w:after="0"/>
              <w:rPr>
                <w:sz w:val="13"/>
                <w:szCs w:val="13"/>
                <w:color w:val="auto"/>
              </w:rPr>
            </w:pPr>
          </w:p>
        </w:tc>
        <w:tc>
          <w:tcPr>
            <w:tcW w:w="9860" w:type="dxa"/>
            <w:vAlign w:val="bottom"/>
            <w:tcBorders>
              <w:top w:val="single" w:sz="8" w:color="0000FF"/>
              <w:bottom w:val="single" w:sz="8" w:color="0000FF"/>
            </w:tcBorders>
            <w:gridSpan w:val="17"/>
            <w:shd w:val="clear" w:color="auto" w:fill="CCEEFF"/>
          </w:tcPr>
          <w:p>
            <w:pPr>
              <w:spacing w:after="0" w:line="156" w:lineRule="exact"/>
              <w:rPr>
                <w:rFonts w:ascii="Arial" w:cs="Arial" w:eastAsia="Arial" w:hAnsi="Arial"/>
                <w:sz w:val="18"/>
                <w:szCs w:val="18"/>
                <w:color w:val="0000FF"/>
                <w:w w:val="95"/>
              </w:rPr>
            </w:pPr>
            <w:hyperlink r:id="rId51">
              <w:r>
                <w:rPr>
                  <w:rFonts w:ascii="Arial" w:cs="Arial" w:eastAsia="Arial" w:hAnsi="Arial"/>
                  <w:sz w:val="18"/>
                  <w:szCs w:val="18"/>
                  <w:color w:val="0000FF"/>
                  <w:w w:val="95"/>
                </w:rPr>
                <w:t>(collectively, as seller), Viper Energy Partners LLC (as buyer) and Viper Energy Partners LP (as parent, and collectively with Viper</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5"/>
        </w:trPr>
        <w:tc>
          <w:tcPr>
            <w:tcW w:w="1400" w:type="dxa"/>
            <w:vAlign w:val="bottom"/>
            <w:shd w:val="clear" w:color="auto" w:fill="CCEEFF"/>
          </w:tcPr>
          <w:p>
            <w:pPr>
              <w:spacing w:after="0"/>
              <w:rPr>
                <w:sz w:val="13"/>
                <w:szCs w:val="13"/>
                <w:color w:val="auto"/>
              </w:rPr>
            </w:pPr>
          </w:p>
        </w:tc>
        <w:tc>
          <w:tcPr>
            <w:tcW w:w="10040" w:type="dxa"/>
            <w:vAlign w:val="bottom"/>
            <w:gridSpan w:val="26"/>
            <w:shd w:val="clear" w:color="auto" w:fill="CCEEFF"/>
          </w:tcPr>
          <w:p>
            <w:pPr>
              <w:spacing w:after="0" w:line="156" w:lineRule="exact"/>
              <w:rPr>
                <w:rFonts w:ascii="Arial" w:cs="Arial" w:eastAsia="Arial" w:hAnsi="Arial"/>
                <w:sz w:val="18"/>
                <w:szCs w:val="18"/>
                <w:color w:val="0000FF"/>
                <w:w w:val="93"/>
              </w:rPr>
            </w:pPr>
            <w:hyperlink r:id="rId51">
              <w:r>
                <w:rPr>
                  <w:rFonts w:ascii="Arial" w:cs="Arial" w:eastAsia="Arial" w:hAnsi="Arial"/>
                  <w:sz w:val="18"/>
                  <w:szCs w:val="18"/>
                  <w:color w:val="0000FF"/>
                  <w:w w:val="93"/>
                </w:rPr>
                <w:t>Energy Partners LLC, as buyer parties) (incorporated by reference to Exhibit 2.1 of the Partnership’s Current Report on Form 8-K (File</w:t>
              </w:r>
            </w:hyperlink>
          </w:p>
        </w:tc>
        <w:tc>
          <w:tcPr>
            <w:tcW w:w="20" w:type="dxa"/>
            <w:vAlign w:val="bottom"/>
            <w:shd w:val="clear" w:color="auto" w:fill="CCEEFF"/>
          </w:tcPr>
          <w:p>
            <w:pPr>
              <w:spacing w:after="0"/>
              <w:rPr>
                <w:sz w:val="13"/>
                <w:szCs w:val="13"/>
                <w:color w:val="auto"/>
              </w:rPr>
            </w:pPr>
          </w:p>
        </w:tc>
      </w:tr>
      <w:tr>
        <w:trPr>
          <w:trHeight w:val="156"/>
        </w:trPr>
        <w:tc>
          <w:tcPr>
            <w:tcW w:w="1400" w:type="dxa"/>
            <w:vAlign w:val="bottom"/>
            <w:tcBorders>
              <w:top w:val="single" w:sz="8" w:color="CCEEFF"/>
            </w:tcBorders>
            <w:shd w:val="clear" w:color="auto" w:fill="CCEEFF"/>
          </w:tcPr>
          <w:p>
            <w:pPr>
              <w:spacing w:after="0"/>
              <w:rPr>
                <w:sz w:val="13"/>
                <w:szCs w:val="13"/>
                <w:color w:val="auto"/>
              </w:rPr>
            </w:pPr>
          </w:p>
        </w:tc>
        <w:tc>
          <w:tcPr>
            <w:tcW w:w="9840" w:type="dxa"/>
            <w:vAlign w:val="bottom"/>
            <w:tcBorders>
              <w:top w:val="single" w:sz="8" w:color="0000FF"/>
            </w:tcBorders>
            <w:gridSpan w:val="16"/>
            <w:shd w:val="clear" w:color="auto" w:fill="CCEEFF"/>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001-36505) filed on August 12, 2021).</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21"/>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3.1</w:t>
            </w:r>
          </w:p>
        </w:tc>
        <w:tc>
          <w:tcPr>
            <w:tcW w:w="10060" w:type="dxa"/>
            <w:vAlign w:val="bottom"/>
            <w:gridSpan w:val="27"/>
          </w:tcPr>
          <w:p>
            <w:pPr>
              <w:spacing w:after="0" w:line="189" w:lineRule="exact"/>
              <w:rPr>
                <w:rFonts w:ascii="Arial" w:cs="Arial" w:eastAsia="Arial" w:hAnsi="Arial"/>
                <w:sz w:val="18"/>
                <w:szCs w:val="18"/>
                <w:color w:val="0000FF"/>
              </w:rPr>
            </w:pPr>
            <w:hyperlink r:id="rId52">
              <w:r>
                <w:rPr>
                  <w:rFonts w:ascii="Arial" w:cs="Arial" w:eastAsia="Arial" w:hAnsi="Arial"/>
                  <w:sz w:val="18"/>
                  <w:szCs w:val="18"/>
                  <w:color w:val="0000FF"/>
                </w:rPr>
                <w:t>Certificate of Limited Partnership of Viper Energy Partners LP (incorporated by reference to Exhibit 3.1 of the Partnership’s</w:t>
              </w:r>
            </w:hyperlink>
          </w:p>
        </w:tc>
      </w:tr>
      <w:tr>
        <w:trPr>
          <w:trHeight w:val="156"/>
        </w:trPr>
        <w:tc>
          <w:tcPr>
            <w:tcW w:w="1400" w:type="dxa"/>
            <w:vAlign w:val="bottom"/>
          </w:tcPr>
          <w:p>
            <w:pPr>
              <w:spacing w:after="0"/>
              <w:rPr>
                <w:sz w:val="13"/>
                <w:szCs w:val="13"/>
                <w:color w:val="auto"/>
              </w:rPr>
            </w:pPr>
          </w:p>
        </w:tc>
        <w:tc>
          <w:tcPr>
            <w:tcW w:w="97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52">
              <w:r>
                <w:rPr>
                  <w:rFonts w:ascii="Arial" w:cs="Arial" w:eastAsia="Arial" w:hAnsi="Arial"/>
                  <w:sz w:val="18"/>
                  <w:szCs w:val="18"/>
                  <w:color w:val="0000FF"/>
                </w:rPr>
                <w:t>Registration Statement on Form S-1 (File 333-195769) filed on May 7,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61"/>
        </w:trPr>
        <w:tc>
          <w:tcPr>
            <w:tcW w:w="1400" w:type="dxa"/>
            <w:vAlign w:val="bottom"/>
          </w:tcPr>
          <w:p>
            <w:pPr>
              <w:spacing w:after="0"/>
              <w:rPr>
                <w:sz w:val="5"/>
                <w:szCs w:val="5"/>
                <w:color w:val="auto"/>
              </w:rPr>
            </w:pPr>
          </w:p>
        </w:tc>
        <w:tc>
          <w:tcPr>
            <w:tcW w:w="4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560" w:type="dxa"/>
            <w:vAlign w:val="bottom"/>
            <w:tcBorders>
              <w:top w:val="single" w:sz="8" w:color="0000FF"/>
            </w:tcBorders>
          </w:tcPr>
          <w:p>
            <w:pPr>
              <w:spacing w:after="0"/>
              <w:rPr>
                <w:sz w:val="5"/>
                <w:szCs w:val="5"/>
                <w:color w:val="auto"/>
              </w:rPr>
            </w:pPr>
          </w:p>
        </w:tc>
        <w:tc>
          <w:tcPr>
            <w:tcW w:w="460" w:type="dxa"/>
            <w:vAlign w:val="bottom"/>
            <w:tcBorders>
              <w:top w:val="single" w:sz="8" w:color="0000FF"/>
            </w:tcBorders>
          </w:tcPr>
          <w:p>
            <w:pPr>
              <w:spacing w:after="0"/>
              <w:rPr>
                <w:sz w:val="5"/>
                <w:szCs w:val="5"/>
                <w:color w:val="auto"/>
              </w:rPr>
            </w:pPr>
          </w:p>
        </w:tc>
        <w:tc>
          <w:tcPr>
            <w:tcW w:w="700" w:type="dxa"/>
            <w:vAlign w:val="bottom"/>
            <w:tcBorders>
              <w:top w:val="single" w:sz="8" w:color="0000FF"/>
            </w:tcBorders>
          </w:tcPr>
          <w:p>
            <w:pPr>
              <w:spacing w:after="0"/>
              <w:rPr>
                <w:sz w:val="5"/>
                <w:szCs w:val="5"/>
                <w:color w:val="auto"/>
              </w:rPr>
            </w:pPr>
          </w:p>
        </w:tc>
        <w:tc>
          <w:tcPr>
            <w:tcW w:w="360" w:type="dxa"/>
            <w:vAlign w:val="bottom"/>
            <w:tcBorders>
              <w:top w:val="single" w:sz="8" w:color="0000FF"/>
            </w:tcBorders>
          </w:tcPr>
          <w:p>
            <w:pPr>
              <w:spacing w:after="0"/>
              <w:rPr>
                <w:sz w:val="5"/>
                <w:szCs w:val="5"/>
                <w:color w:val="auto"/>
              </w:rPr>
            </w:pPr>
          </w:p>
        </w:tc>
        <w:tc>
          <w:tcPr>
            <w:tcW w:w="2840" w:type="dxa"/>
            <w:vAlign w:val="bottom"/>
            <w:tcBorders>
              <w:top w:val="single" w:sz="8" w:color="0000FF"/>
            </w:tcBorders>
          </w:tcPr>
          <w:p>
            <w:pPr>
              <w:spacing w:after="0"/>
              <w:rPr>
                <w:sz w:val="5"/>
                <w:szCs w:val="5"/>
                <w:color w:val="auto"/>
              </w:rPr>
            </w:pPr>
          </w:p>
        </w:tc>
        <w:tc>
          <w:tcPr>
            <w:tcW w:w="2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w:t>
            </w:r>
          </w:p>
        </w:tc>
        <w:tc>
          <w:tcPr>
            <w:tcW w:w="10060" w:type="dxa"/>
            <w:vAlign w:val="bottom"/>
            <w:gridSpan w:val="27"/>
            <w:shd w:val="clear" w:color="auto" w:fill="CCEEFF"/>
          </w:tcPr>
          <w:p>
            <w:pPr>
              <w:spacing w:after="0" w:line="189" w:lineRule="exact"/>
              <w:rPr>
                <w:rFonts w:ascii="Arial" w:cs="Arial" w:eastAsia="Arial" w:hAnsi="Arial"/>
                <w:sz w:val="18"/>
                <w:szCs w:val="18"/>
                <w:color w:val="0000FF"/>
                <w:w w:val="93"/>
              </w:rPr>
            </w:pPr>
            <w:hyperlink r:id="rId53">
              <w:r>
                <w:rPr>
                  <w:rFonts w:ascii="Arial" w:cs="Arial" w:eastAsia="Arial" w:hAnsi="Arial"/>
                  <w:sz w:val="18"/>
                  <w:szCs w:val="18"/>
                  <w:color w:val="0000FF"/>
                  <w:w w:val="93"/>
                </w:rPr>
                <w:t>Second Amended and Restated Agreement of Limited Partnership of Viper Energy Partners LP, dated as of May 9, 2018 (incorporated</w:t>
              </w:r>
            </w:hyperlink>
          </w:p>
        </w:tc>
      </w:tr>
      <w:tr>
        <w:trPr>
          <w:trHeight w:val="156"/>
        </w:trPr>
        <w:tc>
          <w:tcPr>
            <w:tcW w:w="140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18"/>
            <w:shd w:val="clear" w:color="auto" w:fill="CCEEFF"/>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by reference to Exhibit 3.1 of the Partnership’s Current Report on Form 8-K (File 001-36505) filed on May 15, 2018).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21"/>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84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3.3</w:t>
            </w:r>
          </w:p>
        </w:tc>
        <w:tc>
          <w:tcPr>
            <w:tcW w:w="10060" w:type="dxa"/>
            <w:vAlign w:val="bottom"/>
            <w:gridSpan w:val="27"/>
          </w:tcPr>
          <w:p>
            <w:pPr>
              <w:spacing w:after="0" w:line="189"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First Amendment to Second Amended and Restated Agreement of Limited Partnership of Viper Energy Partners LP, dated as of May</w:t>
              </w:r>
            </w:hyperlink>
          </w:p>
        </w:tc>
      </w:tr>
      <w:tr>
        <w:trPr>
          <w:trHeight w:val="156"/>
        </w:trPr>
        <w:tc>
          <w:tcPr>
            <w:tcW w:w="1400" w:type="dxa"/>
            <w:vAlign w:val="bottom"/>
          </w:tcPr>
          <w:p>
            <w:pPr>
              <w:spacing w:after="0"/>
              <w:rPr>
                <w:sz w:val="13"/>
                <w:szCs w:val="13"/>
                <w:color w:val="auto"/>
              </w:rPr>
            </w:pPr>
          </w:p>
        </w:tc>
        <w:tc>
          <w:tcPr>
            <w:tcW w:w="9960" w:type="dxa"/>
            <w:vAlign w:val="bottom"/>
            <w:tcBorders>
              <w:top w:val="single" w:sz="8" w:color="0000FF"/>
            </w:tcBorders>
            <w:gridSpan w:val="22"/>
          </w:tcPr>
          <w:p>
            <w:pPr>
              <w:spacing w:after="0" w:line="156" w:lineRule="exact"/>
              <w:rPr>
                <w:rFonts w:ascii="Arial" w:cs="Arial" w:eastAsia="Arial" w:hAnsi="Arial"/>
                <w:sz w:val="18"/>
                <w:szCs w:val="18"/>
                <w:color w:val="0000FF"/>
                <w:w w:val="93"/>
              </w:rPr>
            </w:pPr>
            <w:hyperlink r:id="rId54">
              <w:r>
                <w:rPr>
                  <w:rFonts w:ascii="Arial" w:cs="Arial" w:eastAsia="Arial" w:hAnsi="Arial"/>
                  <w:sz w:val="18"/>
                  <w:szCs w:val="18"/>
                  <w:color w:val="0000FF"/>
                  <w:w w:val="93"/>
                </w:rPr>
                <w:t>10, 2018. (incorporated by reference to Exhibit 3.2 of the Partnership’s Current Report on Form 8-K (File 001-36505) filed on May 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6"/>
              </w:rPr>
            </w:pPr>
            <w:hyperlink r:id="rId54">
              <w:r>
                <w:rPr>
                  <w:rFonts w:ascii="Arial" w:cs="Arial" w:eastAsia="Arial" w:hAnsi="Arial"/>
                  <w:sz w:val="18"/>
                  <w:szCs w:val="18"/>
                  <w:color w:val="0000FF"/>
                  <w:w w:val="86"/>
                </w:rPr>
                <w:t>2018).</w:t>
              </w:r>
            </w:hyperlink>
          </w:p>
        </w:tc>
        <w:tc>
          <w:tcPr>
            <w:tcW w:w="2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840" w:type="dxa"/>
            <w:vAlign w:val="bottom"/>
            <w:tcBorders>
              <w:top w:val="single" w:sz="8" w:color="0000FF"/>
            </w:tcBorders>
          </w:tcPr>
          <w:p>
            <w:pPr>
              <w:spacing w:after="0"/>
              <w:rPr>
                <w:sz w:val="13"/>
                <w:szCs w:val="13"/>
                <w:color w:val="auto"/>
              </w:rPr>
            </w:pPr>
          </w:p>
        </w:tc>
        <w:tc>
          <w:tcPr>
            <w:tcW w:w="204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
        </w:trPr>
        <w:tc>
          <w:tcPr>
            <w:tcW w:w="1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3.4</w:t>
            </w:r>
          </w:p>
        </w:tc>
        <w:tc>
          <w:tcPr>
            <w:tcW w:w="10060" w:type="dxa"/>
            <w:vAlign w:val="bottom"/>
            <w:gridSpan w:val="27"/>
            <w:shd w:val="clear" w:color="auto" w:fill="CCEEFF"/>
          </w:tcPr>
          <w:p>
            <w:pPr>
              <w:spacing w:after="0" w:line="189" w:lineRule="exact"/>
              <w:rPr>
                <w:rFonts w:ascii="Arial" w:cs="Arial" w:eastAsia="Arial" w:hAnsi="Arial"/>
                <w:sz w:val="18"/>
                <w:szCs w:val="18"/>
                <w:color w:val="0000FF"/>
                <w:w w:val="99"/>
              </w:rPr>
            </w:pPr>
            <w:hyperlink r:id="rId55">
              <w:r>
                <w:rPr>
                  <w:rFonts w:ascii="Arial" w:cs="Arial" w:eastAsia="Arial" w:hAnsi="Arial"/>
                  <w:sz w:val="18"/>
                  <w:szCs w:val="18"/>
                  <w:color w:val="0000FF"/>
                  <w:w w:val="99"/>
                </w:rPr>
                <w:t>Second Amended and Restated Limited Liability Company Agreement of Viper Energy Partners LLC, dated as of May 9, 2018.</w:t>
              </w:r>
            </w:hyperlink>
          </w:p>
        </w:tc>
      </w:tr>
      <w:tr>
        <w:trPr>
          <w:trHeight w:val="156"/>
        </w:trPr>
        <w:tc>
          <w:tcPr>
            <w:tcW w:w="1400" w:type="dxa"/>
            <w:vAlign w:val="bottom"/>
            <w:tcBorders>
              <w:top w:val="single" w:sz="8" w:color="CCEEFF"/>
            </w:tcBorders>
            <w:shd w:val="clear" w:color="auto" w:fill="CCEEFF"/>
          </w:tcPr>
          <w:p>
            <w:pPr>
              <w:spacing w:after="0"/>
              <w:rPr>
                <w:sz w:val="13"/>
                <w:szCs w:val="13"/>
                <w:color w:val="auto"/>
              </w:rPr>
            </w:pPr>
          </w:p>
        </w:tc>
        <w:tc>
          <w:tcPr>
            <w:tcW w:w="9940" w:type="dxa"/>
            <w:vAlign w:val="bottom"/>
            <w:tcBorders>
              <w:top w:val="single" w:sz="8" w:color="0000FF"/>
            </w:tcBorders>
            <w:gridSpan w:val="21"/>
            <w:shd w:val="clear" w:color="auto" w:fill="CCEEFF"/>
          </w:tcPr>
          <w:p>
            <w:pPr>
              <w:spacing w:after="0" w:line="156" w:lineRule="exact"/>
              <w:rPr>
                <w:rFonts w:ascii="Arial" w:cs="Arial" w:eastAsia="Arial" w:hAnsi="Arial"/>
                <w:sz w:val="18"/>
                <w:szCs w:val="18"/>
                <w:color w:val="0000FF"/>
                <w:w w:val="95"/>
              </w:rPr>
            </w:pPr>
            <w:hyperlink r:id="rId55">
              <w:r>
                <w:rPr>
                  <w:rFonts w:ascii="Arial" w:cs="Arial" w:eastAsia="Arial" w:hAnsi="Arial"/>
                  <w:sz w:val="18"/>
                  <w:szCs w:val="18"/>
                  <w:color w:val="0000FF"/>
                  <w:w w:val="95"/>
                </w:rPr>
                <w:t>(incorporated by reference to Exhibit 3.3 of the Partnership’s Current Report on Form 8-K (File 001-36505) filed on May 15, 2018).</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r>
      <w:tr>
        <w:trPr>
          <w:trHeight w:val="20"/>
        </w:trPr>
        <w:tc>
          <w:tcPr>
            <w:tcW w:w="1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840" w:type="dxa"/>
            <w:vAlign w:val="bottom"/>
            <w:tcBorders>
              <w:top w:val="single" w:sz="8" w:color="0000FF"/>
            </w:tcBorders>
            <w:shd w:val="clear" w:color="auto" w:fill="CCEEFF"/>
          </w:tcPr>
          <w:p>
            <w:pPr>
              <w:spacing w:after="0" w:line="20" w:lineRule="exact"/>
              <w:rPr>
                <w:sz w:val="1"/>
                <w:szCs w:val="1"/>
                <w:color w:val="auto"/>
              </w:rPr>
            </w:pPr>
          </w:p>
        </w:tc>
        <w:tc>
          <w:tcPr>
            <w:tcW w:w="20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3.5</w:t>
            </w:r>
          </w:p>
        </w:tc>
        <w:tc>
          <w:tcPr>
            <w:tcW w:w="10060" w:type="dxa"/>
            <w:vAlign w:val="bottom"/>
            <w:gridSpan w:val="27"/>
          </w:tcPr>
          <w:p>
            <w:pPr>
              <w:spacing w:after="0" w:line="189" w:lineRule="exact"/>
              <w:rPr>
                <w:rFonts w:ascii="Arial" w:cs="Arial" w:eastAsia="Arial" w:hAnsi="Arial"/>
                <w:sz w:val="18"/>
                <w:szCs w:val="18"/>
                <w:color w:val="0000FF"/>
                <w:w w:val="94"/>
              </w:rPr>
            </w:pPr>
            <w:hyperlink r:id="rId56">
              <w:r>
                <w:rPr>
                  <w:rFonts w:ascii="Arial" w:cs="Arial" w:eastAsia="Arial" w:hAnsi="Arial"/>
                  <w:sz w:val="18"/>
                  <w:szCs w:val="18"/>
                  <w:color w:val="0000FF"/>
                  <w:w w:val="94"/>
                </w:rPr>
                <w:t>First Amendment to Second Amended and Restated Limited Liability Company Agreement of Viper Energy Partners LLC, dated as of</w:t>
              </w:r>
            </w:hyperlink>
          </w:p>
        </w:tc>
      </w:tr>
      <w:tr>
        <w:trPr>
          <w:trHeight w:val="156"/>
        </w:trPr>
        <w:tc>
          <w:tcPr>
            <w:tcW w:w="1400" w:type="dxa"/>
            <w:vAlign w:val="bottom"/>
          </w:tcPr>
          <w:p>
            <w:pPr>
              <w:spacing w:after="0"/>
              <w:rPr>
                <w:sz w:val="13"/>
                <w:szCs w:val="13"/>
                <w:color w:val="auto"/>
              </w:rPr>
            </w:pPr>
          </w:p>
        </w:tc>
        <w:tc>
          <w:tcPr>
            <w:tcW w:w="10020" w:type="dxa"/>
            <w:vAlign w:val="bottom"/>
            <w:tcBorders>
              <w:top w:val="single" w:sz="8" w:color="0000FF"/>
            </w:tcBorders>
            <w:gridSpan w:val="25"/>
          </w:tcPr>
          <w:p>
            <w:pPr>
              <w:spacing w:after="0" w:line="156" w:lineRule="exact"/>
              <w:rPr>
                <w:rFonts w:ascii="Arial" w:cs="Arial" w:eastAsia="Arial" w:hAnsi="Arial"/>
                <w:sz w:val="18"/>
                <w:szCs w:val="18"/>
                <w:color w:val="0000FF"/>
                <w:w w:val="96"/>
              </w:rPr>
            </w:pPr>
            <w:hyperlink r:id="rId56">
              <w:r>
                <w:rPr>
                  <w:rFonts w:ascii="Arial" w:cs="Arial" w:eastAsia="Arial" w:hAnsi="Arial"/>
                  <w:sz w:val="18"/>
                  <w:szCs w:val="18"/>
                  <w:color w:val="0000FF"/>
                  <w:w w:val="96"/>
                </w:rPr>
                <w:t>March 30, 2020 (incorporated by reference to Exhibit 3.1 of the Partnership’s Current Report on Form 8-K (File 001-36505) filed on</w:t>
              </w:r>
            </w:hyperlink>
          </w:p>
        </w:tc>
        <w:tc>
          <w:tcPr>
            <w:tcW w:w="40" w:type="dxa"/>
            <w:vAlign w:val="bottom"/>
            <w:gridSpan w:val="2"/>
          </w:tcPr>
          <w:p>
            <w:pPr>
              <w:spacing w:after="0"/>
              <w:rPr>
                <w:sz w:val="13"/>
                <w:szCs w:val="13"/>
                <w:color w:val="auto"/>
              </w:rPr>
            </w:pPr>
          </w:p>
        </w:tc>
      </w:tr>
      <w:tr>
        <w:trPr>
          <w:trHeight w:val="155"/>
        </w:trPr>
        <w:tc>
          <w:tcPr>
            <w:tcW w:w="1400" w:type="dxa"/>
            <w:vAlign w:val="bottom"/>
          </w:tcPr>
          <w:p>
            <w:pPr>
              <w:spacing w:after="0"/>
              <w:rPr>
                <w:sz w:val="13"/>
                <w:szCs w:val="13"/>
                <w:color w:val="auto"/>
              </w:rPr>
            </w:pPr>
          </w:p>
        </w:tc>
        <w:tc>
          <w:tcPr>
            <w:tcW w:w="990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March 31, 2020).</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
        </w:trPr>
        <w:tc>
          <w:tcPr>
            <w:tcW w:w="14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4.1</w:t>
            </w:r>
          </w:p>
        </w:tc>
        <w:tc>
          <w:tcPr>
            <w:tcW w:w="10060" w:type="dxa"/>
            <w:vAlign w:val="bottom"/>
            <w:gridSpan w:val="27"/>
            <w:shd w:val="clear" w:color="auto" w:fill="CCEEFF"/>
          </w:tcPr>
          <w:p>
            <w:pPr>
              <w:spacing w:after="0" w:line="189" w:lineRule="exact"/>
              <w:rPr>
                <w:rFonts w:ascii="Arial" w:cs="Arial" w:eastAsia="Arial" w:hAnsi="Arial"/>
                <w:sz w:val="18"/>
                <w:szCs w:val="18"/>
                <w:color w:val="0000FF"/>
                <w:w w:val="98"/>
              </w:rPr>
            </w:pPr>
            <w:hyperlink r:id="rId57">
              <w:r>
                <w:rPr>
                  <w:rFonts w:ascii="Arial" w:cs="Arial" w:eastAsia="Arial" w:hAnsi="Arial"/>
                  <w:sz w:val="18"/>
                  <w:szCs w:val="18"/>
                  <w:color w:val="0000FF"/>
                  <w:w w:val="98"/>
                </w:rPr>
                <w:t>Amended and Restated Registration Rights Agreement, dated as of May 9, 2018, by and between Viper Energy Partners LP and</w:t>
              </w:r>
            </w:hyperlink>
          </w:p>
        </w:tc>
      </w:tr>
      <w:tr>
        <w:trPr>
          <w:trHeight w:val="155"/>
        </w:trPr>
        <w:tc>
          <w:tcPr>
            <w:tcW w:w="1400" w:type="dxa"/>
            <w:vAlign w:val="bottom"/>
            <w:tcBorders>
              <w:top w:val="single" w:sz="8" w:color="CCEEFF"/>
              <w:bottom w:val="single" w:sz="8" w:color="CCEEFF"/>
            </w:tcBorders>
            <w:shd w:val="clear" w:color="auto" w:fill="CCEEFF"/>
          </w:tcPr>
          <w:p>
            <w:pPr>
              <w:spacing w:after="0"/>
              <w:rPr>
                <w:sz w:val="13"/>
                <w:szCs w:val="13"/>
                <w:color w:val="auto"/>
              </w:rPr>
            </w:pPr>
          </w:p>
        </w:tc>
        <w:tc>
          <w:tcPr>
            <w:tcW w:w="9820" w:type="dxa"/>
            <w:vAlign w:val="bottom"/>
            <w:tcBorders>
              <w:top w:val="single" w:sz="8" w:color="0000FF"/>
              <w:bottom w:val="single" w:sz="8" w:color="0000FF"/>
            </w:tcBorders>
            <w:gridSpan w:val="15"/>
            <w:shd w:val="clear" w:color="auto" w:fill="CCEEFF"/>
          </w:tcPr>
          <w:p>
            <w:pPr>
              <w:spacing w:after="0" w:line="15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Diamondback Energy, Inc. (incorporated by reference to Exhibit 4.1 of the Partnership’s Current Report on Form 8-K (File 001-36505)</w:t>
              </w:r>
            </w:hyperlink>
          </w:p>
        </w:tc>
        <w:tc>
          <w:tcPr>
            <w:tcW w:w="100" w:type="dxa"/>
            <w:vAlign w:val="bottom"/>
            <w:tcBorders>
              <w:top w:val="single" w:sz="8" w:color="CCEEFF"/>
              <w:bottom w:val="single" w:sz="8" w:color="0000FF"/>
            </w:tcBorders>
            <w:gridSpan w:val="5"/>
            <w:shd w:val="clear" w:color="auto" w:fill="CCEEFF"/>
          </w:tcPr>
          <w:p>
            <w:pPr>
              <w:spacing w:after="0"/>
              <w:rPr>
                <w:sz w:val="13"/>
                <w:szCs w:val="13"/>
                <w:color w:val="auto"/>
              </w:rPr>
            </w:pPr>
          </w:p>
        </w:tc>
        <w:tc>
          <w:tcPr>
            <w:tcW w:w="60" w:type="dxa"/>
            <w:vAlign w:val="bottom"/>
            <w:tcBorders>
              <w:top w:val="single" w:sz="8" w:color="CCEEFF"/>
              <w:bottom w:val="single" w:sz="8" w:color="0000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r>
      <w:tr>
        <w:trPr>
          <w:trHeight w:val="176"/>
        </w:trPr>
        <w:tc>
          <w:tcPr>
            <w:tcW w:w="1400" w:type="dxa"/>
            <w:vAlign w:val="bottom"/>
            <w:tcBorders>
              <w:bottom w:val="single" w:sz="8" w:color="CCEEFF"/>
            </w:tcBorders>
            <w:shd w:val="clear" w:color="auto" w:fill="CCEEFF"/>
          </w:tcPr>
          <w:p>
            <w:pPr>
              <w:spacing w:after="0"/>
              <w:rPr>
                <w:sz w:val="15"/>
                <w:szCs w:val="15"/>
                <w:color w:val="auto"/>
              </w:rPr>
            </w:pPr>
          </w:p>
        </w:tc>
        <w:tc>
          <w:tcPr>
            <w:tcW w:w="1720" w:type="dxa"/>
            <w:vAlign w:val="bottom"/>
            <w:tcBorders>
              <w:bottom w:val="single" w:sz="8" w:color="0000FF"/>
            </w:tcBorders>
            <w:gridSpan w:val="4"/>
            <w:shd w:val="clear" w:color="auto" w:fill="CCEEFF"/>
          </w:tcPr>
          <w:p>
            <w:pPr>
              <w:spacing w:after="0" w:line="156"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filed on May 15, 2018).</w:t>
              </w:r>
            </w:hyperlink>
          </w:p>
        </w:tc>
        <w:tc>
          <w:tcPr>
            <w:tcW w:w="8280" w:type="dxa"/>
            <w:vAlign w:val="bottom"/>
            <w:tcBorders>
              <w:bottom w:val="single" w:sz="8" w:color="CCEEFF"/>
            </w:tcBorders>
            <w:gridSpan w:val="20"/>
            <w:shd w:val="clear" w:color="auto" w:fill="CCEEFF"/>
          </w:tcPr>
          <w:p>
            <w:pPr>
              <w:spacing w:after="0"/>
              <w:rPr>
                <w:sz w:val="15"/>
                <w:szCs w:val="15"/>
                <w:color w:val="auto"/>
              </w:rPr>
            </w:pPr>
          </w:p>
        </w:tc>
        <w:tc>
          <w:tcPr>
            <w:tcW w:w="60" w:type="dxa"/>
            <w:vAlign w:val="bottom"/>
            <w:tcBorders>
              <w:bottom w:val="single" w:sz="8" w:color="CCEEFF"/>
            </w:tcBorders>
            <w:gridSpan w:val="3"/>
            <w:shd w:val="clear" w:color="auto" w:fill="CCEEFF"/>
          </w:tcPr>
          <w:p>
            <w:pPr>
              <w:spacing w:after="0"/>
              <w:rPr>
                <w:sz w:val="15"/>
                <w:szCs w:val="15"/>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10060" w:type="dxa"/>
            <w:vAlign w:val="bottom"/>
            <w:gridSpan w:val="27"/>
          </w:tcPr>
          <w:p>
            <w:pPr>
              <w:spacing w:after="0" w:line="189" w:lineRule="exact"/>
              <w:rPr>
                <w:rFonts w:ascii="Arial" w:cs="Arial" w:eastAsia="Arial" w:hAnsi="Arial"/>
                <w:sz w:val="18"/>
                <w:szCs w:val="18"/>
                <w:color w:val="0000FF"/>
                <w:w w:val="94"/>
              </w:rPr>
            </w:pPr>
            <w:hyperlink r:id="rId58">
              <w:r>
                <w:rPr>
                  <w:rFonts w:ascii="Arial" w:cs="Arial" w:eastAsia="Arial" w:hAnsi="Arial"/>
                  <w:sz w:val="18"/>
                  <w:szCs w:val="18"/>
                  <w:color w:val="0000FF"/>
                  <w:w w:val="94"/>
                </w:rPr>
                <w:t>Registration Rights Agreement, dated as of October 1, 2021, by and among Viper Energy Partners LP, Swallowtail Royalties LLC and</w:t>
              </w:r>
            </w:hyperlink>
          </w:p>
        </w:tc>
      </w:tr>
      <w:tr>
        <w:trPr>
          <w:trHeight w:val="155"/>
        </w:trPr>
        <w:tc>
          <w:tcPr>
            <w:tcW w:w="1400" w:type="dxa"/>
            <w:vAlign w:val="bottom"/>
          </w:tcPr>
          <w:p>
            <w:pPr>
              <w:spacing w:after="0"/>
              <w:rPr>
                <w:sz w:val="13"/>
                <w:szCs w:val="13"/>
                <w:color w:val="auto"/>
              </w:rPr>
            </w:pPr>
          </w:p>
        </w:tc>
        <w:tc>
          <w:tcPr>
            <w:tcW w:w="9980" w:type="dxa"/>
            <w:vAlign w:val="bottom"/>
            <w:tcBorders>
              <w:top w:val="single" w:sz="8" w:color="0000FF"/>
            </w:tcBorders>
            <w:gridSpan w:val="23"/>
          </w:tcPr>
          <w:p>
            <w:pPr>
              <w:spacing w:after="0" w:line="156" w:lineRule="exact"/>
              <w:rPr>
                <w:rFonts w:ascii="Arial" w:cs="Arial" w:eastAsia="Arial" w:hAnsi="Arial"/>
                <w:sz w:val="18"/>
                <w:szCs w:val="18"/>
                <w:color w:val="0000FF"/>
                <w:w w:val="97"/>
              </w:rPr>
            </w:pPr>
            <w:hyperlink r:id="rId58">
              <w:r>
                <w:rPr>
                  <w:rFonts w:ascii="Arial" w:cs="Arial" w:eastAsia="Arial" w:hAnsi="Arial"/>
                  <w:sz w:val="18"/>
                  <w:szCs w:val="18"/>
                  <w:color w:val="0000FF"/>
                  <w:w w:val="97"/>
                </w:rPr>
                <w:t>Swallowtail Royalties II LLC (incorporated by reference to Exhibit 4.1 of the Partnership’s Current Report on Form 8-K (File 001-</w:t>
              </w:r>
            </w:hyperlink>
          </w:p>
        </w:tc>
        <w:tc>
          <w:tcPr>
            <w:tcW w:w="80" w:type="dxa"/>
            <w:vAlign w:val="bottom"/>
            <w:gridSpan w:val="4"/>
          </w:tcPr>
          <w:p>
            <w:pPr>
              <w:spacing w:after="0"/>
              <w:rPr>
                <w:sz w:val="13"/>
                <w:szCs w:val="13"/>
                <w:color w:val="auto"/>
              </w:rPr>
            </w:pPr>
          </w:p>
        </w:tc>
      </w:tr>
      <w:tr>
        <w:trPr>
          <w:trHeight w:val="156"/>
        </w:trPr>
        <w:tc>
          <w:tcPr>
            <w:tcW w:w="1400" w:type="dxa"/>
            <w:vAlign w:val="bottom"/>
          </w:tcPr>
          <w:p>
            <w:pPr>
              <w:spacing w:after="0"/>
              <w:rPr>
                <w:sz w:val="13"/>
                <w:szCs w:val="13"/>
                <w:color w:val="auto"/>
              </w:rPr>
            </w:pPr>
          </w:p>
        </w:tc>
        <w:tc>
          <w:tcPr>
            <w:tcW w:w="99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36505) filed on October 7, 2021).</w:t>
              </w:r>
            </w:hyperlink>
          </w:p>
        </w:tc>
        <w:tc>
          <w:tcPr>
            <w:tcW w:w="140" w:type="dxa"/>
            <w:vAlign w:val="bottom"/>
            <w:gridSpan w:val="7"/>
          </w:tcPr>
          <w:p>
            <w:pPr>
              <w:spacing w:after="0"/>
              <w:rPr>
                <w:sz w:val="13"/>
                <w:szCs w:val="13"/>
                <w:color w:val="auto"/>
              </w:rPr>
            </w:pPr>
          </w:p>
        </w:tc>
      </w:tr>
      <w:tr>
        <w:trPr>
          <w:trHeight w:val="21"/>
        </w:trPr>
        <w:tc>
          <w:tcPr>
            <w:tcW w:w="14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10060" w:type="dxa"/>
            <w:vAlign w:val="bottom"/>
            <w:gridSpan w:val="27"/>
            <w:shd w:val="clear" w:color="auto" w:fill="CCEEFF"/>
          </w:tcPr>
          <w:p>
            <w:pPr>
              <w:spacing w:after="0" w:line="189" w:lineRule="exact"/>
              <w:rPr>
                <w:rFonts w:ascii="Arial" w:cs="Arial" w:eastAsia="Arial" w:hAnsi="Arial"/>
                <w:sz w:val="18"/>
                <w:szCs w:val="18"/>
                <w:color w:val="0000FF"/>
              </w:rPr>
            </w:pPr>
            <w:hyperlink w:anchor="page40">
              <w:r>
                <w:rPr>
                  <w:rFonts w:ascii="Arial" w:cs="Arial" w:eastAsia="Arial" w:hAnsi="Arial"/>
                  <w:sz w:val="18"/>
                  <w:szCs w:val="18"/>
                  <w:color w:val="0000FF"/>
                </w:rPr>
                <w:t>Certification of Chief Executive Officer pursuant to Rule 13a-14(a) promulgated under the Securities Exchange Act of 1934, as</w:t>
              </w:r>
            </w:hyperlink>
          </w:p>
        </w:tc>
      </w:tr>
      <w:tr>
        <w:trPr>
          <w:trHeight w:val="156"/>
        </w:trPr>
        <w:tc>
          <w:tcPr>
            <w:tcW w:w="1400" w:type="dxa"/>
            <w:vAlign w:val="bottom"/>
            <w:tcBorders>
              <w:top w:val="single" w:sz="8" w:color="CCEEFF"/>
            </w:tcBorders>
            <w:shd w:val="clear" w:color="auto" w:fill="CCEEFF"/>
          </w:tcPr>
          <w:p>
            <w:pPr>
              <w:spacing w:after="0"/>
              <w:rPr>
                <w:sz w:val="13"/>
                <w:szCs w:val="13"/>
                <w:color w:val="auto"/>
              </w:rPr>
            </w:pPr>
          </w:p>
        </w:tc>
        <w:tc>
          <w:tcPr>
            <w:tcW w:w="9760" w:type="dxa"/>
            <w:vAlign w:val="bottom"/>
            <w:tcBorders>
              <w:top w:val="single" w:sz="8" w:color="0000FF"/>
            </w:tcBorders>
            <w:gridSpan w:val="12"/>
            <w:shd w:val="clear" w:color="auto" w:fill="CCEEFF"/>
          </w:tcPr>
          <w:p>
            <w:pPr>
              <w:spacing w:after="0" w:line="156" w:lineRule="exact"/>
              <w:rPr>
                <w:rFonts w:ascii="Arial" w:cs="Arial" w:eastAsia="Arial" w:hAnsi="Arial"/>
                <w:sz w:val="18"/>
                <w:szCs w:val="18"/>
                <w:color w:val="0000FF"/>
              </w:rPr>
            </w:pPr>
            <w:hyperlink w:anchor="page40">
              <w:r>
                <w:rPr>
                  <w:rFonts w:ascii="Arial" w:cs="Arial" w:eastAsia="Arial" w:hAnsi="Arial"/>
                  <w:sz w:val="18"/>
                  <w:szCs w:val="18"/>
                  <w:color w:val="0000FF"/>
                </w:rPr>
                <w:t>amended.</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gridSpan w:val="13"/>
            <w:shd w:val="clear" w:color="auto" w:fill="CCEEFF"/>
          </w:tcPr>
          <w:p>
            <w:pPr>
              <w:spacing w:after="0"/>
              <w:rPr>
                <w:sz w:val="13"/>
                <w:szCs w:val="13"/>
                <w:color w:val="auto"/>
              </w:rPr>
            </w:pPr>
          </w:p>
        </w:tc>
      </w:tr>
      <w:tr>
        <w:trPr>
          <w:trHeight w:val="61"/>
        </w:trPr>
        <w:tc>
          <w:tcPr>
            <w:tcW w:w="14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84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189"/>
        </w:trPr>
        <w:tc>
          <w:tcPr>
            <w:tcW w:w="140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10060" w:type="dxa"/>
            <w:vAlign w:val="bottom"/>
            <w:gridSpan w:val="27"/>
          </w:tcPr>
          <w:p>
            <w:pPr>
              <w:spacing w:after="0" w:line="189" w:lineRule="exact"/>
              <w:rPr>
                <w:rFonts w:ascii="Arial" w:cs="Arial" w:eastAsia="Arial" w:hAnsi="Arial"/>
                <w:sz w:val="18"/>
                <w:szCs w:val="18"/>
                <w:color w:val="0000FF"/>
              </w:rPr>
            </w:pPr>
            <w:hyperlink w:anchor="page41">
              <w:r>
                <w:rPr>
                  <w:rFonts w:ascii="Arial" w:cs="Arial" w:eastAsia="Arial" w:hAnsi="Arial"/>
                  <w:sz w:val="18"/>
                  <w:szCs w:val="18"/>
                  <w:color w:val="0000FF"/>
                </w:rPr>
                <w:t>Certification of Chief Financial Officer pursuant to Rule 13a-14(a) promulgated under the Securities Exchange Act of 1934, as</w:t>
              </w:r>
            </w:hyperlink>
          </w:p>
        </w:tc>
      </w:tr>
      <w:tr>
        <w:trPr>
          <w:trHeight w:val="155"/>
        </w:trPr>
        <w:tc>
          <w:tcPr>
            <w:tcW w:w="1400" w:type="dxa"/>
            <w:vAlign w:val="bottom"/>
          </w:tcPr>
          <w:p>
            <w:pPr>
              <w:spacing w:after="0"/>
              <w:rPr>
                <w:sz w:val="13"/>
                <w:szCs w:val="13"/>
                <w:color w:val="auto"/>
              </w:rPr>
            </w:pPr>
          </w:p>
        </w:tc>
        <w:tc>
          <w:tcPr>
            <w:tcW w:w="98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41">
              <w:r>
                <w:rPr>
                  <w:rFonts w:ascii="Arial" w:cs="Arial" w:eastAsia="Arial" w:hAnsi="Arial"/>
                  <w:sz w:val="18"/>
                  <w:szCs w:val="18"/>
                  <w:color w:val="0000FF"/>
                </w:rPr>
                <w:t>amended.</w:t>
              </w:r>
            </w:hyperlink>
          </w:p>
        </w:tc>
        <w:tc>
          <w:tcPr>
            <w:tcW w:w="260" w:type="dxa"/>
            <w:vAlign w:val="bottom"/>
            <w:gridSpan w:val="13"/>
          </w:tcPr>
          <w:p>
            <w:pPr>
              <w:spacing w:after="0"/>
              <w:rPr>
                <w:sz w:val="13"/>
                <w:szCs w:val="13"/>
                <w:color w:val="auto"/>
              </w:rPr>
            </w:pPr>
          </w:p>
        </w:tc>
      </w:tr>
      <w:tr>
        <w:trPr>
          <w:trHeight w:val="61"/>
        </w:trPr>
        <w:tc>
          <w:tcPr>
            <w:tcW w:w="1400" w:type="dxa"/>
            <w:vAlign w:val="bottom"/>
          </w:tcPr>
          <w:p>
            <w:pPr>
              <w:spacing w:after="0"/>
              <w:rPr>
                <w:sz w:val="5"/>
                <w:szCs w:val="5"/>
                <w:color w:val="auto"/>
              </w:rPr>
            </w:pPr>
          </w:p>
        </w:tc>
        <w:tc>
          <w:tcPr>
            <w:tcW w:w="460" w:type="dxa"/>
            <w:vAlign w:val="bottom"/>
            <w:tcBorders>
              <w:top w:val="single" w:sz="8" w:color="0000FF"/>
            </w:tcBorders>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189"/>
        </w:trPr>
        <w:tc>
          <w:tcPr>
            <w:tcW w:w="1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10060" w:type="dxa"/>
            <w:vAlign w:val="bottom"/>
            <w:gridSpan w:val="27"/>
            <w:shd w:val="clear" w:color="auto" w:fill="CCEEFF"/>
          </w:tcPr>
          <w:p>
            <w:pPr>
              <w:spacing w:after="0" w:line="189" w:lineRule="exact"/>
              <w:rPr>
                <w:rFonts w:ascii="Arial" w:cs="Arial" w:eastAsia="Arial" w:hAnsi="Arial"/>
                <w:sz w:val="18"/>
                <w:szCs w:val="18"/>
                <w:color w:val="0000FF"/>
                <w:w w:val="99"/>
              </w:rPr>
            </w:pPr>
            <w:hyperlink w:anchor="page42">
              <w:r>
                <w:rPr>
                  <w:rFonts w:ascii="Arial" w:cs="Arial" w:eastAsia="Arial" w:hAnsi="Arial"/>
                  <w:sz w:val="18"/>
                  <w:szCs w:val="18"/>
                  <w:color w:val="0000FF"/>
                  <w:w w:val="99"/>
                </w:rPr>
                <w:t>Certification of Chief Executive Officer and Chief Financial Officer pursuant to Rule 13a-14(b) promulgated under the Securities</w:t>
              </w:r>
            </w:hyperlink>
          </w:p>
        </w:tc>
      </w:tr>
      <w:tr>
        <w:trPr>
          <w:trHeight w:val="155"/>
        </w:trPr>
        <w:tc>
          <w:tcPr>
            <w:tcW w:w="1400" w:type="dxa"/>
            <w:vAlign w:val="bottom"/>
            <w:tcBorders>
              <w:top w:val="single" w:sz="8" w:color="CCEEFF"/>
            </w:tcBorders>
            <w:shd w:val="clear" w:color="auto" w:fill="CCEEFF"/>
          </w:tcPr>
          <w:p>
            <w:pPr>
              <w:spacing w:after="0"/>
              <w:rPr>
                <w:sz w:val="13"/>
                <w:szCs w:val="13"/>
                <w:color w:val="auto"/>
              </w:rPr>
            </w:pPr>
          </w:p>
        </w:tc>
        <w:tc>
          <w:tcPr>
            <w:tcW w:w="9780" w:type="dxa"/>
            <w:vAlign w:val="bottom"/>
            <w:tcBorders>
              <w:top w:val="single" w:sz="8" w:color="0000FF"/>
            </w:tcBorders>
            <w:gridSpan w:val="13"/>
            <w:shd w:val="clear" w:color="auto" w:fill="CCEEFF"/>
          </w:tcPr>
          <w:p>
            <w:pPr>
              <w:spacing w:after="0" w:line="156" w:lineRule="exact"/>
              <w:rPr>
                <w:rFonts w:ascii="Arial" w:cs="Arial" w:eastAsia="Arial" w:hAnsi="Arial"/>
                <w:sz w:val="18"/>
                <w:szCs w:val="18"/>
                <w:color w:val="0000FF"/>
              </w:rPr>
            </w:pPr>
            <w:hyperlink w:anchor="page42">
              <w:r>
                <w:rPr>
                  <w:rFonts w:ascii="Arial" w:cs="Arial" w:eastAsia="Arial" w:hAnsi="Arial"/>
                  <w:sz w:val="18"/>
                  <w:szCs w:val="18"/>
                  <w:color w:val="0000FF"/>
                </w:rPr>
                <w:t>Exchange Act of 1934, as amended, and Section 1350 of Chapter 63 of Title 18 of the United States Code.</w:t>
              </w:r>
            </w:hyperlink>
          </w:p>
        </w:tc>
        <w:tc>
          <w:tcPr>
            <w:tcW w:w="280" w:type="dxa"/>
            <w:vAlign w:val="bottom"/>
            <w:tcBorders>
              <w:top w:val="single" w:sz="8" w:color="CCEEFF"/>
            </w:tcBorders>
            <w:gridSpan w:val="14"/>
            <w:shd w:val="clear" w:color="auto" w:fill="CCEEFF"/>
          </w:tcPr>
          <w:p>
            <w:pPr>
              <w:spacing w:after="0"/>
              <w:rPr>
                <w:sz w:val="13"/>
                <w:szCs w:val="13"/>
                <w:color w:val="auto"/>
              </w:rPr>
            </w:pPr>
          </w:p>
        </w:tc>
      </w:tr>
      <w:tr>
        <w:trPr>
          <w:trHeight w:val="61"/>
        </w:trPr>
        <w:tc>
          <w:tcPr>
            <w:tcW w:w="140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240" w:type="dxa"/>
            <w:vAlign w:val="bottom"/>
            <w:tcBorders>
              <w:top w:val="single" w:sz="8" w:color="0000FF"/>
            </w:tcBorders>
            <w:shd w:val="clear" w:color="auto" w:fill="CCEEFF"/>
          </w:tcPr>
          <w:p>
            <w:pPr>
              <w:spacing w:after="0"/>
              <w:rPr>
                <w:sz w:val="5"/>
                <w:szCs w:val="5"/>
                <w:color w:val="auto"/>
              </w:rPr>
            </w:pPr>
          </w:p>
        </w:tc>
        <w:tc>
          <w:tcPr>
            <w:tcW w:w="560" w:type="dxa"/>
            <w:vAlign w:val="bottom"/>
            <w:tcBorders>
              <w:top w:val="single" w:sz="8" w:color="0000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700" w:type="dxa"/>
            <w:vAlign w:val="bottom"/>
            <w:tcBorders>
              <w:top w:val="single" w:sz="8" w:color="0000FF"/>
            </w:tcBorders>
            <w:shd w:val="clear" w:color="auto" w:fill="CCEEFF"/>
          </w:tcPr>
          <w:p>
            <w:pPr>
              <w:spacing w:after="0"/>
              <w:rPr>
                <w:sz w:val="5"/>
                <w:szCs w:val="5"/>
                <w:color w:val="auto"/>
              </w:rPr>
            </w:pPr>
          </w:p>
        </w:tc>
        <w:tc>
          <w:tcPr>
            <w:tcW w:w="360" w:type="dxa"/>
            <w:vAlign w:val="bottom"/>
            <w:tcBorders>
              <w:top w:val="single" w:sz="8" w:color="0000FF"/>
            </w:tcBorders>
            <w:shd w:val="clear" w:color="auto" w:fill="CCEEFF"/>
          </w:tcPr>
          <w:p>
            <w:pPr>
              <w:spacing w:after="0"/>
              <w:rPr>
                <w:sz w:val="5"/>
                <w:szCs w:val="5"/>
                <w:color w:val="auto"/>
              </w:rPr>
            </w:pPr>
          </w:p>
        </w:tc>
        <w:tc>
          <w:tcPr>
            <w:tcW w:w="2840" w:type="dxa"/>
            <w:vAlign w:val="bottom"/>
            <w:tcBorders>
              <w:top w:val="single" w:sz="8" w:color="0000FF"/>
            </w:tcBorders>
            <w:shd w:val="clear" w:color="auto" w:fill="CCEEFF"/>
          </w:tcPr>
          <w:p>
            <w:pPr>
              <w:spacing w:after="0"/>
              <w:rPr>
                <w:sz w:val="5"/>
                <w:szCs w:val="5"/>
                <w:color w:val="auto"/>
              </w:rPr>
            </w:pPr>
          </w:p>
        </w:tc>
        <w:tc>
          <w:tcPr>
            <w:tcW w:w="2040" w:type="dxa"/>
            <w:vAlign w:val="bottom"/>
            <w:tcBorders>
              <w:top w:val="single" w:sz="8" w:color="0000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bl>
    <w:p>
      <w:pPr>
        <w:jc w:val="both"/>
        <w:ind w:left="1400" w:right="60" w:hanging="1374"/>
        <w:spacing w:after="0" w:line="219" w:lineRule="auto"/>
        <w:tabs>
          <w:tab w:leader="none" w:pos="14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September 30, 2021, formatted in Inline XBRL: (i) Condensed Consolidated Balance Sheets, (ii) Condensed Consolidated Statements of Operations, (iii) Condensed Consolidated Statement of Changes in Unitholders’ Equity, (iv) Condensed Consolidated Statements of Cash Flows and (v) Condensed Notes to Consolidated Financial Statements.</w:t>
      </w:r>
    </w:p>
    <w:p>
      <w:pPr>
        <w:spacing w:after="0" w:line="108"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2146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15175" cy="21463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500" w:hanging="474"/>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500" w:right="40" w:hanging="474"/>
        <w:spacing w:after="0" w:line="22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560" w:type="dxa"/>
            <w:vAlign w:val="bottom"/>
            <w:gridSpan w:val="2"/>
          </w:tcPr>
          <w:p>
            <w:pPr>
              <w:ind w:left="1640"/>
              <w:spacing w:after="0"/>
              <w:rPr>
                <w:sz w:val="20"/>
                <w:szCs w:val="20"/>
                <w:color w:val="auto"/>
              </w:rPr>
            </w:pPr>
            <w:r>
              <w:rPr>
                <w:rFonts w:ascii="Arial" w:cs="Arial" w:eastAsia="Arial" w:hAnsi="Arial"/>
                <w:sz w:val="18"/>
                <w:szCs w:val="18"/>
                <w:b w:val="1"/>
                <w:bCs w:val="1"/>
                <w:color w:val="auto"/>
              </w:rPr>
              <w:t>VIPER ENERGY PARTNERS LP</w:t>
            </w:r>
          </w:p>
        </w:tc>
      </w:tr>
      <w:tr>
        <w:trPr>
          <w:trHeight w:val="499"/>
        </w:trPr>
        <w:tc>
          <w:tcPr>
            <w:tcW w:w="5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560" w:type="dxa"/>
            <w:vAlign w:val="bottom"/>
            <w:gridSpan w:val="2"/>
          </w:tcPr>
          <w:p>
            <w:pPr>
              <w:ind w:left="1640"/>
              <w:spacing w:after="0"/>
              <w:rPr>
                <w:sz w:val="20"/>
                <w:szCs w:val="20"/>
                <w:color w:val="auto"/>
              </w:rPr>
            </w:pPr>
            <w:r>
              <w:rPr>
                <w:rFonts w:ascii="Arial" w:cs="Arial" w:eastAsia="Arial" w:hAnsi="Arial"/>
                <w:sz w:val="18"/>
                <w:szCs w:val="18"/>
                <w:color w:val="auto"/>
              </w:rPr>
              <w:t>By:   VIPER ENERGY PARTNERS GP LLC</w:t>
            </w:r>
          </w:p>
        </w:tc>
      </w:tr>
      <w:tr>
        <w:trPr>
          <w:trHeight w:val="230"/>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its General Partner</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140"/>
              <w:spacing w:after="0"/>
              <w:rPr>
                <w:sz w:val="20"/>
                <w:szCs w:val="20"/>
                <w:color w:val="auto"/>
              </w:rPr>
            </w:pPr>
            <w:r>
              <w:rPr>
                <w:rFonts w:ascii="Arial" w:cs="Arial" w:eastAsia="Arial" w:hAnsi="Arial"/>
                <w:sz w:val="18"/>
                <w:szCs w:val="18"/>
                <w:color w:val="auto"/>
              </w:rPr>
              <w:t>November 4, 2021</w:t>
            </w:r>
          </w:p>
        </w:tc>
        <w:tc>
          <w:tcPr>
            <w:tcW w:w="2100" w:type="dxa"/>
            <w:vAlign w:val="bottom"/>
          </w:tcPr>
          <w:p>
            <w:pPr>
              <w:ind w:left="16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86"/>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140"/>
              <w:spacing w:after="0"/>
              <w:rPr>
                <w:sz w:val="20"/>
                <w:szCs w:val="20"/>
                <w:color w:val="auto"/>
              </w:rPr>
            </w:pPr>
            <w:r>
              <w:rPr>
                <w:rFonts w:ascii="Arial" w:cs="Arial" w:eastAsia="Arial" w:hAnsi="Arial"/>
                <w:sz w:val="18"/>
                <w:szCs w:val="18"/>
                <w:color w:val="auto"/>
              </w:rPr>
              <w:t>November 4, 2021</w:t>
            </w:r>
          </w:p>
        </w:tc>
        <w:tc>
          <w:tcPr>
            <w:tcW w:w="2100" w:type="dxa"/>
            <w:vAlign w:val="bottom"/>
          </w:tcPr>
          <w:p>
            <w:pPr>
              <w:ind w:left="164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2"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740" w:type="dxa"/>
            <w:vAlign w:val="bottom"/>
          </w:tcPr>
          <w:p>
            <w:pPr>
              <w:ind w:left="240"/>
              <w:spacing w:after="0"/>
              <w:rPr>
                <w:sz w:val="20"/>
                <w:szCs w:val="20"/>
                <w:color w:val="auto"/>
              </w:rPr>
            </w:pPr>
            <w:r>
              <w:rPr>
                <w:rFonts w:ascii="Arial" w:cs="Arial" w:eastAsia="Arial" w:hAnsi="Arial"/>
                <w:sz w:val="18"/>
                <w:szCs w:val="18"/>
                <w:color w:val="auto"/>
              </w:rPr>
              <w:t>November 4,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6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6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9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104" w:lineRule="exact"/>
        <w:rPr>
          <w:sz w:val="20"/>
          <w:szCs w:val="20"/>
          <w:color w:val="auto"/>
        </w:rPr>
      </w:pPr>
    </w:p>
    <w:p>
      <w:pPr>
        <w:ind w:left="360" w:hanging="31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Viper Energy Partners LP (the “registrant”).</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hanging="412"/>
        <w:spacing w:after="0" w:line="277" w:lineRule="auto"/>
        <w:tabs>
          <w:tab w:leader="none" w:pos="4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left="460" w:hanging="412"/>
        <w:spacing w:after="0" w:line="263" w:lineRule="auto"/>
        <w:tabs>
          <w:tab w:leader="none" w:pos="4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900" w:hanging="406"/>
        <w:spacing w:after="0" w:line="263" w:lineRule="auto"/>
        <w:tabs>
          <w:tab w:leader="none" w:pos="89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900" w:hanging="406"/>
        <w:spacing w:after="0" w:line="263" w:lineRule="auto"/>
        <w:tabs>
          <w:tab w:leader="none" w:pos="8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900" w:hanging="406"/>
        <w:spacing w:after="0" w:line="308" w:lineRule="auto"/>
        <w:tabs>
          <w:tab w:leader="none" w:pos="897"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900" w:hanging="406"/>
        <w:spacing w:after="0" w:line="263" w:lineRule="auto"/>
        <w:tabs>
          <w:tab w:leader="none" w:pos="8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hanging="412"/>
        <w:spacing w:after="0" w:line="308" w:lineRule="auto"/>
        <w:tabs>
          <w:tab w:leader="none" w:pos="41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hanging="406"/>
        <w:spacing w:after="0" w:line="277" w:lineRule="auto"/>
        <w:tabs>
          <w:tab w:leader="none" w:pos="876"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900" w:hanging="406"/>
        <w:spacing w:after="0" w:line="277" w:lineRule="auto"/>
        <w:tabs>
          <w:tab w:leader="none" w:pos="877"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780" w:type="dxa"/>
            <w:vAlign w:val="bottom"/>
          </w:tcPr>
          <w:p>
            <w:pPr>
              <w:ind w:left="200"/>
              <w:spacing w:after="0"/>
              <w:rPr>
                <w:sz w:val="20"/>
                <w:szCs w:val="20"/>
                <w:color w:val="auto"/>
              </w:rPr>
            </w:pPr>
            <w:r>
              <w:rPr>
                <w:rFonts w:ascii="Arial" w:cs="Arial" w:eastAsia="Arial" w:hAnsi="Arial"/>
                <w:sz w:val="18"/>
                <w:szCs w:val="18"/>
                <w:color w:val="auto"/>
              </w:rPr>
              <w:t>November 4,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8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connection with the Quarterly Report on Form 10-Q of Viper Energy Partners LP (the “Partnership”), as filed with the Securities and Exchange Commission on the date hereof (the “Report”), the undersigned, Travis D. Stice, Chief Executive Officer of Viper Energy Partners GP LLC, the general partner of Viper Energy Partners LP, and Teresa L. Dick, Chief Financial Officer of Viper Energy Partners GP LLC, certify, pursuant to 18 U.S.C. Section 1350, as adopted pursuant to Section 906 of the Sarbanes-Oxley Act of 2002, that, to their knowledge:</w:t>
      </w:r>
    </w:p>
    <w:p>
      <w:pPr>
        <w:spacing w:after="0" w:line="117"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78m(a)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78o(d)); and</w:t>
      </w:r>
    </w:p>
    <w:p>
      <w:pPr>
        <w:spacing w:after="0" w:line="156" w:lineRule="exact"/>
        <w:rPr>
          <w:rFonts w:ascii="Arial" w:cs="Arial" w:eastAsia="Arial" w:hAnsi="Arial"/>
          <w:sz w:val="17"/>
          <w:szCs w:val="17"/>
          <w:color w:val="auto"/>
        </w:rPr>
      </w:pPr>
    </w:p>
    <w:p>
      <w:pPr>
        <w:ind w:left="940" w:hanging="284"/>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Partnership.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80"/>
              <w:spacing w:after="0"/>
              <w:rPr>
                <w:sz w:val="20"/>
                <w:szCs w:val="20"/>
                <w:color w:val="auto"/>
              </w:rPr>
            </w:pPr>
            <w:r>
              <w:rPr>
                <w:rFonts w:ascii="Arial" w:cs="Arial" w:eastAsia="Arial" w:hAnsi="Arial"/>
                <w:sz w:val="18"/>
                <w:szCs w:val="18"/>
                <w:color w:val="auto"/>
              </w:rPr>
              <w:t>November 4,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180"/>
              <w:spacing w:after="0"/>
              <w:rPr>
                <w:sz w:val="20"/>
                <w:szCs w:val="20"/>
                <w:color w:val="auto"/>
              </w:rPr>
            </w:pPr>
            <w:r>
              <w:rPr>
                <w:rFonts w:ascii="Arial" w:cs="Arial" w:eastAsia="Arial" w:hAnsi="Arial"/>
                <w:sz w:val="18"/>
                <w:szCs w:val="18"/>
                <w:color w:val="auto"/>
              </w:rPr>
              <w:t>November 4, 2021</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Teresa L. Dick</w:t>
            </w:r>
          </w:p>
        </w:tc>
      </w:tr>
      <w:tr>
        <w:trPr>
          <w:trHeight w:val="222"/>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Teresa L. Dick</w:t>
            </w:r>
          </w:p>
        </w:tc>
      </w:tr>
      <w:tr>
        <w:trPr>
          <w:trHeight w:val="230"/>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29"/>
        </w:trPr>
        <w:tc>
          <w:tcPr>
            <w:tcW w:w="58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Viper Energy Partners GP LLC</w:t>
            </w:r>
          </w:p>
        </w:tc>
      </w:tr>
      <w:tr>
        <w:trPr>
          <w:trHeight w:val="230"/>
        </w:trPr>
        <w:tc>
          <w:tcPr>
            <w:tcW w:w="58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(as general partner of Viper Energy Partners LP)</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1"/>
    </w:lvl>
  </w:abstractNum>
  <w:abstractNum w:abstractNumId="8">
    <w:nsid w:val="109CF92E"/>
    <w:multiLevelType w:val="hybridMultilevel"/>
    <w:lvl w:ilvl="0">
      <w:lvlJc w:val="left"/>
      <w:lvlText w:val="(%1)"/>
      <w:numFmt w:val="lowerRoman"/>
      <w:start w:val="2"/>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decimal"/>
      <w:start w:val="10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16" Type="http://schemas.openxmlformats.org/officeDocument/2006/relationships/hyperlink" Target="http://www.sec.gov/ix?doc=/Archives/edgar/data/1602065/000160206521000006/vnom-20201231.htm#i700aec8d20af4047910f4616d0b0e309_7" TargetMode="External"/><Relationship Id="rId48" Type="http://schemas.openxmlformats.org/officeDocument/2006/relationships/hyperlink" Target="http://www.sec.gov/ix?doc=/Archives/edgar/data/1602065/000160206521000006/vnom-20201231.htm#i700aec8d20af4047910f4616d0b0e309_22" TargetMode="External"/><Relationship Id="rId51" Type="http://schemas.openxmlformats.org/officeDocument/2006/relationships/hyperlink" Target="http://www.sec.gov/Archives/edgar/data/1602065/000160206521000048/viperex21-8621.htm" TargetMode="External"/><Relationship Id="rId52" Type="http://schemas.openxmlformats.org/officeDocument/2006/relationships/hyperlink" Target="http://www.sec.gov/Archives/edgar/data/1602065/000119312514187469/d673207dex31.htm" TargetMode="External"/><Relationship Id="rId53" Type="http://schemas.openxmlformats.org/officeDocument/2006/relationships/hyperlink" Target="http://www.sec.gov/Archives/edgar/data/1602065/000160206518000017/viperex31-5x15x18.htm" TargetMode="External"/><Relationship Id="rId54" Type="http://schemas.openxmlformats.org/officeDocument/2006/relationships/hyperlink" Target="http://www.sec.gov/Archives/edgar/data/1602065/000160206518000017/viperex32-5x15x18.htm" TargetMode="External"/><Relationship Id="rId55" Type="http://schemas.openxmlformats.org/officeDocument/2006/relationships/hyperlink" Target="http://www.sec.gov/Archives/edgar/data/1602065/000160206518000017/viperex33-5x15x18.htm" TargetMode="External"/><Relationship Id="rId56" Type="http://schemas.openxmlformats.org/officeDocument/2006/relationships/hyperlink" Target="http://www.sec.gov/Archives/edgar/data/1602065/000160206520000014/viperex31-33120.htm" TargetMode="External"/><Relationship Id="rId57" Type="http://schemas.openxmlformats.org/officeDocument/2006/relationships/hyperlink" Target="http://www.sec.gov/Archives/edgar/data/1602065/000160206518000017/viperex41-5x15x18.htm" TargetMode="External"/><Relationship Id="rId58" Type="http://schemas.openxmlformats.org/officeDocument/2006/relationships/hyperlink" Target="http://www.sec.gov/Archives/edgar/data/1602065/000160206521000051/viperex41-10x1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2021-11-04T15:24:09Z</dcterms:created>
  <dcterms:modified xsi:type="dcterms:W3CDTF">2021-11-04T15:24:09Z</dcterms:modified>
</cp:coreProperties>
</file>