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-224155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109855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660" w:right="940" w:hanging="625"/>
        <w:spacing w:after="0" w:line="248" w:lineRule="auto"/>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60" w:hanging="625"/>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SECURITIES EXCHANGE ACT</w:t>
      </w:r>
    </w:p>
    <w:p>
      <w:pPr>
        <w:spacing w:after="0" w:line="26"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316865</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Viper Energy Partners LP</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102870</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2000" w:type="dxa"/>
        <w:tblCellMar>
          <w:top w:w="0" w:type="dxa"/>
          <w:left w:w="0" w:type="dxa"/>
          <w:bottom w:w="0" w:type="dxa"/>
          <w:right w:w="0" w:type="dxa"/>
        </w:tblCellMar>
      </w:tblPr>
      <w:tr>
        <w:trPr>
          <w:trHeight w:val="210"/>
        </w:trPr>
        <w:tc>
          <w:tcPr>
            <w:tcW w:w="3780" w:type="dxa"/>
            <w:vAlign w:val="bottom"/>
          </w:tcPr>
          <w:p>
            <w:pPr>
              <w:jc w:val="center"/>
              <w:ind w:right="803"/>
              <w:spacing w:after="0"/>
              <w:rPr>
                <w:sz w:val="20"/>
                <w:szCs w:val="20"/>
                <w:color w:val="auto"/>
              </w:rPr>
            </w:pPr>
            <w:r>
              <w:rPr>
                <w:rFonts w:ascii="Arial" w:cs="Arial" w:eastAsia="Arial" w:hAnsi="Arial"/>
                <w:sz w:val="16"/>
                <w:szCs w:val="16"/>
                <w:b w:val="1"/>
                <w:bCs w:val="1"/>
                <w:color w:val="auto"/>
                <w:w w:val="98"/>
              </w:rPr>
              <w:t>DE</w:t>
            </w:r>
          </w:p>
        </w:tc>
        <w:tc>
          <w:tcPr>
            <w:tcW w:w="3360" w:type="dxa"/>
            <w:vAlign w:val="bottom"/>
          </w:tcPr>
          <w:p>
            <w:pPr>
              <w:jc w:val="right"/>
              <w:ind w:right="784"/>
              <w:spacing w:after="0"/>
              <w:rPr>
                <w:sz w:val="20"/>
                <w:szCs w:val="20"/>
                <w:color w:val="auto"/>
              </w:rPr>
            </w:pPr>
            <w:r>
              <w:rPr>
                <w:rFonts w:ascii="Arial" w:cs="Arial" w:eastAsia="Arial" w:hAnsi="Arial"/>
                <w:sz w:val="16"/>
                <w:szCs w:val="16"/>
                <w:b w:val="1"/>
                <w:bCs w:val="1"/>
                <w:color w:val="auto"/>
              </w:rPr>
              <w:t>46-5001985</w:t>
            </w:r>
          </w:p>
        </w:tc>
      </w:tr>
      <w:tr>
        <w:trPr>
          <w:trHeight w:val="402"/>
        </w:trPr>
        <w:tc>
          <w:tcPr>
            <w:tcW w:w="3780" w:type="dxa"/>
            <w:vAlign w:val="bottom"/>
          </w:tcPr>
          <w:p>
            <w:pPr>
              <w:jc w:val="center"/>
              <w:ind w:right="783"/>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3360" w:type="dxa"/>
            <w:vAlign w:val="bottom"/>
          </w:tcPr>
          <w:p>
            <w:pPr>
              <w:jc w:val="center"/>
              <w:ind w:left="78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186"/>
        </w:trPr>
        <w:tc>
          <w:tcPr>
            <w:tcW w:w="3780" w:type="dxa"/>
            <w:vAlign w:val="bottom"/>
          </w:tcPr>
          <w:p>
            <w:pPr>
              <w:jc w:val="center"/>
              <w:ind w:right="803"/>
              <w:spacing w:after="0"/>
              <w:rPr>
                <w:sz w:val="20"/>
                <w:szCs w:val="20"/>
                <w:color w:val="auto"/>
              </w:rPr>
            </w:pPr>
            <w:r>
              <w:rPr>
                <w:rFonts w:ascii="Arial" w:cs="Arial" w:eastAsia="Arial" w:hAnsi="Arial"/>
                <w:sz w:val="14"/>
                <w:szCs w:val="14"/>
                <w:b w:val="1"/>
                <w:bCs w:val="1"/>
                <w:color w:val="auto"/>
                <w:w w:val="95"/>
              </w:rPr>
              <w:t>Organization)</w:t>
            </w:r>
          </w:p>
        </w:tc>
        <w:tc>
          <w:tcPr>
            <w:tcW w:w="3360" w:type="dxa"/>
            <w:vAlign w:val="bottom"/>
          </w:tcPr>
          <w:p>
            <w:pPr>
              <w:spacing w:after="0"/>
              <w:rPr>
                <w:sz w:val="16"/>
                <w:szCs w:val="16"/>
                <w:color w:val="auto"/>
              </w:rPr>
            </w:pPr>
          </w:p>
        </w:tc>
      </w:tr>
      <w:tr>
        <w:trPr>
          <w:trHeight w:val="478"/>
        </w:trPr>
        <w:tc>
          <w:tcPr>
            <w:tcW w:w="3780" w:type="dxa"/>
            <w:vAlign w:val="bottom"/>
          </w:tcPr>
          <w:p>
            <w:pPr>
              <w:jc w:val="center"/>
              <w:ind w:right="803"/>
              <w:spacing w:after="0"/>
              <w:rPr>
                <w:sz w:val="20"/>
                <w:szCs w:val="20"/>
                <w:color w:val="auto"/>
              </w:rPr>
            </w:pPr>
            <w:r>
              <w:rPr>
                <w:rFonts w:ascii="Arial" w:cs="Arial" w:eastAsia="Arial" w:hAnsi="Arial"/>
                <w:sz w:val="16"/>
                <w:szCs w:val="16"/>
                <w:b w:val="1"/>
                <w:bCs w:val="1"/>
                <w:color w:val="auto"/>
                <w:w w:val="88"/>
              </w:rPr>
              <w:t>500 West Texas</w:t>
            </w:r>
          </w:p>
        </w:tc>
        <w:tc>
          <w:tcPr>
            <w:tcW w:w="3360" w:type="dxa"/>
            <w:vAlign w:val="bottom"/>
          </w:tcPr>
          <w:p>
            <w:pPr>
              <w:spacing w:after="0"/>
              <w:rPr>
                <w:sz w:val="24"/>
                <w:szCs w:val="24"/>
                <w:color w:val="auto"/>
              </w:rPr>
            </w:pPr>
          </w:p>
        </w:tc>
      </w:tr>
      <w:tr>
        <w:trPr>
          <w:trHeight w:val="270"/>
        </w:trPr>
        <w:tc>
          <w:tcPr>
            <w:tcW w:w="3780" w:type="dxa"/>
            <w:vAlign w:val="bottom"/>
          </w:tcPr>
          <w:p>
            <w:pPr>
              <w:jc w:val="center"/>
              <w:ind w:right="783"/>
              <w:spacing w:after="0"/>
              <w:rPr>
                <w:sz w:val="20"/>
                <w:szCs w:val="20"/>
                <w:color w:val="auto"/>
              </w:rPr>
            </w:pPr>
            <w:r>
              <w:rPr>
                <w:rFonts w:ascii="Arial" w:cs="Arial" w:eastAsia="Arial" w:hAnsi="Arial"/>
                <w:sz w:val="16"/>
                <w:szCs w:val="16"/>
                <w:b w:val="1"/>
                <w:bCs w:val="1"/>
                <w:color w:val="auto"/>
                <w:w w:val="90"/>
              </w:rPr>
              <w:t>Suite 1200</w:t>
            </w:r>
          </w:p>
        </w:tc>
        <w:tc>
          <w:tcPr>
            <w:tcW w:w="3360" w:type="dxa"/>
            <w:vAlign w:val="bottom"/>
          </w:tcPr>
          <w:p>
            <w:pPr>
              <w:spacing w:after="0"/>
              <w:rPr>
                <w:sz w:val="23"/>
                <w:szCs w:val="23"/>
                <w:color w:val="auto"/>
              </w:rPr>
            </w:pPr>
          </w:p>
        </w:tc>
      </w:tr>
      <w:tr>
        <w:trPr>
          <w:trHeight w:val="270"/>
        </w:trPr>
        <w:tc>
          <w:tcPr>
            <w:tcW w:w="3780" w:type="dxa"/>
            <w:vAlign w:val="bottom"/>
          </w:tcPr>
          <w:p>
            <w:pPr>
              <w:ind w:left="1120"/>
              <w:spacing w:after="0"/>
              <w:rPr>
                <w:sz w:val="20"/>
                <w:szCs w:val="20"/>
                <w:color w:val="auto"/>
              </w:rPr>
            </w:pPr>
            <w:r>
              <w:rPr>
                <w:rFonts w:ascii="Arial" w:cs="Arial" w:eastAsia="Arial" w:hAnsi="Arial"/>
                <w:sz w:val="16"/>
                <w:szCs w:val="16"/>
                <w:b w:val="1"/>
                <w:bCs w:val="1"/>
                <w:color w:val="auto"/>
              </w:rPr>
              <w:t>Midland, TX</w:t>
            </w:r>
          </w:p>
        </w:tc>
        <w:tc>
          <w:tcPr>
            <w:tcW w:w="336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r>
      <w:tr>
        <w:trPr>
          <w:trHeight w:val="440"/>
        </w:trPr>
        <w:tc>
          <w:tcPr>
            <w:tcW w:w="3780" w:type="dxa"/>
            <w:vAlign w:val="bottom"/>
          </w:tcPr>
          <w:p>
            <w:pPr>
              <w:jc w:val="center"/>
              <w:ind w:right="80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60" w:type="dxa"/>
            <w:vAlign w:val="bottom"/>
          </w:tcPr>
          <w:p>
            <w:pPr>
              <w:jc w:val="center"/>
              <w:ind w:left="784"/>
              <w:spacing w:after="0"/>
              <w:rPr>
                <w:sz w:val="20"/>
                <w:szCs w:val="20"/>
                <w:color w:val="auto"/>
              </w:rPr>
            </w:pPr>
            <w:r>
              <w:rPr>
                <w:rFonts w:ascii="Arial" w:cs="Arial" w:eastAsia="Arial" w:hAnsi="Arial"/>
                <w:sz w:val="14"/>
                <w:szCs w:val="14"/>
                <w:b w:val="1"/>
                <w:bCs w:val="1"/>
                <w:color w:val="auto"/>
                <w:w w:val="92"/>
              </w:rPr>
              <w:t>(Zip code)</w:t>
            </w:r>
          </w:p>
        </w:tc>
      </w:tr>
    </w:tbl>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229" w:right="339" w:bottom="1440" w:gutter="0" w:footer="0" w:header="0"/>
        </w:sectPr>
      </w:pPr>
    </w:p>
    <w:p>
      <w:pPr>
        <w:spacing w:after="0" w:line="168" w:lineRule="exact"/>
        <w:rPr>
          <w:sz w:val="24"/>
          <w:szCs w:val="24"/>
          <w:color w:val="auto"/>
        </w:rPr>
      </w:pPr>
    </w:p>
    <w:p>
      <w:pPr>
        <w:ind w:left="20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3280" w:space="520"/>
            <w:col w:w="1360" w:space="720"/>
            <w:col w:w="5360"/>
          </w:cols>
          <w:pgMar w:left="320" w:top="229" w:right="339" w:bottom="1440" w:gutter="0" w:footer="0" w:header="0"/>
          <w:type w:val="continuous"/>
        </w:sectPr>
      </w:pPr>
    </w:p>
    <w:p>
      <w:pPr>
        <w:ind w:left="2180"/>
        <w:spacing w:after="0"/>
        <w:rPr>
          <w:sz w:val="20"/>
          <w:szCs w:val="20"/>
          <w:color w:val="auto"/>
        </w:rPr>
      </w:pPr>
      <w:r>
        <w:rPr>
          <w:rFonts w:ascii="Arial" w:cs="Arial" w:eastAsia="Arial" w:hAnsi="Arial"/>
          <w:sz w:val="14"/>
          <w:szCs w:val="14"/>
          <w:color w:val="auto"/>
        </w:rPr>
        <w:t>Common Units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VNOM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108" w:lineRule="exact"/>
        <w:rPr>
          <w:sz w:val="24"/>
          <w:szCs w:val="24"/>
          <w:color w:val="auto"/>
        </w:rPr>
      </w:pPr>
    </w:p>
    <w:p>
      <w:pPr>
        <w:sectPr>
          <w:pgSz w:w="11900" w:h="16838" w:orient="portrait"/>
          <w:cols w:equalWidth="0" w:num="3">
            <w:col w:w="3460" w:space="720"/>
            <w:col w:w="1480" w:space="720"/>
            <w:col w:w="4860"/>
          </w:cols>
          <w:pgMar w:left="320" w:top="229" w:right="339" w:bottom="1440" w:gutter="0" w:footer="0" w:header="0"/>
          <w:type w:val="continuous"/>
        </w:sectPr>
      </w:pPr>
    </w:p>
    <w:p>
      <w:pPr>
        <w:ind w:left="628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240"/>
          </w:cols>
          <w:pgMar w:left="320" w:top="229" w:right="339" w:bottom="1440" w:gutter="0" w:footer="0" w:header="0"/>
          <w:type w:val="continuous"/>
        </w:sectPr>
      </w:pPr>
    </w:p>
    <w:p>
      <w:pPr>
        <w:spacing w:after="0" w:line="210"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06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1"/>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060" w:type="dxa"/>
            <w:vAlign w:val="bottom"/>
          </w:tcPr>
          <w:p>
            <w:pPr>
              <w:ind w:left="196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1"/>
        </w:trPr>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60" w:type="dxa"/>
            <w:vAlign w:val="bottom"/>
          </w:tcPr>
          <w:p>
            <w:pPr>
              <w:ind w:left="196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As of May 1, 2020, the registrant had outstanding 67,831,342 common units representing limited partner interests and 90,709,946 Class B units representing limited partner units.</w:t>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7"/>
        </w:trPr>
        <w:tc>
          <w:tcPr>
            <w:tcW w:w="10580" w:type="dxa"/>
            <w:vAlign w:val="bottom"/>
            <w:tcBorders>
              <w:bottom w:val="single" w:sz="8" w:color="CCEEFF"/>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10580" w:type="dxa"/>
            <w:vAlign w:val="bottom"/>
            <w:tcBorders>
              <w:bottom w:val="single" w:sz="8" w:color="CCEEFF"/>
            </w:tcBorders>
            <w:gridSpan w:val="2"/>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Glossary of Oil and Natural Gas Terms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ii</w:t>
              </w:r>
            </w:hyperlink>
          </w:p>
        </w:tc>
      </w:tr>
      <w:tr>
        <w:trPr>
          <w:trHeight w:val="243"/>
        </w:trPr>
        <w:tc>
          <w:tcPr>
            <w:tcW w:w="10580" w:type="dxa"/>
            <w:vAlign w:val="bottom"/>
            <w:gridSpan w:val="2"/>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Glossary of Certain Other Terms</w:t>
              </w:r>
            </w:hyperlink>
          </w:p>
        </w:tc>
        <w:tc>
          <w:tcPr>
            <w:tcW w:w="660" w:type="dxa"/>
            <w:vAlign w:val="bottom"/>
          </w:tcPr>
          <w:p>
            <w:pPr>
              <w:jc w:val="cente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iii</w:t>
              </w:r>
            </w:hyperlink>
          </w:p>
        </w:tc>
      </w:tr>
      <w:tr>
        <w:trPr>
          <w:trHeight w:val="27"/>
        </w:trPr>
        <w:tc>
          <w:tcPr>
            <w:tcW w:w="105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0580" w:type="dxa"/>
            <w:vAlign w:val="bottom"/>
            <w:tcBorders>
              <w:bottom w:val="single" w:sz="8" w:color="CCEEFF"/>
            </w:tcBorders>
            <w:gridSpan w:val="2"/>
            <w:shd w:val="clear" w:color="auto" w:fill="CCEEFF"/>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Cautionary Statement Regarding Forward-Looking Statements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iv</w:t>
              </w:r>
            </w:hyperlink>
          </w:p>
        </w:tc>
      </w:tr>
      <w:tr>
        <w:trPr>
          <w:trHeight w:val="324"/>
        </w:trPr>
        <w:tc>
          <w:tcPr>
            <w:tcW w:w="56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shd w:val="clear" w:color="auto" w:fill="CCEEFF"/>
          </w:tcPr>
          <w:p>
            <w:pPr>
              <w:ind w:left="3540"/>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PART I. FINANCIAL INFORMATION</w:t>
              </w:r>
            </w:hyperlink>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10580" w:type="dxa"/>
            <w:vAlign w:val="bottom"/>
            <w:gridSpan w:val="2"/>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 Consolidated Financial Statements (Unaudited)</w:t>
              </w:r>
            </w:hyperlink>
          </w:p>
        </w:tc>
        <w:tc>
          <w:tcPr>
            <w:tcW w:w="66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1</w:t>
              </w:r>
            </w:hyperlink>
          </w:p>
        </w:tc>
      </w:tr>
      <w:tr>
        <w:trPr>
          <w:trHeight w:val="27"/>
        </w:trPr>
        <w:tc>
          <w:tcPr>
            <w:tcW w:w="56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shd w:val="clear" w:color="auto" w:fill="CCEEFF"/>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Balance Sheets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1</w:t>
              </w:r>
            </w:hyperlink>
          </w:p>
        </w:tc>
      </w:tr>
      <w:tr>
        <w:trPr>
          <w:trHeight w:val="243"/>
        </w:trPr>
        <w:tc>
          <w:tcPr>
            <w:tcW w:w="560" w:type="dxa"/>
            <w:vAlign w:val="bottom"/>
          </w:tcPr>
          <w:p>
            <w:pPr>
              <w:spacing w:after="0"/>
              <w:rPr>
                <w:sz w:val="21"/>
                <w:szCs w:val="21"/>
                <w:color w:val="auto"/>
              </w:rPr>
            </w:pPr>
          </w:p>
        </w:tc>
        <w:tc>
          <w:tcPr>
            <w:tcW w:w="10020" w:type="dxa"/>
            <w:vAlign w:val="bottom"/>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Operations</w:t>
              </w:r>
            </w:hyperlink>
          </w:p>
        </w:tc>
        <w:tc>
          <w:tcPr>
            <w:tcW w:w="660" w:type="dxa"/>
            <w:vAlign w:val="bottom"/>
          </w:tcPr>
          <w:p>
            <w:pPr>
              <w:jc w:val="center"/>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2</w:t>
              </w:r>
            </w:hyperlink>
          </w:p>
        </w:tc>
      </w:tr>
      <w:tr>
        <w:trPr>
          <w:trHeight w:val="27"/>
        </w:trPr>
        <w:tc>
          <w:tcPr>
            <w:tcW w:w="56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shd w:val="clear" w:color="auto" w:fill="CCEEFF"/>
          </w:tcPr>
          <w:p>
            <w:pPr>
              <w:ind w:left="1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Statements of Unitholders’ Equity</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3</w:t>
              </w:r>
            </w:hyperlink>
          </w:p>
        </w:tc>
      </w:tr>
      <w:tr>
        <w:trPr>
          <w:trHeight w:val="243"/>
        </w:trPr>
        <w:tc>
          <w:tcPr>
            <w:tcW w:w="560" w:type="dxa"/>
            <w:vAlign w:val="bottom"/>
          </w:tcPr>
          <w:p>
            <w:pPr>
              <w:spacing w:after="0"/>
              <w:rPr>
                <w:sz w:val="21"/>
                <w:szCs w:val="21"/>
                <w:color w:val="auto"/>
              </w:rPr>
            </w:pPr>
          </w:p>
        </w:tc>
        <w:tc>
          <w:tcPr>
            <w:tcW w:w="10020" w:type="dxa"/>
            <w:vAlign w:val="bottom"/>
          </w:tcPr>
          <w:p>
            <w:pPr>
              <w:ind w:left="1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Consolidated Statements of Cash Flows</w:t>
              </w:r>
            </w:hyperlink>
          </w:p>
        </w:tc>
        <w:tc>
          <w:tcPr>
            <w:tcW w:w="660" w:type="dxa"/>
            <w:vAlign w:val="bottom"/>
          </w:tcPr>
          <w:p>
            <w:pPr>
              <w:jc w:val="center"/>
              <w:spacing w:after="0"/>
              <w:rPr>
                <w:rFonts w:ascii="Arial" w:cs="Arial" w:eastAsia="Arial" w:hAnsi="Arial"/>
                <w:sz w:val="18"/>
                <w:szCs w:val="18"/>
                <w:u w:val="single" w:color="auto"/>
                <w:color w:val="0000EE"/>
                <w:w w:val="99"/>
              </w:rPr>
            </w:pPr>
            <w:hyperlink w:anchor="page10">
              <w:r>
                <w:rPr>
                  <w:rFonts w:ascii="Arial" w:cs="Arial" w:eastAsia="Arial" w:hAnsi="Arial"/>
                  <w:sz w:val="18"/>
                  <w:szCs w:val="18"/>
                  <w:u w:val="single" w:color="auto"/>
                  <w:color w:val="0000EE"/>
                  <w:w w:val="99"/>
                </w:rPr>
                <w:t>4</w:t>
              </w:r>
            </w:hyperlink>
          </w:p>
        </w:tc>
      </w:tr>
      <w:tr>
        <w:trPr>
          <w:trHeight w:val="27"/>
        </w:trPr>
        <w:tc>
          <w:tcPr>
            <w:tcW w:w="56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shd w:val="clear" w:color="auto" w:fill="CCEEFF"/>
          </w:tcPr>
          <w:p>
            <w:pPr>
              <w:ind w:left="1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Condensed Notes to Consolidated Financial Statements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11">
              <w:r>
                <w:rPr>
                  <w:rFonts w:ascii="Arial" w:cs="Arial" w:eastAsia="Arial" w:hAnsi="Arial"/>
                  <w:sz w:val="18"/>
                  <w:szCs w:val="18"/>
                  <w:u w:val="single" w:color="auto"/>
                  <w:color w:val="0000EE"/>
                  <w:w w:val="99"/>
                </w:rPr>
                <w:t>5</w:t>
              </w:r>
            </w:hyperlink>
          </w:p>
        </w:tc>
      </w:tr>
      <w:tr>
        <w:trPr>
          <w:trHeight w:val="324"/>
        </w:trPr>
        <w:tc>
          <w:tcPr>
            <w:tcW w:w="105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10580" w:type="dxa"/>
            <w:vAlign w:val="bottom"/>
            <w:tcBorders>
              <w:bottom w:val="single" w:sz="8" w:color="CCEEFF"/>
            </w:tcBorders>
            <w:gridSpan w:val="2"/>
            <w:shd w:val="clear" w:color="auto" w:fill="CCEEFF"/>
          </w:tcPr>
          <w:p>
            <w:pPr>
              <w:ind w:left="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 Management’s Discussion and Analysis of Financial Conditions and Results of Operations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20</w:t>
              </w:r>
            </w:hyperlink>
          </w:p>
        </w:tc>
      </w:tr>
      <w:tr>
        <w:trPr>
          <w:trHeight w:val="324"/>
        </w:trPr>
        <w:tc>
          <w:tcPr>
            <w:tcW w:w="56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56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0"/>
              </w:rPr>
            </w:pPr>
            <w:hyperlink w:anchor="page36">
              <w:r>
                <w:rPr>
                  <w:rFonts w:ascii="Arial" w:cs="Arial" w:eastAsia="Arial" w:hAnsi="Arial"/>
                  <w:sz w:val="18"/>
                  <w:szCs w:val="18"/>
                  <w:u w:val="single" w:color="auto"/>
                  <w:color w:val="0000EE"/>
                  <w:w w:val="90"/>
                </w:rPr>
                <w:t>Item 3.</w:t>
              </w:r>
            </w:hyperlink>
          </w:p>
        </w:tc>
        <w:tc>
          <w:tcPr>
            <w:tcW w:w="1002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30</w:t>
              </w:r>
            </w:hyperlink>
          </w:p>
        </w:tc>
      </w:tr>
      <w:tr>
        <w:trPr>
          <w:trHeight w:val="324"/>
        </w:trPr>
        <w:tc>
          <w:tcPr>
            <w:tcW w:w="56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56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0"/>
              </w:rPr>
            </w:pPr>
            <w:hyperlink w:anchor="page37">
              <w:r>
                <w:rPr>
                  <w:rFonts w:ascii="Arial" w:cs="Arial" w:eastAsia="Arial" w:hAnsi="Arial"/>
                  <w:sz w:val="18"/>
                  <w:szCs w:val="18"/>
                  <w:u w:val="single" w:color="auto"/>
                  <w:color w:val="0000EE"/>
                  <w:w w:val="90"/>
                </w:rPr>
                <w:t>Item 4.</w:t>
              </w:r>
            </w:hyperlink>
          </w:p>
        </w:tc>
        <w:tc>
          <w:tcPr>
            <w:tcW w:w="1002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31</w:t>
              </w:r>
            </w:hyperlink>
          </w:p>
        </w:tc>
      </w:tr>
      <w:tr>
        <w:trPr>
          <w:trHeight w:val="324"/>
        </w:trPr>
        <w:tc>
          <w:tcPr>
            <w:tcW w:w="56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shd w:val="clear" w:color="auto" w:fill="CCEEFF"/>
          </w:tcPr>
          <w:p>
            <w:pPr>
              <w:ind w:left="368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PART II. OTHER INFORMATION</w:t>
              </w:r>
            </w:hyperlink>
          </w:p>
        </w:tc>
        <w:tc>
          <w:tcPr>
            <w:tcW w:w="660" w:type="dxa"/>
            <w:vAlign w:val="bottom"/>
            <w:tcBorders>
              <w:bottom w:val="single" w:sz="8" w:color="CCEEFF"/>
            </w:tcBorders>
            <w:shd w:val="clear" w:color="auto" w:fill="CCEEFF"/>
          </w:tcPr>
          <w:p>
            <w:pPr>
              <w:spacing w:after="0"/>
              <w:rPr>
                <w:sz w:val="21"/>
                <w:szCs w:val="21"/>
                <w:color w:val="auto"/>
              </w:rPr>
            </w:pPr>
          </w:p>
        </w:tc>
      </w:tr>
      <w:tr>
        <w:trPr>
          <w:trHeight w:val="324"/>
        </w:trPr>
        <w:tc>
          <w:tcPr>
            <w:tcW w:w="56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56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0"/>
              </w:rPr>
            </w:pPr>
            <w:hyperlink w:anchor="page39">
              <w:r>
                <w:rPr>
                  <w:rFonts w:ascii="Arial" w:cs="Arial" w:eastAsia="Arial" w:hAnsi="Arial"/>
                  <w:sz w:val="18"/>
                  <w:szCs w:val="18"/>
                  <w:u w:val="single" w:color="auto"/>
                  <w:color w:val="0000EE"/>
                  <w:w w:val="90"/>
                </w:rPr>
                <w:t>Item 1.</w:t>
              </w:r>
            </w:hyperlink>
          </w:p>
        </w:tc>
        <w:tc>
          <w:tcPr>
            <w:tcW w:w="1002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39">
              <w:r>
                <w:rPr>
                  <w:rFonts w:ascii="Arial" w:cs="Arial" w:eastAsia="Arial" w:hAnsi="Arial"/>
                  <w:sz w:val="18"/>
                  <w:szCs w:val="18"/>
                  <w:u w:val="single" w:color="auto"/>
                  <w:color w:val="0000EE"/>
                  <w:w w:val="89"/>
                </w:rPr>
                <w:t>33</w:t>
              </w:r>
            </w:hyperlink>
          </w:p>
        </w:tc>
      </w:tr>
      <w:tr>
        <w:trPr>
          <w:trHeight w:val="324"/>
        </w:trPr>
        <w:tc>
          <w:tcPr>
            <w:tcW w:w="105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10580" w:type="dxa"/>
            <w:vAlign w:val="bottom"/>
            <w:tcBorders>
              <w:bottom w:val="single" w:sz="8" w:color="CCEEFF"/>
            </w:tcBorders>
            <w:gridSpan w:val="2"/>
            <w:shd w:val="clear" w:color="auto" w:fill="CCEEFF"/>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1A. Risk Factors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39">
              <w:r>
                <w:rPr>
                  <w:rFonts w:ascii="Arial" w:cs="Arial" w:eastAsia="Arial" w:hAnsi="Arial"/>
                  <w:sz w:val="18"/>
                  <w:szCs w:val="18"/>
                  <w:u w:val="single" w:color="auto"/>
                  <w:color w:val="0000EE"/>
                  <w:w w:val="89"/>
                </w:rPr>
                <w:t>33</w:t>
              </w:r>
            </w:hyperlink>
          </w:p>
        </w:tc>
      </w:tr>
      <w:tr>
        <w:trPr>
          <w:trHeight w:val="324"/>
        </w:trPr>
        <w:tc>
          <w:tcPr>
            <w:tcW w:w="56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56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0"/>
              </w:rPr>
            </w:pPr>
            <w:hyperlink w:anchor="page41">
              <w:r>
                <w:rPr>
                  <w:rFonts w:ascii="Arial" w:cs="Arial" w:eastAsia="Arial" w:hAnsi="Arial"/>
                  <w:sz w:val="18"/>
                  <w:szCs w:val="18"/>
                  <w:u w:val="single" w:color="auto"/>
                  <w:color w:val="0000EE"/>
                  <w:w w:val="90"/>
                </w:rPr>
                <w:t>Item 6.</w:t>
              </w:r>
            </w:hyperlink>
          </w:p>
        </w:tc>
        <w:tc>
          <w:tcPr>
            <w:tcW w:w="1002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Exhibits</w:t>
              </w:r>
            </w:hyperlink>
          </w:p>
        </w:tc>
        <w:tc>
          <w:tcPr>
            <w:tcW w:w="6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35</w:t>
              </w:r>
            </w:hyperlink>
          </w:p>
        </w:tc>
      </w:tr>
      <w:tr>
        <w:trPr>
          <w:trHeight w:val="324"/>
        </w:trPr>
        <w:tc>
          <w:tcPr>
            <w:tcW w:w="105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10580" w:type="dxa"/>
            <w:vAlign w:val="bottom"/>
            <w:gridSpan w:val="2"/>
            <w:shd w:val="clear" w:color="auto" w:fill="CCEEFF"/>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36</w:t>
              </w:r>
            </w:hyperlink>
          </w:p>
        </w:tc>
      </w:tr>
      <w:tr>
        <w:trPr>
          <w:trHeight w:val="27"/>
        </w:trPr>
        <w:tc>
          <w:tcPr>
            <w:tcW w:w="560" w:type="dxa"/>
            <w:vAlign w:val="bottom"/>
            <w:shd w:val="clear" w:color="auto" w:fill="CCEEFF"/>
          </w:tcPr>
          <w:p>
            <w:pPr>
              <w:spacing w:after="0"/>
              <w:rPr>
                <w:sz w:val="2"/>
                <w:szCs w:val="2"/>
                <w:color w:val="auto"/>
              </w:rPr>
            </w:pPr>
          </w:p>
        </w:tc>
        <w:tc>
          <w:tcPr>
            <w:tcW w:w="10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glossary of certain oil and gas terms that are used in this Quarterly Report on Form 10-Q (this “report”):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80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 large depression on the earth’s surface in which sediments accumulate.</w:t>
            </w:r>
          </w:p>
        </w:tc>
        <w:tc>
          <w:tcPr>
            <w:tcW w:w="0" w:type="dxa"/>
            <w:vAlign w:val="bottom"/>
          </w:tcPr>
          <w:p>
            <w:pPr>
              <w:spacing w:after="0"/>
              <w:rPr>
                <w:sz w:val="1"/>
                <w:szCs w:val="1"/>
                <w:color w:val="auto"/>
              </w:rPr>
            </w:pP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Bbl</w:t>
            </w:r>
          </w:p>
        </w:tc>
        <w:tc>
          <w:tcPr>
            <w:tcW w:w="8800" w:type="dxa"/>
            <w:vAlign w:val="bottom"/>
          </w:tcPr>
          <w:p>
            <w:pPr>
              <w:ind w:left="300"/>
              <w:spacing w:after="0"/>
              <w:rPr>
                <w:sz w:val="20"/>
                <w:szCs w:val="20"/>
                <w:color w:val="auto"/>
              </w:rPr>
            </w:pPr>
            <w:r>
              <w:rPr>
                <w:rFonts w:ascii="Arial" w:cs="Arial" w:eastAsia="Arial" w:hAnsi="Arial"/>
                <w:sz w:val="18"/>
                <w:szCs w:val="18"/>
                <w:color w:val="auto"/>
                <w:w w:val="98"/>
              </w:rPr>
              <w:t>Stock tank barrel, or 42 U.S. gallons liquid volume, used in this report in reference to crude oil or other liquid</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hydrocarbons.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Barrels of oil equivalent, with six thousand cubic feet of natural gas being equivalent to one barrel of oil.</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BOE/d</w:t>
            </w:r>
          </w:p>
        </w:tc>
        <w:tc>
          <w:tcPr>
            <w:tcW w:w="8800" w:type="dxa"/>
            <w:vAlign w:val="bottom"/>
          </w:tcPr>
          <w:p>
            <w:pPr>
              <w:ind w:left="300"/>
              <w:spacing w:after="0"/>
              <w:rPr>
                <w:sz w:val="20"/>
                <w:szCs w:val="20"/>
                <w:color w:val="auto"/>
              </w:rPr>
            </w:pPr>
            <w:r>
              <w:rPr>
                <w:rFonts w:ascii="Arial" w:cs="Arial" w:eastAsia="Arial" w:hAnsi="Arial"/>
                <w:sz w:val="18"/>
                <w:szCs w:val="18"/>
                <w:color w:val="auto"/>
              </w:rPr>
              <w:t>BOE per day.</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Thermal Unit or Btu</w:t>
            </w: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Condensate</w:t>
            </w:r>
          </w:p>
        </w:tc>
        <w:tc>
          <w:tcPr>
            <w:tcW w:w="8800" w:type="dxa"/>
            <w:vAlign w:val="bottom"/>
          </w:tcPr>
          <w:p>
            <w:pPr>
              <w:ind w:left="300"/>
              <w:spacing w:after="0"/>
              <w:rPr>
                <w:sz w:val="20"/>
                <w:szCs w:val="20"/>
                <w:color w:val="auto"/>
              </w:rPr>
            </w:pPr>
            <w:r>
              <w:rPr>
                <w:rFonts w:ascii="Arial" w:cs="Arial" w:eastAsia="Arial" w:hAnsi="Arial"/>
                <w:sz w:val="18"/>
                <w:szCs w:val="18"/>
                <w:color w:val="auto"/>
              </w:rPr>
              <w:t>Liquid hydrocarbons associated with the production of a primarily natural gas reserve.</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c>
          <w:tcPr>
            <w:tcW w:w="0" w:type="dxa"/>
            <w:vAlign w:val="bottom"/>
          </w:tcPr>
          <w:p>
            <w:pPr>
              <w:spacing w:after="0"/>
              <w:rPr>
                <w:sz w:val="1"/>
                <w:szCs w:val="1"/>
                <w:color w:val="auto"/>
              </w:rPr>
            </w:pP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Fracturing</w:t>
            </w:r>
          </w:p>
        </w:tc>
        <w:tc>
          <w:tcPr>
            <w:tcW w:w="8800" w:type="dxa"/>
            <w:vAlign w:val="bottom"/>
          </w:tcPr>
          <w:p>
            <w:pPr>
              <w:ind w:left="300"/>
              <w:spacing w:after="0"/>
              <w:rPr>
                <w:sz w:val="20"/>
                <w:szCs w:val="20"/>
                <w:color w:val="auto"/>
              </w:rPr>
            </w:pPr>
            <w:r>
              <w:rPr>
                <w:rFonts w:ascii="Arial" w:cs="Arial" w:eastAsia="Arial" w:hAnsi="Arial"/>
                <w:sz w:val="18"/>
                <w:szCs w:val="18"/>
                <w:color w:val="auto"/>
                <w:w w:val="94"/>
              </w:rPr>
              <w:t>The process of creating and preserving a fracture or system of fractures in a reservoir rock typically by injecting a</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fluid under pressure through a wellbore and into the targeted formation.</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 vertical</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drilling mechanisms.</w:t>
            </w:r>
          </w:p>
        </w:tc>
        <w:tc>
          <w:tcPr>
            <w:tcW w:w="0" w:type="dxa"/>
            <w:vAlign w:val="bottom"/>
          </w:tcPr>
          <w:p>
            <w:pPr>
              <w:spacing w:after="0"/>
              <w:rPr>
                <w:sz w:val="1"/>
                <w:szCs w:val="1"/>
                <w:color w:val="auto"/>
              </w:rPr>
            </w:pPr>
          </w:p>
        </w:tc>
      </w:tr>
      <w:tr>
        <w:trPr>
          <w:trHeight w:val="243"/>
        </w:trPr>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MBbls</w:t>
            </w:r>
          </w:p>
        </w:tc>
        <w:tc>
          <w:tcPr>
            <w:tcW w:w="8800" w:type="dxa"/>
            <w:vAlign w:val="bottom"/>
          </w:tcPr>
          <w:p>
            <w:pPr>
              <w:ind w:left="300"/>
              <w:spacing w:after="0"/>
              <w:rPr>
                <w:sz w:val="20"/>
                <w:szCs w:val="20"/>
                <w:color w:val="auto"/>
              </w:rPr>
            </w:pPr>
            <w:r>
              <w:rPr>
                <w:rFonts w:ascii="Arial" w:cs="Arial" w:eastAsia="Arial" w:hAnsi="Arial"/>
                <w:sz w:val="18"/>
                <w:szCs w:val="18"/>
                <w:color w:val="auto"/>
              </w:rPr>
              <w:t>Thousand barrels of crude oil or other liquid hydrocarbons.</w:t>
            </w:r>
          </w:p>
        </w:tc>
        <w:tc>
          <w:tcPr>
            <w:tcW w:w="0" w:type="dxa"/>
            <w:vAlign w:val="bottom"/>
          </w:tcPr>
          <w:p>
            <w:pPr>
              <w:spacing w:after="0"/>
              <w:rPr>
                <w:sz w:val="1"/>
                <w:szCs w:val="1"/>
                <w:color w:val="auto"/>
              </w:rPr>
            </w:pPr>
          </w:p>
        </w:tc>
      </w:tr>
      <w:tr>
        <w:trPr>
          <w:trHeight w:val="162"/>
        </w:trPr>
        <w:tc>
          <w:tcPr>
            <w:tcW w:w="2440" w:type="dxa"/>
            <w:vAlign w:val="bottom"/>
            <w:vMerge w:val="continue"/>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MBOE</w:t>
            </w: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One thousand barrels of crude oil equivalent, determined using a ratio of six Mcf of natural gas to one Bbl of crude</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oil, condensate or natural gas liquids.</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Mcf</w:t>
            </w:r>
          </w:p>
        </w:tc>
        <w:tc>
          <w:tcPr>
            <w:tcW w:w="8800" w:type="dxa"/>
            <w:vAlign w:val="bottom"/>
          </w:tcPr>
          <w:p>
            <w:pPr>
              <w:ind w:left="300"/>
              <w:spacing w:after="0"/>
              <w:rPr>
                <w:sz w:val="20"/>
                <w:szCs w:val="20"/>
                <w:color w:val="auto"/>
              </w:rPr>
            </w:pPr>
            <w:r>
              <w:rPr>
                <w:rFonts w:ascii="Arial" w:cs="Arial" w:eastAsia="Arial" w:hAnsi="Arial"/>
                <w:sz w:val="18"/>
                <w:szCs w:val="18"/>
                <w:color w:val="auto"/>
              </w:rPr>
              <w:t>Thousand cubic feet of natural gas.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Mineral interests</w:t>
            </w: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The interests in ownership of the resource and mineral rights, giving an owner the right to profit from the extracted</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resources.</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MMBtu</w:t>
            </w:r>
          </w:p>
        </w:tc>
        <w:tc>
          <w:tcPr>
            <w:tcW w:w="8800" w:type="dxa"/>
            <w:vAlign w:val="bottom"/>
          </w:tcPr>
          <w:p>
            <w:pPr>
              <w:ind w:left="30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royalty acres</w:t>
            </w: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acreage multiplied by the average royalty interest.</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Oil and natural gas properties</w:t>
            </w:r>
          </w:p>
        </w:tc>
        <w:tc>
          <w:tcPr>
            <w:tcW w:w="8800" w:type="dxa"/>
            <w:vAlign w:val="bottom"/>
          </w:tcPr>
          <w:p>
            <w:pPr>
              <w:ind w:left="30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Operator</w:t>
            </w: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 lease.</w:t>
            </w:r>
          </w:p>
        </w:tc>
        <w:tc>
          <w:tcPr>
            <w:tcW w:w="0" w:type="dxa"/>
            <w:vAlign w:val="bottom"/>
          </w:tcPr>
          <w:p>
            <w:pPr>
              <w:spacing w:after="0"/>
              <w:rPr>
                <w:sz w:val="1"/>
                <w:szCs w:val="1"/>
                <w:color w:val="auto"/>
              </w:rPr>
            </w:pP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Prospect</w:t>
            </w:r>
          </w:p>
        </w:tc>
        <w:tc>
          <w:tcPr>
            <w:tcW w:w="8800" w:type="dxa"/>
            <w:vAlign w:val="bottom"/>
          </w:tcPr>
          <w:p>
            <w:pPr>
              <w:ind w:left="300"/>
              <w:spacing w:after="0"/>
              <w:rPr>
                <w:sz w:val="20"/>
                <w:szCs w:val="20"/>
                <w:color w:val="auto"/>
              </w:rPr>
            </w:pPr>
            <w:r>
              <w:rPr>
                <w:rFonts w:ascii="Arial" w:cs="Arial" w:eastAsia="Arial" w:hAnsi="Arial"/>
                <w:sz w:val="18"/>
                <w:szCs w:val="18"/>
                <w:color w:val="auto"/>
                <w:w w:val="94"/>
              </w:rPr>
              <w:t>A specific geographic area which, based on supporting geological, geophysical or other data and also preliminary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3"/>
              </w:rPr>
              <w:t>economic analysis using reasonably anticipated prices and costs, is deemed to have potential for the discovery of</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commercial hydrocarbons.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reserves</w:t>
            </w: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estimated quantities of oil, natural gas and natural gas liquids which geological and engineering data</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demonstrate with reasonable certainty to be commercially recoverable in future years from known reservoirs under</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existing economic and operating conditions.</w:t>
            </w:r>
          </w:p>
        </w:tc>
        <w:tc>
          <w:tcPr>
            <w:tcW w:w="0" w:type="dxa"/>
            <w:vAlign w:val="bottom"/>
          </w:tcPr>
          <w:p>
            <w:pPr>
              <w:spacing w:after="0"/>
              <w:rPr>
                <w:sz w:val="1"/>
                <w:szCs w:val="1"/>
                <w:color w:val="auto"/>
              </w:rPr>
            </w:pP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Reserves</w:t>
            </w:r>
          </w:p>
        </w:tc>
        <w:tc>
          <w:tcPr>
            <w:tcW w:w="8800" w:type="dxa"/>
            <w:vAlign w:val="bottom"/>
          </w:tcPr>
          <w:p>
            <w:pPr>
              <w:ind w:left="300"/>
              <w:spacing w:after="0"/>
              <w:rPr>
                <w:sz w:val="20"/>
                <w:szCs w:val="20"/>
                <w:color w:val="auto"/>
              </w:rPr>
            </w:pPr>
            <w:r>
              <w:rPr>
                <w:rFonts w:ascii="Arial" w:cs="Arial" w:eastAsia="Arial" w:hAnsi="Arial"/>
                <w:sz w:val="18"/>
                <w:szCs w:val="18"/>
                <w:color w:val="auto"/>
                <w:w w:val="95"/>
              </w:rPr>
              <w:t>The estimated remaining quantities of oil and natural gas and related substances anticipated to be economically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5"/>
              </w:rPr>
              <w:t>producible, as of a given date, by application of development projects to known accumulations. In addition, there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4"/>
              </w:rPr>
              <w:t>must exist, or there must be a reasonable expectation that there will exist, the legal right to produce or a revenue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1"/>
              </w:rPr>
              <w:t>interest in the production, installed means of delivering oil and natural gas or related substances to the market and all</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1"/>
              </w:rPr>
              <w:t>permits and financing required to implement the project. Reserves are not assigned to adjacent reservoirs isolated by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5"/>
              </w:rPr>
              <w:t>major, potentially sealing, faults until those reservoirs are penetrated and evaluated as economically producible.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1"/>
              </w:rPr>
              <w:t>Reserves should not be assigned to areas that are clearly separated from a known accumulation by a non-productive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6"/>
              </w:rPr>
              <w:t>reservoir (i.e., absence of reservoir, structurally low reservoir or negative test results). Such areas may contain</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prospective resources (i.e., potentially recoverable resources from undiscovered accumulations).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Reservoir</w:t>
            </w: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 and/or</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oil that is confined by impermeable rock or water barriers and is separate from other reservoirs.</w:t>
            </w:r>
          </w:p>
        </w:tc>
        <w:tc>
          <w:tcPr>
            <w:tcW w:w="0" w:type="dxa"/>
            <w:vAlign w:val="bottom"/>
          </w:tcPr>
          <w:p>
            <w:pPr>
              <w:spacing w:after="0"/>
              <w:rPr>
                <w:sz w:val="1"/>
                <w:szCs w:val="1"/>
                <w:color w:val="auto"/>
              </w:rPr>
            </w:pP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Royalty interest</w:t>
            </w:r>
          </w:p>
        </w:tc>
        <w:tc>
          <w:tcPr>
            <w:tcW w:w="8800" w:type="dxa"/>
            <w:vAlign w:val="bottom"/>
          </w:tcPr>
          <w:p>
            <w:pPr>
              <w:ind w:left="300"/>
              <w:spacing w:after="0"/>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 any</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costs of development, which may be subject to expiration.</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w:t>
            </w: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West Texas Intermediate.</w:t>
            </w:r>
          </w:p>
        </w:tc>
        <w:tc>
          <w:tcPr>
            <w:tcW w:w="0" w:type="dxa"/>
            <w:vAlign w:val="bottom"/>
          </w:tcPr>
          <w:p>
            <w:pPr>
              <w:spacing w:after="0"/>
              <w:rPr>
                <w:sz w:val="1"/>
                <w:szCs w:val="1"/>
                <w:color w:val="auto"/>
              </w:rPr>
            </w:pPr>
          </w:p>
        </w:tc>
      </w:tr>
      <w:tr>
        <w:trPr>
          <w:trHeight w:val="20"/>
        </w:trPr>
        <w:tc>
          <w:tcPr>
            <w:tcW w:w="2440" w:type="dxa"/>
            <w:vAlign w:val="bottom"/>
            <w:shd w:val="clear" w:color="auto" w:fill="000000"/>
          </w:tcPr>
          <w:p>
            <w:pPr>
              <w:spacing w:after="0" w:line="20" w:lineRule="exact"/>
              <w:rPr>
                <w:sz w:val="1"/>
                <w:szCs w:val="1"/>
                <w:color w:val="auto"/>
              </w:rPr>
            </w:pPr>
          </w:p>
        </w:tc>
        <w:tc>
          <w:tcPr>
            <w:tcW w:w="8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9040" w:type="dxa"/>
            <w:vAlign w:val="bottom"/>
          </w:tcPr>
          <w:p>
            <w:pPr>
              <w:ind w:left="16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35"/>
        </w:trPr>
        <w:tc>
          <w:tcPr>
            <w:tcW w:w="2200" w:type="dxa"/>
            <w:vAlign w:val="bottom"/>
            <w:tcBorders>
              <w:bottom w:val="single" w:sz="8" w:color="auto"/>
            </w:tcBorders>
          </w:tcPr>
          <w:p>
            <w:pPr>
              <w:spacing w:after="0"/>
              <w:rPr>
                <w:sz w:val="11"/>
                <w:szCs w:val="11"/>
                <w:color w:val="auto"/>
              </w:rPr>
            </w:pPr>
          </w:p>
        </w:tc>
        <w:tc>
          <w:tcPr>
            <w:tcW w:w="9040" w:type="dxa"/>
            <w:vAlign w:val="bottom"/>
            <w:tcBorders>
              <w:bottom w:val="single" w:sz="8" w:color="auto"/>
            </w:tcBorders>
          </w:tcPr>
          <w:p>
            <w:pPr>
              <w:spacing w:after="0"/>
              <w:rPr>
                <w:sz w:val="11"/>
                <w:szCs w:val="11"/>
                <w:color w:val="auto"/>
              </w:rPr>
            </w:pPr>
          </w:p>
        </w:tc>
      </w:tr>
      <w:tr>
        <w:trPr>
          <w:trHeight w:val="406"/>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Diamondback</w:t>
            </w:r>
          </w:p>
        </w:tc>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Diamondback Energy, Inc., a Delaware corporation.</w:t>
            </w:r>
          </w:p>
        </w:tc>
      </w:tr>
      <w:tr>
        <w:trPr>
          <w:trHeight w:val="405"/>
        </w:trPr>
        <w:tc>
          <w:tcPr>
            <w:tcW w:w="2200" w:type="dxa"/>
            <w:vAlign w:val="bottom"/>
          </w:tcPr>
          <w:p>
            <w:pPr>
              <w:ind w:left="40"/>
              <w:spacing w:after="0"/>
              <w:rPr>
                <w:sz w:val="20"/>
                <w:szCs w:val="20"/>
                <w:color w:val="auto"/>
              </w:rPr>
            </w:pPr>
            <w:r>
              <w:rPr>
                <w:rFonts w:ascii="Arial" w:cs="Arial" w:eastAsia="Arial" w:hAnsi="Arial"/>
                <w:sz w:val="18"/>
                <w:szCs w:val="18"/>
                <w:color w:val="auto"/>
              </w:rPr>
              <w:t>Exchange Act</w:t>
            </w:r>
          </w:p>
        </w:tc>
        <w:tc>
          <w:tcPr>
            <w:tcW w:w="9040" w:type="dxa"/>
            <w:vAlign w:val="bottom"/>
          </w:tcPr>
          <w:p>
            <w:pPr>
              <w:ind w:left="540"/>
              <w:spacing w:after="0"/>
              <w:rPr>
                <w:sz w:val="20"/>
                <w:szCs w:val="20"/>
                <w:color w:val="auto"/>
              </w:rPr>
            </w:pPr>
            <w:r>
              <w:rPr>
                <w:rFonts w:ascii="Arial" w:cs="Arial" w:eastAsia="Arial" w:hAnsi="Arial"/>
                <w:sz w:val="18"/>
                <w:szCs w:val="18"/>
                <w:color w:val="auto"/>
              </w:rPr>
              <w:t>The Securities Exchange Act of 1934, as amended.</w:t>
            </w:r>
          </w:p>
        </w:tc>
      </w:tr>
      <w:tr>
        <w:trPr>
          <w:trHeight w:val="27"/>
        </w:trPr>
        <w:tc>
          <w:tcPr>
            <w:tcW w:w="2200" w:type="dxa"/>
            <w:vAlign w:val="bottom"/>
          </w:tcPr>
          <w:p>
            <w:pPr>
              <w:spacing w:after="0"/>
              <w:rPr>
                <w:sz w:val="2"/>
                <w:szCs w:val="2"/>
                <w:color w:val="auto"/>
              </w:rPr>
            </w:pPr>
          </w:p>
        </w:tc>
        <w:tc>
          <w:tcPr>
            <w:tcW w:w="9040" w:type="dxa"/>
            <w:vAlign w:val="bottom"/>
          </w:tcPr>
          <w:p>
            <w:pPr>
              <w:spacing w:after="0"/>
              <w:rPr>
                <w:sz w:val="2"/>
                <w:szCs w:val="2"/>
                <w:color w:val="auto"/>
              </w:rPr>
            </w:pPr>
          </w:p>
        </w:tc>
      </w:tr>
      <w:tr>
        <w:trPr>
          <w:trHeight w:val="412"/>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405"/>
        </w:trPr>
        <w:tc>
          <w:tcPr>
            <w:tcW w:w="2200" w:type="dxa"/>
            <w:vAlign w:val="bottom"/>
          </w:tcPr>
          <w:p>
            <w:pPr>
              <w:ind w:left="40"/>
              <w:spacing w:after="0"/>
              <w:rPr>
                <w:sz w:val="20"/>
                <w:szCs w:val="20"/>
                <w:color w:val="auto"/>
              </w:rPr>
            </w:pPr>
            <w:r>
              <w:rPr>
                <w:rFonts w:ascii="Arial" w:cs="Arial" w:eastAsia="Arial" w:hAnsi="Arial"/>
                <w:sz w:val="18"/>
                <w:szCs w:val="18"/>
                <w:color w:val="auto"/>
              </w:rPr>
              <w:t>General Partner</w:t>
            </w:r>
          </w:p>
        </w:tc>
        <w:tc>
          <w:tcPr>
            <w:tcW w:w="9040" w:type="dxa"/>
            <w:vAlign w:val="bottom"/>
          </w:tcPr>
          <w:p>
            <w:pPr>
              <w:ind w:left="540"/>
              <w:spacing w:after="0"/>
              <w:rPr>
                <w:sz w:val="20"/>
                <w:szCs w:val="20"/>
                <w:color w:val="auto"/>
              </w:rPr>
            </w:pPr>
            <w:r>
              <w:rPr>
                <w:rFonts w:ascii="Arial" w:cs="Arial" w:eastAsia="Arial" w:hAnsi="Arial"/>
                <w:sz w:val="18"/>
                <w:szCs w:val="18"/>
                <w:color w:val="auto"/>
                <w:w w:val="94"/>
              </w:rPr>
              <w:t>Viper Energy Partners GP LLC, a Delaware limited liability company, and the General Partner of the Partnership.</w:t>
            </w:r>
          </w:p>
        </w:tc>
      </w:tr>
      <w:tr>
        <w:trPr>
          <w:trHeight w:val="27"/>
        </w:trPr>
        <w:tc>
          <w:tcPr>
            <w:tcW w:w="2200" w:type="dxa"/>
            <w:vAlign w:val="bottom"/>
          </w:tcPr>
          <w:p>
            <w:pPr>
              <w:spacing w:after="0"/>
              <w:rPr>
                <w:sz w:val="2"/>
                <w:szCs w:val="2"/>
                <w:color w:val="auto"/>
              </w:rPr>
            </w:pPr>
          </w:p>
        </w:tc>
        <w:tc>
          <w:tcPr>
            <w:tcW w:w="9040" w:type="dxa"/>
            <w:vAlign w:val="bottom"/>
          </w:tcPr>
          <w:p>
            <w:pPr>
              <w:spacing w:after="0"/>
              <w:rPr>
                <w:sz w:val="2"/>
                <w:szCs w:val="2"/>
                <w:color w:val="auto"/>
              </w:rPr>
            </w:pPr>
          </w:p>
        </w:tc>
      </w:tr>
      <w:tr>
        <w:trPr>
          <w:trHeight w:val="412"/>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IPO</w:t>
            </w:r>
          </w:p>
        </w:tc>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The Partnership’s initial public offering.</w:t>
            </w:r>
          </w:p>
        </w:tc>
      </w:tr>
      <w:tr>
        <w:trPr>
          <w:trHeight w:val="405"/>
        </w:trPr>
        <w:tc>
          <w:tcPr>
            <w:tcW w:w="2200" w:type="dxa"/>
            <w:vAlign w:val="bottom"/>
          </w:tcPr>
          <w:p>
            <w:pPr>
              <w:ind w:left="40"/>
              <w:spacing w:after="0"/>
              <w:rPr>
                <w:sz w:val="20"/>
                <w:szCs w:val="20"/>
                <w:color w:val="auto"/>
              </w:rPr>
            </w:pPr>
            <w:r>
              <w:rPr>
                <w:rFonts w:ascii="Arial" w:cs="Arial" w:eastAsia="Arial" w:hAnsi="Arial"/>
                <w:sz w:val="18"/>
                <w:szCs w:val="18"/>
                <w:color w:val="auto"/>
              </w:rPr>
              <w:t>LTIP</w:t>
            </w:r>
          </w:p>
        </w:tc>
        <w:tc>
          <w:tcPr>
            <w:tcW w:w="9040" w:type="dxa"/>
            <w:vAlign w:val="bottom"/>
          </w:tcPr>
          <w:p>
            <w:pPr>
              <w:ind w:left="540"/>
              <w:spacing w:after="0"/>
              <w:rPr>
                <w:sz w:val="20"/>
                <w:szCs w:val="20"/>
                <w:color w:val="auto"/>
              </w:rPr>
            </w:pPr>
            <w:r>
              <w:rPr>
                <w:rFonts w:ascii="Arial" w:cs="Arial" w:eastAsia="Arial" w:hAnsi="Arial"/>
                <w:sz w:val="18"/>
                <w:szCs w:val="18"/>
                <w:color w:val="auto"/>
              </w:rPr>
              <w:t>Viper Energy Partners LP Long Term Incentive Plan.</w:t>
            </w:r>
          </w:p>
        </w:tc>
      </w:tr>
      <w:tr>
        <w:trPr>
          <w:trHeight w:val="27"/>
        </w:trPr>
        <w:tc>
          <w:tcPr>
            <w:tcW w:w="2200" w:type="dxa"/>
            <w:vAlign w:val="bottom"/>
          </w:tcPr>
          <w:p>
            <w:pPr>
              <w:spacing w:after="0"/>
              <w:rPr>
                <w:sz w:val="2"/>
                <w:szCs w:val="2"/>
                <w:color w:val="auto"/>
              </w:rPr>
            </w:pPr>
          </w:p>
        </w:tc>
        <w:tc>
          <w:tcPr>
            <w:tcW w:w="9040" w:type="dxa"/>
            <w:vAlign w:val="bottom"/>
          </w:tcPr>
          <w:p>
            <w:pPr>
              <w:spacing w:after="0"/>
              <w:rPr>
                <w:sz w:val="2"/>
                <w:szCs w:val="2"/>
                <w:color w:val="auto"/>
              </w:rPr>
            </w:pPr>
          </w:p>
        </w:tc>
      </w:tr>
      <w:tr>
        <w:trPr>
          <w:trHeight w:val="412"/>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NYMEX</w:t>
            </w:r>
          </w:p>
        </w:tc>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New York Mercantile Exchange.</w:t>
            </w:r>
          </w:p>
        </w:tc>
      </w:tr>
      <w:tr>
        <w:trPr>
          <w:trHeight w:val="391"/>
        </w:trPr>
        <w:tc>
          <w:tcPr>
            <w:tcW w:w="2200" w:type="dxa"/>
            <w:vAlign w:val="bottom"/>
          </w:tcPr>
          <w:p>
            <w:pPr>
              <w:ind w:left="40"/>
              <w:spacing w:after="0"/>
              <w:rPr>
                <w:sz w:val="20"/>
                <w:szCs w:val="20"/>
                <w:color w:val="auto"/>
              </w:rPr>
            </w:pPr>
            <w:r>
              <w:rPr>
                <w:rFonts w:ascii="Arial" w:cs="Arial" w:eastAsia="Arial" w:hAnsi="Arial"/>
                <w:sz w:val="18"/>
                <w:szCs w:val="18"/>
                <w:color w:val="auto"/>
              </w:rPr>
              <w:t>Operating Company</w:t>
            </w:r>
          </w:p>
        </w:tc>
        <w:tc>
          <w:tcPr>
            <w:tcW w:w="9040" w:type="dxa"/>
            <w:vAlign w:val="bottom"/>
          </w:tcPr>
          <w:p>
            <w:pPr>
              <w:ind w:left="540"/>
              <w:spacing w:after="0"/>
              <w:rPr>
                <w:sz w:val="20"/>
                <w:szCs w:val="20"/>
                <w:color w:val="auto"/>
              </w:rPr>
            </w:pPr>
            <w:r>
              <w:rPr>
                <w:rFonts w:ascii="Arial" w:cs="Arial" w:eastAsia="Arial" w:hAnsi="Arial"/>
                <w:sz w:val="18"/>
                <w:szCs w:val="18"/>
                <w:color w:val="auto"/>
                <w:w w:val="96"/>
              </w:rPr>
              <w:t>Viper Energy Partners LLC, a Delaware limited liability company and a consolidated subsidiary of Viper Energy</w:t>
            </w:r>
          </w:p>
        </w:tc>
      </w:tr>
      <w:tr>
        <w:trPr>
          <w:trHeight w:val="230"/>
        </w:trPr>
        <w:tc>
          <w:tcPr>
            <w:tcW w:w="2200" w:type="dxa"/>
            <w:vAlign w:val="bottom"/>
          </w:tcPr>
          <w:p>
            <w:pPr>
              <w:spacing w:after="0"/>
              <w:rPr>
                <w:sz w:val="20"/>
                <w:szCs w:val="20"/>
                <w:color w:val="auto"/>
              </w:rPr>
            </w:pPr>
          </w:p>
        </w:tc>
        <w:tc>
          <w:tcPr>
            <w:tcW w:w="9040" w:type="dxa"/>
            <w:vAlign w:val="bottom"/>
          </w:tcPr>
          <w:p>
            <w:pPr>
              <w:ind w:left="540"/>
              <w:spacing w:after="0"/>
              <w:rPr>
                <w:sz w:val="20"/>
                <w:szCs w:val="20"/>
                <w:color w:val="auto"/>
              </w:rPr>
            </w:pPr>
            <w:r>
              <w:rPr>
                <w:rFonts w:ascii="Arial" w:cs="Arial" w:eastAsia="Arial" w:hAnsi="Arial"/>
                <w:sz w:val="18"/>
                <w:szCs w:val="18"/>
                <w:color w:val="auto"/>
              </w:rPr>
              <w:t>Partners LP.</w:t>
            </w:r>
          </w:p>
        </w:tc>
      </w:tr>
      <w:tr>
        <w:trPr>
          <w:trHeight w:val="27"/>
        </w:trPr>
        <w:tc>
          <w:tcPr>
            <w:tcW w:w="2200" w:type="dxa"/>
            <w:vAlign w:val="bottom"/>
          </w:tcPr>
          <w:p>
            <w:pPr>
              <w:spacing w:after="0"/>
              <w:rPr>
                <w:sz w:val="2"/>
                <w:szCs w:val="2"/>
                <w:color w:val="auto"/>
              </w:rPr>
            </w:pPr>
          </w:p>
        </w:tc>
        <w:tc>
          <w:tcPr>
            <w:tcW w:w="9040" w:type="dxa"/>
            <w:vAlign w:val="bottom"/>
          </w:tcPr>
          <w:p>
            <w:pPr>
              <w:spacing w:after="0"/>
              <w:rPr>
                <w:sz w:val="2"/>
                <w:szCs w:val="2"/>
                <w:color w:val="auto"/>
              </w:rPr>
            </w:pPr>
          </w:p>
        </w:tc>
      </w:tr>
      <w:tr>
        <w:trPr>
          <w:trHeight w:val="412"/>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w:t>
            </w:r>
          </w:p>
        </w:tc>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91"/>
        </w:trPr>
        <w:tc>
          <w:tcPr>
            <w:tcW w:w="2200" w:type="dxa"/>
            <w:vAlign w:val="bottom"/>
          </w:tcPr>
          <w:p>
            <w:pPr>
              <w:ind w:left="40"/>
              <w:spacing w:after="0"/>
              <w:rPr>
                <w:sz w:val="20"/>
                <w:szCs w:val="20"/>
                <w:color w:val="auto"/>
              </w:rPr>
            </w:pPr>
            <w:r>
              <w:rPr>
                <w:rFonts w:ascii="Arial" w:cs="Arial" w:eastAsia="Arial" w:hAnsi="Arial"/>
                <w:sz w:val="18"/>
                <w:szCs w:val="18"/>
                <w:color w:val="auto"/>
              </w:rPr>
              <w:t>Partnership agreement</w:t>
            </w:r>
          </w:p>
        </w:tc>
        <w:tc>
          <w:tcPr>
            <w:tcW w:w="9040" w:type="dxa"/>
            <w:vAlign w:val="bottom"/>
          </w:tcPr>
          <w:p>
            <w:pPr>
              <w:ind w:left="540"/>
              <w:spacing w:after="0"/>
              <w:rPr>
                <w:sz w:val="20"/>
                <w:szCs w:val="20"/>
                <w:color w:val="auto"/>
              </w:rPr>
            </w:pPr>
            <w:r>
              <w:rPr>
                <w:rFonts w:ascii="Arial" w:cs="Arial" w:eastAsia="Arial" w:hAnsi="Arial"/>
                <w:sz w:val="18"/>
                <w:szCs w:val="18"/>
                <w:color w:val="auto"/>
                <w:w w:val="92"/>
              </w:rPr>
              <w:t>The first amended and restated agreement of limited partnership, dated June 23, 2014, entered into by the General</w:t>
            </w:r>
          </w:p>
        </w:tc>
      </w:tr>
      <w:tr>
        <w:trPr>
          <w:trHeight w:val="230"/>
        </w:trPr>
        <w:tc>
          <w:tcPr>
            <w:tcW w:w="2200" w:type="dxa"/>
            <w:vAlign w:val="bottom"/>
          </w:tcPr>
          <w:p>
            <w:pPr>
              <w:spacing w:after="0"/>
              <w:rPr>
                <w:sz w:val="20"/>
                <w:szCs w:val="20"/>
                <w:color w:val="auto"/>
              </w:rPr>
            </w:pPr>
          </w:p>
        </w:tc>
        <w:tc>
          <w:tcPr>
            <w:tcW w:w="9040" w:type="dxa"/>
            <w:vAlign w:val="bottom"/>
          </w:tcPr>
          <w:p>
            <w:pPr>
              <w:ind w:left="540"/>
              <w:spacing w:after="0"/>
              <w:rPr>
                <w:sz w:val="20"/>
                <w:szCs w:val="20"/>
                <w:color w:val="auto"/>
              </w:rPr>
            </w:pPr>
            <w:r>
              <w:rPr>
                <w:rFonts w:ascii="Arial" w:cs="Arial" w:eastAsia="Arial" w:hAnsi="Arial"/>
                <w:sz w:val="18"/>
                <w:szCs w:val="18"/>
                <w:color w:val="auto"/>
              </w:rPr>
              <w:t>Partner and Diamondback in connection with the closing of the IPO.</w:t>
            </w:r>
          </w:p>
        </w:tc>
      </w:tr>
      <w:tr>
        <w:trPr>
          <w:trHeight w:val="27"/>
        </w:trPr>
        <w:tc>
          <w:tcPr>
            <w:tcW w:w="2200" w:type="dxa"/>
            <w:vAlign w:val="bottom"/>
          </w:tcPr>
          <w:p>
            <w:pPr>
              <w:spacing w:after="0"/>
              <w:rPr>
                <w:sz w:val="2"/>
                <w:szCs w:val="2"/>
                <w:color w:val="auto"/>
              </w:rPr>
            </w:pPr>
          </w:p>
        </w:tc>
        <w:tc>
          <w:tcPr>
            <w:tcW w:w="9040" w:type="dxa"/>
            <w:vAlign w:val="bottom"/>
          </w:tcPr>
          <w:p>
            <w:pPr>
              <w:spacing w:after="0"/>
              <w:rPr>
                <w:sz w:val="2"/>
                <w:szCs w:val="2"/>
                <w:color w:val="auto"/>
              </w:rPr>
            </w:pPr>
          </w:p>
        </w:tc>
      </w:tr>
      <w:tr>
        <w:trPr>
          <w:trHeight w:val="412"/>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 Securities and Exchange Commission.</w:t>
            </w:r>
          </w:p>
        </w:tc>
      </w:tr>
      <w:tr>
        <w:trPr>
          <w:trHeight w:val="405"/>
        </w:trPr>
        <w:tc>
          <w:tcPr>
            <w:tcW w:w="2200" w:type="dxa"/>
            <w:vAlign w:val="bottom"/>
          </w:tcPr>
          <w:p>
            <w:pPr>
              <w:ind w:left="40"/>
              <w:spacing w:after="0"/>
              <w:rPr>
                <w:sz w:val="20"/>
                <w:szCs w:val="20"/>
                <w:color w:val="auto"/>
              </w:rPr>
            </w:pPr>
            <w:r>
              <w:rPr>
                <w:rFonts w:ascii="Arial" w:cs="Arial" w:eastAsia="Arial" w:hAnsi="Arial"/>
                <w:sz w:val="18"/>
                <w:szCs w:val="18"/>
                <w:color w:val="auto"/>
              </w:rPr>
              <w:t>Securities Act</w:t>
            </w:r>
          </w:p>
        </w:tc>
        <w:tc>
          <w:tcPr>
            <w:tcW w:w="9040" w:type="dxa"/>
            <w:vAlign w:val="bottom"/>
          </w:tcPr>
          <w:p>
            <w:pPr>
              <w:ind w:left="540"/>
              <w:spacing w:after="0"/>
              <w:rPr>
                <w:sz w:val="20"/>
                <w:szCs w:val="20"/>
                <w:color w:val="auto"/>
              </w:rPr>
            </w:pPr>
            <w:r>
              <w:rPr>
                <w:rFonts w:ascii="Arial" w:cs="Arial" w:eastAsia="Arial" w:hAnsi="Arial"/>
                <w:sz w:val="18"/>
                <w:szCs w:val="18"/>
                <w:color w:val="auto"/>
              </w:rPr>
              <w:t>The Securities Act of 1933, as amended.</w:t>
            </w:r>
          </w:p>
        </w:tc>
      </w:tr>
      <w:tr>
        <w:trPr>
          <w:trHeight w:val="27"/>
        </w:trPr>
        <w:tc>
          <w:tcPr>
            <w:tcW w:w="2200" w:type="dxa"/>
            <w:vAlign w:val="bottom"/>
          </w:tcPr>
          <w:p>
            <w:pPr>
              <w:spacing w:after="0"/>
              <w:rPr>
                <w:sz w:val="2"/>
                <w:szCs w:val="2"/>
                <w:color w:val="auto"/>
              </w:rPr>
            </w:pPr>
          </w:p>
        </w:tc>
        <w:tc>
          <w:tcPr>
            <w:tcW w:w="9040" w:type="dxa"/>
            <w:vAlign w:val="bottom"/>
          </w:tcPr>
          <w:p>
            <w:pPr>
              <w:spacing w:after="0"/>
              <w:rPr>
                <w:sz w:val="2"/>
                <w:szCs w:val="2"/>
                <w:color w:val="auto"/>
              </w:rPr>
            </w:pPr>
          </w:p>
        </w:tc>
      </w:tr>
      <w:tr>
        <w:trPr>
          <w:trHeight w:val="412"/>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Wells Fargo</w:t>
            </w:r>
          </w:p>
        </w:tc>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Wells Fargo Bank, National Association.</w:t>
            </w:r>
          </w:p>
        </w:tc>
      </w:tr>
      <w:tr>
        <w:trPr>
          <w:trHeight w:val="20"/>
        </w:trPr>
        <w:tc>
          <w:tcPr>
            <w:tcW w:w="2200" w:type="dxa"/>
            <w:vAlign w:val="bottom"/>
            <w:shd w:val="clear" w:color="auto" w:fill="000000"/>
          </w:tcPr>
          <w:p>
            <w:pPr>
              <w:spacing w:after="0" w:line="20" w:lineRule="exact"/>
              <w:rPr>
                <w:sz w:val="1"/>
                <w:szCs w:val="1"/>
                <w:color w:val="auto"/>
              </w:rPr>
            </w:pPr>
          </w:p>
        </w:tc>
        <w:tc>
          <w:tcPr>
            <w:tcW w:w="9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including those detailed under Part II. Item 1A. Risk Factors in this report, could affect our actual results and cause our actual results to differ materially from expectations, estimates or assumptions expressed, forecasted or implied in such forward-looking statements.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63" w:lineRule="exact"/>
        <w:rPr>
          <w:sz w:val="20"/>
          <w:szCs w:val="20"/>
          <w:color w:val="auto"/>
        </w:rPr>
      </w:pPr>
    </w:p>
    <w:p>
      <w:pPr>
        <w:ind w:left="1200" w:hanging="32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 and the extent and duration of price reductions and increased production by OPEC members and other oil exporting nations;</w:t>
      </w:r>
    </w:p>
    <w:p>
      <w:pPr>
        <w:spacing w:after="0" w:line="62" w:lineRule="exact"/>
        <w:rPr>
          <w:rFonts w:ascii="Arial" w:cs="Arial" w:eastAsia="Arial" w:hAnsi="Arial"/>
          <w:sz w:val="18"/>
          <w:szCs w:val="18"/>
          <w:color w:val="auto"/>
        </w:rPr>
      </w:pPr>
    </w:p>
    <w:p>
      <w:pPr>
        <w:ind w:left="1200" w:hanging="32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threat, occurrence, potential duration or other implications of epidemic or pandemic diseases, including the ongoing COVID-19 pandemic, or any government responses to such occurrence or threat;</w:t>
      </w:r>
    </w:p>
    <w:p>
      <w:pPr>
        <w:spacing w:after="0" w:line="62"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 during the ongoing COVID-19 pandemic;</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business or industry conditions;</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of U.S. oil and natural gas industry and the effect of U.S. energy, monetary and trade policies;</w:t>
      </w:r>
    </w:p>
    <w:p>
      <w:pPr>
        <w:spacing w:after="0" w:line="117" w:lineRule="exact"/>
        <w:rPr>
          <w:rFonts w:ascii="Arial" w:cs="Arial" w:eastAsia="Arial" w:hAnsi="Arial"/>
          <w:sz w:val="18"/>
          <w:szCs w:val="18"/>
          <w:color w:val="auto"/>
        </w:rPr>
      </w:pPr>
    </w:p>
    <w:p>
      <w:pPr>
        <w:ind w:left="1200" w:right="20" w:hanging="32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global economic conditions and political and economic developments, including the outcome of the U.S. presidential election and resulting energy and environmental policies;</w:t>
      </w:r>
    </w:p>
    <w:p>
      <w:pPr>
        <w:spacing w:after="0" w:line="62"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production on our properties;</w:t>
      </w:r>
    </w:p>
    <w:p>
      <w:pPr>
        <w:spacing w:after="0" w:line="117" w:lineRule="exact"/>
        <w:rPr>
          <w:rFonts w:ascii="Arial" w:cs="Arial" w:eastAsia="Arial" w:hAnsi="Arial"/>
          <w:sz w:val="18"/>
          <w:szCs w:val="18"/>
          <w:color w:val="auto"/>
        </w:rPr>
      </w:pPr>
    </w:p>
    <w:p>
      <w:pPr>
        <w:ind w:left="1200" w:hanging="32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or interruptions of production, and any government order, rule or regulation that may impose production limits on properties in which we have mineral and royalty interest;</w:t>
      </w:r>
    </w:p>
    <w:p>
      <w:pPr>
        <w:spacing w:after="0" w:line="62"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integrate acquisitions of properties or businesses;</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obtain capital or financing needed for development and exploration operations;</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defects in the properties in which we invest;</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or cost of rigs, equipment, raw materials, supplies, oilfield services or personnel;</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transportation, pipeline and storage facilities;</w:t>
      </w:r>
    </w:p>
    <w:p>
      <w:pPr>
        <w:spacing w:after="0" w:line="117" w:lineRule="exact"/>
        <w:rPr>
          <w:rFonts w:ascii="Arial" w:cs="Arial" w:eastAsia="Arial" w:hAnsi="Arial"/>
          <w:sz w:val="18"/>
          <w:szCs w:val="18"/>
          <w:color w:val="auto"/>
        </w:rPr>
      </w:pPr>
    </w:p>
    <w:p>
      <w:pPr>
        <w:ind w:left="1200" w:right="20" w:hanging="32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comply with applicable governmental laws and regulations and to obtain permits and governmental approvals;</w:t>
      </w:r>
    </w:p>
    <w:p>
      <w:pPr>
        <w:spacing w:after="0" w:line="62"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hazards faced by our operators; and</w:t>
      </w:r>
    </w:p>
    <w:p>
      <w:pPr>
        <w:spacing w:after="0" w:line="117"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keep pace with technological advancements.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jc w:val="center"/>
              <w:ind w:left="3530"/>
              <w:spacing w:after="0"/>
              <w:rPr>
                <w:sz w:val="20"/>
                <w:szCs w:val="20"/>
                <w:color w:val="auto"/>
              </w:rPr>
            </w:pPr>
            <w:r>
              <w:rPr>
                <w:rFonts w:ascii="Arial" w:cs="Arial" w:eastAsia="Arial" w:hAnsi="Arial"/>
                <w:sz w:val="18"/>
                <w:szCs w:val="18"/>
                <w:b w:val="1"/>
                <w:bCs w:val="1"/>
                <w:color w:val="auto"/>
              </w:rPr>
              <w:t>PART I. FINANCIAL INFORMATION</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4"/>
        </w:trPr>
        <w:tc>
          <w:tcPr>
            <w:tcW w:w="764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 (UNAUDITED)</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40" w:type="dxa"/>
            <w:vAlign w:val="bottom"/>
          </w:tcPr>
          <w:p>
            <w:pPr>
              <w:jc w:val="center"/>
              <w:ind w:left="3530"/>
              <w:spacing w:after="0"/>
              <w:rPr>
                <w:sz w:val="20"/>
                <w:szCs w:val="20"/>
                <w:color w:val="auto"/>
              </w:rPr>
            </w:pPr>
            <w:r>
              <w:rPr>
                <w:rFonts w:ascii="Arial" w:cs="Arial" w:eastAsia="Arial" w:hAnsi="Arial"/>
                <w:sz w:val="18"/>
                <w:szCs w:val="18"/>
                <w:b w:val="1"/>
                <w:bCs w:val="1"/>
                <w:color w:val="auto"/>
                <w:w w:val="93"/>
              </w:rPr>
              <w:t>Viper Energy Partners LP</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jc w:val="center"/>
              <w:ind w:left="3510"/>
              <w:spacing w:after="0"/>
              <w:rPr>
                <w:sz w:val="20"/>
                <w:szCs w:val="20"/>
                <w:color w:val="auto"/>
              </w:rPr>
            </w:pPr>
            <w:r>
              <w:rPr>
                <w:rFonts w:ascii="Arial" w:cs="Arial" w:eastAsia="Arial" w:hAnsi="Arial"/>
                <w:sz w:val="18"/>
                <w:szCs w:val="18"/>
                <w:b w:val="1"/>
                <w:bCs w:val="1"/>
                <w:color w:val="auto"/>
                <w:w w:val="87"/>
              </w:rPr>
              <w:t>Consolidated Balance Sheets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jc w:val="center"/>
              <w:ind w:left="351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3"/>
                <w:szCs w:val="23"/>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2"/>
              </w:rPr>
              <w:t>(In thousands, except unit amounts)</w:t>
            </w:r>
          </w:p>
        </w:tc>
        <w:tc>
          <w:tcPr>
            <w:tcW w:w="0" w:type="dxa"/>
            <w:vAlign w:val="bottom"/>
          </w:tcPr>
          <w:p>
            <w:pPr>
              <w:spacing w:after="0"/>
              <w:rPr>
                <w:sz w:val="1"/>
                <w:szCs w:val="1"/>
                <w:color w:val="auto"/>
              </w:rPr>
            </w:pPr>
          </w:p>
        </w:tc>
      </w:tr>
      <w:tr>
        <w:trPr>
          <w:trHeight w:val="270"/>
        </w:trPr>
        <w:tc>
          <w:tcPr>
            <w:tcW w:w="7640" w:type="dxa"/>
            <w:vAlign w:val="bottom"/>
          </w:tcPr>
          <w:p>
            <w:pPr>
              <w:ind w:left="358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40,271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Royalty income receivable (net of allowance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37,960</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58,089</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Royalty income receivable—related party</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79,341</w:t>
            </w: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72,664</w:t>
            </w:r>
          </w:p>
        </w:tc>
        <w:tc>
          <w:tcPr>
            <w:tcW w:w="0" w:type="dxa"/>
            <w:vAlign w:val="bottom"/>
          </w:tcPr>
          <w:p>
            <w:pPr>
              <w:spacing w:after="0"/>
              <w:rPr>
                <w:sz w:val="1"/>
                <w:szCs w:val="1"/>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Property:</w:t>
            </w: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Oil and natural gas interests, full cost method of accounting ($1,587,992 and $1,551,767 excluded</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from depletion at March 31, 2020 and December 31, 2019,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2,933,085</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2,868,459</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Land</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5,688</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 and impairment</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(351,116)</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(326,474)</w:t>
            </w:r>
          </w:p>
        </w:tc>
        <w:tc>
          <w:tcPr>
            <w:tcW w:w="0" w:type="dxa"/>
            <w:vAlign w:val="bottom"/>
          </w:tcPr>
          <w:p>
            <w:pPr>
              <w:spacing w:after="0"/>
              <w:rPr>
                <w:sz w:val="1"/>
                <w:szCs w:val="1"/>
                <w:color w:val="auto"/>
              </w:rPr>
            </w:pP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Property, net</w:t>
            </w: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2,587,657</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2,547,673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asset (net of allowance)</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142,466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12,421</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22,823</w:t>
            </w:r>
          </w:p>
        </w:tc>
        <w:tc>
          <w:tcPr>
            <w:tcW w:w="0" w:type="dxa"/>
            <w:vAlign w:val="bottom"/>
          </w:tcPr>
          <w:p>
            <w:pPr>
              <w:spacing w:after="0"/>
              <w:rPr>
                <w:sz w:val="1"/>
                <w:szCs w:val="1"/>
                <w:color w:val="auto"/>
              </w:rPr>
            </w:pPr>
          </w:p>
        </w:tc>
      </w:tr>
      <w:tr>
        <w:trPr>
          <w:trHeight w:val="297"/>
        </w:trPr>
        <w:tc>
          <w:tcPr>
            <w:tcW w:w="76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2,679,481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2,785,626</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b w:val="1"/>
                <w:bCs w:val="1"/>
                <w:color w:val="auto"/>
              </w:rPr>
              <w:t>Liabilities and Unitholders’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Accounts payable—related party</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16,623</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7,362</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24,309</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13,432</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664,040</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586,774</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689,314</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600,206</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14)</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Unitholders’ equity:</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9"/>
        </w:trPr>
        <w:tc>
          <w:tcPr>
            <w:tcW w:w="7640" w:type="dxa"/>
            <w:vAlign w:val="bottom"/>
          </w:tcPr>
          <w:p>
            <w:pPr>
              <w:ind w:left="380"/>
              <w:spacing w:after="0"/>
              <w:rPr>
                <w:sz w:val="20"/>
                <w:szCs w:val="20"/>
                <w:color w:val="auto"/>
              </w:rPr>
            </w:pPr>
            <w:r>
              <w:rPr>
                <w:rFonts w:ascii="Arial" w:cs="Arial" w:eastAsia="Arial" w:hAnsi="Arial"/>
                <w:sz w:val="18"/>
                <w:szCs w:val="18"/>
                <w:color w:val="auto"/>
                <w:w w:val="90"/>
              </w:rPr>
              <w:t>Common units (67,831,342 units issued and outstanding as of March 31, 2020 and 67,805,707 units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issued and outstanding as of December 31, 2019)</w:t>
            </w:r>
          </w:p>
        </w:tc>
        <w:tc>
          <w:tcPr>
            <w:tcW w:w="3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756,408</w:t>
            </w:r>
          </w:p>
        </w:tc>
        <w:tc>
          <w:tcPr>
            <w:tcW w:w="24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929,116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Class B units (90,709,946 units issued and outstanding March 31, 2020 and December 31, 2019)</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6"/>
        </w:trPr>
        <w:tc>
          <w:tcPr>
            <w:tcW w:w="7640" w:type="dxa"/>
            <w:vAlign w:val="bottom"/>
          </w:tcPr>
          <w:p>
            <w:pPr>
              <w:ind w:left="720"/>
              <w:spacing w:after="0"/>
              <w:rPr>
                <w:sz w:val="20"/>
                <w:szCs w:val="20"/>
                <w:color w:val="auto"/>
              </w:rPr>
            </w:pPr>
            <w:r>
              <w:rPr>
                <w:rFonts w:ascii="Arial" w:cs="Arial" w:eastAsia="Arial" w:hAnsi="Arial"/>
                <w:sz w:val="18"/>
                <w:szCs w:val="18"/>
                <w:color w:val="auto"/>
              </w:rPr>
              <w:t>Total Viper Energy Partners LP unitholders’ equity</w:t>
            </w: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758,382</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931,135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1,231,785</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1,254,285</w:t>
            </w:r>
          </w:p>
        </w:tc>
        <w:tc>
          <w:tcPr>
            <w:tcW w:w="0" w:type="dxa"/>
            <w:vAlign w:val="bottom"/>
          </w:tcPr>
          <w:p>
            <w:pPr>
              <w:spacing w:after="0"/>
              <w:rPr>
                <w:sz w:val="1"/>
                <w:szCs w:val="1"/>
                <w:color w:val="auto"/>
              </w:rPr>
            </w:pPr>
          </w:p>
        </w:tc>
      </w:tr>
      <w:tr>
        <w:trPr>
          <w:trHeight w:val="236"/>
        </w:trPr>
        <w:tc>
          <w:tcPr>
            <w:tcW w:w="764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1,990,167</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2,185,420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unitholders’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2,679,481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2,785,626</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3400"/>
              <w:spacing w:after="0"/>
              <w:rPr>
                <w:sz w:val="20"/>
                <w:szCs w:val="20"/>
                <w:color w:val="auto"/>
              </w:rPr>
            </w:pPr>
            <w:r>
              <w:rPr>
                <w:rFonts w:ascii="Arial" w:cs="Arial" w:eastAsia="Arial" w:hAnsi="Arial"/>
                <w:sz w:val="18"/>
                <w:szCs w:val="18"/>
                <w:color w:val="auto"/>
                <w:w w:val="84"/>
              </w:rPr>
              <w:t>See accompanying notes to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3"/>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0"/>
              </w:rPr>
              <w:t>(In thousands, except per unit amounts)</w:t>
            </w: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Royalty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76,829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60,428</w:t>
            </w: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 income</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Other operating income</w:t>
            </w: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78,692</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61,590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 and ad valorem taxes</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6,147</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Depletion</w:t>
            </w: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24,642</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16,199</w:t>
            </w: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w:t>
            </w:r>
          </w:p>
        </w:tc>
      </w:tr>
      <w:tr>
        <w:trPr>
          <w:trHeight w:val="237"/>
        </w:trPr>
        <w:tc>
          <w:tcPr>
            <w:tcW w:w="786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33,455</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21,586</w:t>
            </w:r>
          </w:p>
        </w:tc>
      </w:tr>
      <w:tr>
        <w:trPr>
          <w:trHeight w:val="27"/>
        </w:trPr>
        <w:tc>
          <w:tcPr>
            <w:tcW w:w="7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45,237</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Loss on derivative instruments, net</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(7,942)</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revaluation of investment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3,592</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656</w:t>
            </w:r>
          </w:p>
        </w:tc>
      </w:tr>
      <w:tr>
        <w:trPr>
          <w:trHeight w:val="27"/>
        </w:trPr>
        <w:tc>
          <w:tcPr>
            <w:tcW w:w="7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(26,621)</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18,616</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39,703</w:t>
            </w: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142,466</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(34,608)</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(123,850)</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74,311</w:t>
            </w: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18,319</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40,532</w:t>
            </w:r>
          </w:p>
        </w:tc>
      </w:tr>
      <w:tr>
        <w:trPr>
          <w:trHeight w:val="297"/>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 attributable to Viper Energy Partners LP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(142,169)</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33,779</w:t>
            </w:r>
          </w:p>
        </w:tc>
      </w:tr>
      <w:tr>
        <w:trPr>
          <w:trHeight w:val="284"/>
        </w:trPr>
        <w:tc>
          <w:tcPr>
            <w:tcW w:w="7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Net (loss) income attributable to common limited partner units:</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0.61</w:t>
            </w: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limited partner units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67,822</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55,448</w:t>
            </w:r>
          </w:p>
        </w:tc>
      </w:tr>
      <w:tr>
        <w:trPr>
          <w:trHeight w:val="27"/>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67,823</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55,475</w:t>
            </w:r>
          </w:p>
        </w:tc>
      </w:tr>
      <w:tr>
        <w:trPr>
          <w:trHeight w:val="27"/>
        </w:trPr>
        <w:tc>
          <w:tcPr>
            <w:tcW w:w="7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General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Controlling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4"/>
          </w:tcPr>
          <w:p>
            <w:pPr>
              <w:ind w:left="280"/>
              <w:spacing w:after="0"/>
              <w:rPr>
                <w:sz w:val="20"/>
                <w:szCs w:val="20"/>
                <w:color w:val="auto"/>
              </w:rPr>
            </w:pPr>
            <w:r>
              <w:rPr>
                <w:rFonts w:ascii="Arial" w:cs="Arial" w:eastAsia="Arial" w:hAnsi="Arial"/>
                <w:sz w:val="18"/>
                <w:szCs w:val="18"/>
                <w:b w:val="1"/>
                <w:bCs w:val="1"/>
                <w:color w:val="auto"/>
              </w:rPr>
              <w:t>Limited Partners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Partner</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B</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04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16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3"/>
                <w:szCs w:val="23"/>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(In 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929,116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2,185,420</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Unit-based compensation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Distribution equivalent rights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Distributions to public</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(30,194)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(30,194)</w:t>
            </w:r>
          </w:p>
        </w:tc>
      </w:tr>
      <w:tr>
        <w:trPr>
          <w:trHeight w:val="27"/>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Diamondback</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(41,173)</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Distributions to General Partner</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Units repurchased for tax withholding</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(142,169)</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(123,850)</w:t>
            </w:r>
          </w:p>
        </w:tc>
      </w:tr>
      <w:tr>
        <w:trPr>
          <w:trHeight w:val="27"/>
        </w:trPr>
        <w:tc>
          <w:tcPr>
            <w:tcW w:w="3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756,408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1,231,785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1,990,167</w:t>
            </w:r>
          </w:p>
        </w:tc>
      </w:tr>
      <w:tr>
        <w:trPr>
          <w:trHeight w:val="351"/>
        </w:trPr>
        <w:tc>
          <w:tcPr>
            <w:tcW w:w="3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540,112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1,237,042</w:t>
            </w:r>
          </w:p>
        </w:tc>
      </w:tr>
      <w:tr>
        <w:trPr>
          <w:trHeight w:val="229"/>
        </w:trPr>
        <w:tc>
          <w:tcPr>
            <w:tcW w:w="3040" w:type="dxa"/>
            <w:vAlign w:val="bottom"/>
          </w:tcPr>
          <w:p>
            <w:pPr>
              <w:ind w:left="280"/>
              <w:spacing w:after="0"/>
              <w:rPr>
                <w:sz w:val="20"/>
                <w:szCs w:val="20"/>
                <w:color w:val="auto"/>
              </w:rPr>
            </w:pPr>
            <w:r>
              <w:rPr>
                <w:rFonts w:ascii="Arial" w:cs="Arial" w:eastAsia="Arial" w:hAnsi="Arial"/>
                <w:sz w:val="18"/>
                <w:szCs w:val="18"/>
                <w:color w:val="auto"/>
                <w:w w:val="99"/>
              </w:rPr>
              <w:t>Net proceeds from the issuance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040" w:type="dxa"/>
            <w:vAlign w:val="bottom"/>
          </w:tcPr>
          <w:p>
            <w:pPr>
              <w:ind w:left="280"/>
              <w:spacing w:after="0"/>
              <w:rPr>
                <w:sz w:val="20"/>
                <w:szCs w:val="20"/>
                <w:color w:val="auto"/>
              </w:rPr>
            </w:pPr>
            <w:r>
              <w:rPr>
                <w:rFonts w:ascii="Arial" w:cs="Arial" w:eastAsia="Arial" w:hAnsi="Arial"/>
                <w:sz w:val="18"/>
                <w:szCs w:val="18"/>
                <w:color w:val="auto"/>
              </w:rPr>
              <w:t>common units - public</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340,648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340,648</w:t>
            </w:r>
          </w:p>
        </w:tc>
      </w:tr>
      <w:tr>
        <w:trPr>
          <w:trHeight w:val="27"/>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Unit-based compensation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Distributions to public</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(25,970)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(25,970)</w:t>
            </w:r>
          </w:p>
        </w:tc>
      </w:tr>
      <w:tr>
        <w:trPr>
          <w:trHeight w:val="27"/>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Diamondback</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(37,326)</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Distributions to General Partner</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Change in ownership of consolidated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subsidiaries, net</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18,925</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w w:val="92"/>
              </w:rPr>
              <w:t>Units repurchased for tax withholding</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74,311</w:t>
            </w: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62,628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817,014</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72,419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788,658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1,607,662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r>
      <w:tr>
        <w:trPr>
          <w:trHeight w:val="237"/>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(123,850)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74,311</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720"/>
              <w:spacing w:after="0"/>
              <w:rPr>
                <w:sz w:val="20"/>
                <w:szCs w:val="20"/>
                <w:color w:val="auto"/>
              </w:rPr>
            </w:pPr>
            <w:r>
              <w:rPr>
                <w:rFonts w:ascii="Arial" w:cs="Arial" w:eastAsia="Arial" w:hAnsi="Arial"/>
                <w:sz w:val="18"/>
                <w:szCs w:val="18"/>
                <w:color w:val="auto"/>
              </w:rPr>
              <w:t>Provision for (benefit from) deferred income taxes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142,466</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(34,655)</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Depletion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24,642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16,199</w:t>
            </w:r>
          </w:p>
        </w:tc>
      </w:tr>
      <w:tr>
        <w:trPr>
          <w:trHeight w:val="243"/>
        </w:trPr>
        <w:tc>
          <w:tcPr>
            <w:tcW w:w="8540" w:type="dxa"/>
            <w:vAlign w:val="bottom"/>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7,489</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(gain) on revaluation of investment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r>
      <w:tr>
        <w:trPr>
          <w:trHeight w:val="243"/>
        </w:trPr>
        <w:tc>
          <w:tcPr>
            <w:tcW w:w="85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unit-based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Royalty income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8540" w:type="dxa"/>
            <w:vAlign w:val="bottom"/>
          </w:tcPr>
          <w:p>
            <w:pPr>
              <w:ind w:left="720"/>
              <w:spacing w:after="0"/>
              <w:rPr>
                <w:sz w:val="20"/>
                <w:szCs w:val="20"/>
                <w:color w:val="auto"/>
              </w:rPr>
            </w:pPr>
            <w:r>
              <w:rPr>
                <w:rFonts w:ascii="Arial" w:cs="Arial" w:eastAsia="Arial" w:hAnsi="Arial"/>
                <w:sz w:val="18"/>
                <w:szCs w:val="18"/>
                <w:color w:val="auto"/>
              </w:rPr>
              <w:t>Royalty income receivable—related party</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10,576</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(3,887)</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r>
      <w:tr>
        <w:trPr>
          <w:trHeight w:val="243"/>
        </w:trPr>
        <w:tc>
          <w:tcPr>
            <w:tcW w:w="8540" w:type="dxa"/>
            <w:vAlign w:val="bottom"/>
          </w:tcPr>
          <w:p>
            <w:pPr>
              <w:ind w:left="720"/>
              <w:spacing w:after="0"/>
              <w:rPr>
                <w:sz w:val="20"/>
                <w:szCs w:val="20"/>
                <w:color w:val="auto"/>
              </w:rPr>
            </w:pPr>
            <w:r>
              <w:rPr>
                <w:rFonts w:ascii="Arial" w:cs="Arial" w:eastAsia="Arial" w:hAnsi="Arial"/>
                <w:sz w:val="18"/>
                <w:szCs w:val="18"/>
                <w:color w:val="auto"/>
              </w:rPr>
              <w:t>Accounts payable—related party</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85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96,111</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46,451</w:t>
            </w:r>
          </w:p>
        </w:tc>
      </w:tr>
      <w:tr>
        <w:trPr>
          <w:trHeight w:val="237"/>
        </w:trPr>
        <w:tc>
          <w:tcPr>
            <w:tcW w:w="85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oil and natural gas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(64,626)</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(81,923)</w:t>
            </w:r>
          </w:p>
        </w:tc>
      </w:tr>
      <w:tr>
        <w:trPr>
          <w:trHeight w:val="237"/>
        </w:trPr>
        <w:tc>
          <w:tcPr>
            <w:tcW w:w="8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(64,626)</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(81,923)</w:t>
            </w:r>
          </w:p>
        </w:tc>
      </w:tr>
      <w:tr>
        <w:trPr>
          <w:trHeight w:val="27"/>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92,000</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59,500</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on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(313,500)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public offerings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340,860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Public offering costs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Units purchased for tax withholding</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Distributions to General Partner</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public</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Distributions to Diamondback</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(41,173)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(37,326)</w:t>
            </w:r>
          </w:p>
        </w:tc>
      </w:tr>
      <w:tr>
        <w:trPr>
          <w:trHeight w:val="27"/>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5,184</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22,929</w:t>
            </w:r>
          </w:p>
        </w:tc>
      </w:tr>
      <w:tr>
        <w:trPr>
          <w:trHeight w:val="237"/>
        </w:trPr>
        <w:tc>
          <w:tcPr>
            <w:tcW w:w="854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36,669</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(12,543)</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22,676</w:t>
            </w:r>
          </w:p>
        </w:tc>
      </w:tr>
      <w:tr>
        <w:trPr>
          <w:trHeight w:val="297"/>
        </w:trPr>
        <w:tc>
          <w:tcPr>
            <w:tcW w:w="8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40,271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10,133</w:t>
            </w:r>
          </w:p>
        </w:tc>
      </w:tr>
      <w:tr>
        <w:trPr>
          <w:trHeight w:val="108"/>
        </w:trPr>
        <w:tc>
          <w:tcPr>
            <w:tcW w:w="8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4,908</w:t>
            </w: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Viper Energy Partners LP (the “Partnership”) is a publicly traded Delaware limited partnership, the common units of which are listed on the Nasdaq Global Select Market under the symbol “VNOM”. The Partnership was formed by Diamondback Energy, Inc. (“Diamondback”) on February 27, 2014 to, among other things, own, acquire and exploit oil and natural gas properties in North America. The Partnership is currently focused on owning and acquiring mineral interests and royalty interests in oil and natural gas properties in the Permian Basin and Eagle Ford Shale. Since May 10, 2018, the Partnership has been treated as a corporation for U.S. federal income tax purposes. Unless the context requires otherwise, references to “we,” “us,” “our” or “the Partnership” are intended to mean the business and operations of the Partnership and its consolidated subsidiary, Viper Energy Partners LLC (the “Operating Company”).</w:t>
      </w:r>
    </w:p>
    <w:p>
      <w:pPr>
        <w:spacing w:after="0" w:line="19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March 31, 2020, Viper Energy Partners GP LLC (the “General Partner”), held a 100% general partner interest in the Partnership and Diamondback had an approximate 58% limited partner interest in the Partnership. Diamondback owns and controls the General Partner.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consolidated financial statements and related notes thereto were prepared in conformity with GAAP. All material intercompany balances and transactions are eliminated in consolidation.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Partnership believes the disclosures are adequate to make the information presented not misleading. This Quarterly Report on Form 10–Q should be read in conjunction with the Partnership’s most recent Annual Report on Form 10–K for the fiscal year ended December 31, 2019, which contains a summary of the Partnership’s significant accounting policies and other disclosures.</w:t>
      </w:r>
    </w:p>
    <w:p>
      <w:pPr>
        <w:spacing w:after="0" w:line="1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at the date of the financial statements.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Making accurate estimates and assumptions are particularly difficult as the oil and gas industry experiences challenges resulting from negative pricing pressure from the effects of a decline in worldwide economic conditions. The decline in worldwide economic conditions is the result of a global COVID-19 pandemic announced in March 2020, which has reduced economic activity and resulted in a significant decline in the short term demand for oil and gas production. Companies in the oil and gas industry are beginning to change near term business plans in response to changing market conditions. The aforementioned circumstances generally increases the estimation uncertainty in our accounting estimates, particularly the accounting estimates involving financial forecasts.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fair value estimates of commodity derivatives, and unit–based compensation.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Accounts receivable consist of receivables from oil and natural gas sales. The operators remit payment for production directly to the Partnership. Most payments for production are received within three months after the production date. Payments on new wells added organically or through acquisition can take a few months longer due to title opinion work which is required to be completed by the operator before payments are released.</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Partnership adopted Accounting Standards Update (“ASU”) 2016-13 and the subsequent applicable modifications to the rule on January 1, 2020. Accounts receivable are stated at amounts due from purchasers, net of an allowance for expected losses as estimated by the Partnership when the Partnership believes collection is doubtful. The Partnership determines its allowance by considering a number of factors, including the Partnership’s previous loss history, the debtor’s current ability to pay its obligation to the Partnership, the condition of the general economy and the industry as a whole. The Partnership writes off specific accounts receivable when they become uncollectible, and payments subsequently received on such receivables are credited to the allowance for expected losses. The adoption of ASU 2016-13 did not result in a material change to the Partnership’s allowance. As the adoption of ASU 2016-13 did not result in a material allowance, no cumulative-effect adjustment was made to beginning unitholders’ equity. At March 31, 2020, the Partnership recorded an allowance for doubtful accounts of $0.2 million related to royalty income receivable. The Partnership did not record an allowance for doubtful accounts at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Partnership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w:t>
            </w:r>
          </w:p>
        </w:tc>
        <w:tc>
          <w:tcPr>
            <w:tcW w:w="2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8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740" w:type="dxa"/>
            <w:vAlign w:val="bottom"/>
            <w:gridSpan w:val="4"/>
          </w:tcPr>
          <w:p>
            <w:pPr>
              <w:jc w:val="right"/>
              <w:ind w:right="1410"/>
              <w:spacing w:after="0"/>
              <w:rPr>
                <w:sz w:val="20"/>
                <w:szCs w:val="20"/>
                <w:color w:val="auto"/>
              </w:rPr>
            </w:pPr>
            <w:r>
              <w:rPr>
                <w:rFonts w:ascii="Arial" w:cs="Arial" w:eastAsia="Arial" w:hAnsi="Arial"/>
                <w:sz w:val="18"/>
                <w:szCs w:val="18"/>
                <w:b w:val="1"/>
                <w:bCs w:val="1"/>
                <w:color w:val="auto"/>
                <w:w w:val="98"/>
              </w:rPr>
              <w:t>(In thousands)</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3820" w:type="dxa"/>
            <w:vAlign w:val="bottom"/>
            <w:tcBorders>
              <w:bottom w:val="single" w:sz="8" w:color="CCEEFF"/>
            </w:tcBorders>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13,438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Ad valorem taxes payable</w:t>
            </w:r>
          </w:p>
        </w:tc>
        <w:tc>
          <w:tcPr>
            <w:tcW w:w="2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57"/>
        </w:trPr>
        <w:tc>
          <w:tcPr>
            <w:tcW w:w="468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24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16,623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0" w:type="dxa"/>
            <w:vAlign w:val="bottom"/>
            <w:vMerge w:val="restart"/>
          </w:tcPr>
          <w:p>
            <w:pPr>
              <w:jc w:val="right"/>
              <w:ind w:right="1330"/>
              <w:spacing w:after="0"/>
              <w:rPr>
                <w:sz w:val="20"/>
                <w:szCs w:val="20"/>
                <w:color w:val="auto"/>
              </w:rPr>
            </w:pPr>
            <w:r>
              <w:rPr>
                <w:rFonts w:ascii="Arial" w:cs="Arial" w:eastAsia="Arial" w:hAnsi="Arial"/>
                <w:sz w:val="18"/>
                <w:szCs w:val="18"/>
                <w:color w:val="auto"/>
              </w:rPr>
              <w:t>6</w:t>
            </w: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6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considers the applicability and impact of all ASUs. ASUs not listed below were assessed and determined to be either not applicable or clarifications of ASUs previously disclosed. The following table provides a brief description of recent accounting pronouncements and the Partnership’s analysis of the effects on its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14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Date of</w:t>
            </w:r>
          </w:p>
        </w:tc>
        <w:tc>
          <w:tcPr>
            <w:tcW w:w="3940" w:type="dxa"/>
            <w:vAlign w:val="bottom"/>
          </w:tcPr>
          <w:p>
            <w:pPr>
              <w:jc w:val="center"/>
              <w:ind w:left="59"/>
              <w:spacing w:after="0"/>
              <w:rPr>
                <w:sz w:val="20"/>
                <w:szCs w:val="20"/>
                <w:color w:val="auto"/>
              </w:rPr>
            </w:pPr>
            <w:r>
              <w:rPr>
                <w:rFonts w:ascii="Arial" w:cs="Arial" w:eastAsia="Arial" w:hAnsi="Arial"/>
                <w:sz w:val="16"/>
                <w:szCs w:val="16"/>
                <w:b w:val="1"/>
                <w:bCs w:val="1"/>
                <w:color w:val="auto"/>
                <w:w w:val="92"/>
              </w:rPr>
              <w:t>Effect on Financial Statements or Other Significant</w:t>
            </w:r>
          </w:p>
        </w:tc>
      </w:tr>
      <w:tr>
        <w:trPr>
          <w:trHeight w:val="210"/>
        </w:trPr>
        <w:tc>
          <w:tcPr>
            <w:tcW w:w="1820" w:type="dxa"/>
            <w:vAlign w:val="bottom"/>
          </w:tcPr>
          <w:p>
            <w:pPr>
              <w:ind w:left="640"/>
              <w:spacing w:after="0"/>
              <w:rPr>
                <w:sz w:val="20"/>
                <w:szCs w:val="20"/>
                <w:color w:val="auto"/>
              </w:rPr>
            </w:pPr>
            <w:r>
              <w:rPr>
                <w:rFonts w:ascii="Arial" w:cs="Arial" w:eastAsia="Arial" w:hAnsi="Arial"/>
                <w:sz w:val="16"/>
                <w:szCs w:val="16"/>
                <w:b w:val="1"/>
                <w:bCs w:val="1"/>
                <w:color w:val="auto"/>
              </w:rPr>
              <w:t>Standard</w:t>
            </w:r>
          </w:p>
        </w:tc>
        <w:tc>
          <w:tcPr>
            <w:tcW w:w="4340" w:type="dxa"/>
            <w:vAlign w:val="bottom"/>
          </w:tcPr>
          <w:p>
            <w:pPr>
              <w:ind w:left="1840"/>
              <w:spacing w:after="0"/>
              <w:rPr>
                <w:sz w:val="20"/>
                <w:szCs w:val="20"/>
                <w:color w:val="auto"/>
              </w:rPr>
            </w:pPr>
            <w:r>
              <w:rPr>
                <w:rFonts w:ascii="Arial" w:cs="Arial" w:eastAsia="Arial" w:hAnsi="Arial"/>
                <w:sz w:val="16"/>
                <w:szCs w:val="16"/>
                <w:b w:val="1"/>
                <w:bCs w:val="1"/>
                <w:color w:val="auto"/>
              </w:rPr>
              <w:t>Description</w:t>
            </w:r>
          </w:p>
        </w:tc>
        <w:tc>
          <w:tcPr>
            <w:tcW w:w="114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Adoption</w:t>
            </w:r>
          </w:p>
        </w:tc>
        <w:tc>
          <w:tcPr>
            <w:tcW w:w="3940" w:type="dxa"/>
            <w:vAlign w:val="bottom"/>
          </w:tcPr>
          <w:p>
            <w:pPr>
              <w:jc w:val="center"/>
              <w:ind w:left="59"/>
              <w:spacing w:after="0"/>
              <w:rPr>
                <w:sz w:val="20"/>
                <w:szCs w:val="20"/>
                <w:color w:val="auto"/>
              </w:rPr>
            </w:pPr>
            <w:r>
              <w:rPr>
                <w:rFonts w:ascii="Arial" w:cs="Arial" w:eastAsia="Arial" w:hAnsi="Arial"/>
                <w:sz w:val="16"/>
                <w:szCs w:val="16"/>
                <w:b w:val="1"/>
                <w:bCs w:val="1"/>
                <w:color w:val="auto"/>
                <w:w w:val="98"/>
              </w:rPr>
              <w:t>Matters</w:t>
            </w:r>
          </w:p>
        </w:tc>
      </w:tr>
      <w:tr>
        <w:trPr>
          <w:trHeight w:val="33"/>
        </w:trPr>
        <w:tc>
          <w:tcPr>
            <w:tcW w:w="6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ACACAC"/>
            </w:tcBorders>
            <w:gridSpan w:val="2"/>
            <w:shd w:val="clear" w:color="auto" w:fill="ACACAC"/>
          </w:tcPr>
          <w:p>
            <w:pPr>
              <w:ind w:left="40"/>
              <w:spacing w:after="0"/>
              <w:rPr>
                <w:sz w:val="20"/>
                <w:szCs w:val="20"/>
                <w:color w:val="auto"/>
              </w:rPr>
            </w:pPr>
            <w:r>
              <w:rPr>
                <w:rFonts w:ascii="Arial" w:cs="Arial" w:eastAsia="Arial" w:hAnsi="Arial"/>
                <w:sz w:val="16"/>
                <w:szCs w:val="16"/>
                <w:i w:val="1"/>
                <w:iCs w:val="1"/>
                <w:color w:val="auto"/>
              </w:rPr>
              <w:t>Recently Adopted Pronouncements</w:t>
            </w:r>
          </w:p>
        </w:tc>
        <w:tc>
          <w:tcPr>
            <w:tcW w:w="1140" w:type="dxa"/>
            <w:vAlign w:val="bottom"/>
            <w:tcBorders>
              <w:bottom w:val="single" w:sz="8" w:color="ACACAC"/>
            </w:tcBorders>
            <w:shd w:val="clear" w:color="auto" w:fill="ACACAC"/>
          </w:tcPr>
          <w:p>
            <w:pPr>
              <w:spacing w:after="0"/>
              <w:rPr>
                <w:sz w:val="20"/>
                <w:szCs w:val="20"/>
                <w:color w:val="auto"/>
              </w:rPr>
            </w:pPr>
          </w:p>
        </w:tc>
        <w:tc>
          <w:tcPr>
            <w:tcW w:w="3940" w:type="dxa"/>
            <w:vAlign w:val="bottom"/>
            <w:tcBorders>
              <w:bottom w:val="single" w:sz="8" w:color="ACACAC"/>
            </w:tcBorders>
            <w:shd w:val="clear" w:color="auto" w:fill="ACACAC"/>
          </w:tcPr>
          <w:p>
            <w:pPr>
              <w:spacing w:after="0"/>
              <w:rPr>
                <w:sz w:val="20"/>
                <w:szCs w:val="20"/>
                <w:color w:val="auto"/>
              </w:rPr>
            </w:pPr>
          </w:p>
        </w:tc>
      </w:tr>
      <w:tr>
        <w:trPr>
          <w:trHeight w:val="220"/>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 2016-13, “Financial</w:t>
            </w:r>
          </w:p>
        </w:tc>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This update affects entities holding financial assets and net</w:t>
            </w:r>
          </w:p>
        </w:tc>
        <w:tc>
          <w:tcPr>
            <w:tcW w:w="1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Q1 2020</w:t>
            </w:r>
          </w:p>
        </w:tc>
        <w:tc>
          <w:tcPr>
            <w:tcW w:w="39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3"/>
              </w:rPr>
              <w:t>The Partnership adopted this update effective January 1,</w:t>
            </w:r>
          </w:p>
        </w:tc>
      </w:tr>
      <w:tr>
        <w:trPr>
          <w:trHeight w:val="203"/>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Instruments - Credit Losses” investment in leases that are not accounted for at fair value</w:t>
            </w:r>
          </w:p>
        </w:tc>
        <w:tc>
          <w:tcPr>
            <w:tcW w:w="1140" w:type="dxa"/>
            <w:vAlign w:val="bottom"/>
            <w:shd w:val="clear" w:color="auto" w:fill="CCEEFF"/>
          </w:tcPr>
          <w:p>
            <w:pPr>
              <w:spacing w:after="0"/>
              <w:rPr>
                <w:sz w:val="17"/>
                <w:szCs w:val="17"/>
                <w:color w:val="auto"/>
              </w:rPr>
            </w:pPr>
          </w:p>
        </w:tc>
        <w:tc>
          <w:tcPr>
            <w:tcW w:w="39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2"/>
              </w:rPr>
              <w:t>2020. The adoption of this update did not have a material</w:t>
            </w:r>
          </w:p>
        </w:tc>
      </w:tr>
      <w:tr>
        <w:trPr>
          <w:trHeight w:val="203"/>
        </w:trPr>
        <w:tc>
          <w:tcPr>
            <w:tcW w:w="1820" w:type="dxa"/>
            <w:vAlign w:val="bottom"/>
            <w:shd w:val="clear" w:color="auto" w:fill="CCEEFF"/>
          </w:tcPr>
          <w:p>
            <w:pPr>
              <w:spacing w:after="0"/>
              <w:rPr>
                <w:sz w:val="17"/>
                <w:szCs w:val="17"/>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through net income. The amendments affect loans, debt</w:t>
            </w:r>
          </w:p>
        </w:tc>
        <w:tc>
          <w:tcPr>
            <w:tcW w:w="1140" w:type="dxa"/>
            <w:vAlign w:val="bottom"/>
            <w:shd w:val="clear" w:color="auto" w:fill="CCEEFF"/>
          </w:tcPr>
          <w:p>
            <w:pPr>
              <w:spacing w:after="0"/>
              <w:rPr>
                <w:sz w:val="17"/>
                <w:szCs w:val="17"/>
                <w:color w:val="auto"/>
              </w:rPr>
            </w:pPr>
          </w:p>
        </w:tc>
        <w:tc>
          <w:tcPr>
            <w:tcW w:w="39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7"/>
              </w:rPr>
              <w:t>impact on its financial position, results of operations or</w:t>
            </w:r>
          </w:p>
        </w:tc>
      </w:tr>
      <w:tr>
        <w:trPr>
          <w:trHeight w:val="203"/>
        </w:trPr>
        <w:tc>
          <w:tcPr>
            <w:tcW w:w="1820" w:type="dxa"/>
            <w:vAlign w:val="bottom"/>
            <w:shd w:val="clear" w:color="auto" w:fill="CCEEFF"/>
          </w:tcPr>
          <w:p>
            <w:pPr>
              <w:spacing w:after="0"/>
              <w:rPr>
                <w:sz w:val="17"/>
                <w:szCs w:val="17"/>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securities, trade receivables, net investments in leases, off-</w:t>
            </w:r>
          </w:p>
        </w:tc>
        <w:tc>
          <w:tcPr>
            <w:tcW w:w="1140" w:type="dxa"/>
            <w:vAlign w:val="bottom"/>
            <w:shd w:val="clear" w:color="auto" w:fill="CCEEFF"/>
          </w:tcPr>
          <w:p>
            <w:pPr>
              <w:spacing w:after="0"/>
              <w:rPr>
                <w:sz w:val="17"/>
                <w:szCs w:val="17"/>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liquidity since it does not have a history of credit losses.</w:t>
            </w:r>
          </w:p>
        </w:tc>
      </w:tr>
      <w:tr>
        <w:trPr>
          <w:trHeight w:val="203"/>
        </w:trPr>
        <w:tc>
          <w:tcPr>
            <w:tcW w:w="1820" w:type="dxa"/>
            <w:vAlign w:val="bottom"/>
            <w:shd w:val="clear" w:color="auto" w:fill="CCEEFF"/>
          </w:tcPr>
          <w:p>
            <w:pPr>
              <w:spacing w:after="0"/>
              <w:rPr>
                <w:sz w:val="17"/>
                <w:szCs w:val="17"/>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balance sheet credit exposures, reinsurance receivables, and any</w:t>
            </w:r>
          </w:p>
        </w:tc>
        <w:tc>
          <w:tcPr>
            <w:tcW w:w="114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r>
      <w:tr>
        <w:trPr>
          <w:trHeight w:val="203"/>
        </w:trPr>
        <w:tc>
          <w:tcPr>
            <w:tcW w:w="1820" w:type="dxa"/>
            <w:vAlign w:val="bottom"/>
            <w:shd w:val="clear" w:color="auto" w:fill="CCEEFF"/>
          </w:tcPr>
          <w:p>
            <w:pPr>
              <w:spacing w:after="0"/>
              <w:rPr>
                <w:sz w:val="17"/>
                <w:szCs w:val="17"/>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other financial assets not excluded from the scope that have the</w:t>
            </w:r>
          </w:p>
        </w:tc>
        <w:tc>
          <w:tcPr>
            <w:tcW w:w="114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r>
      <w:tr>
        <w:trPr>
          <w:trHeight w:val="206"/>
        </w:trPr>
        <w:tc>
          <w:tcPr>
            <w:tcW w:w="1820" w:type="dxa"/>
            <w:vAlign w:val="bottom"/>
            <w:shd w:val="clear" w:color="auto" w:fill="CCEEFF"/>
          </w:tcPr>
          <w:p>
            <w:pPr>
              <w:spacing w:after="0"/>
              <w:rPr>
                <w:sz w:val="17"/>
                <w:szCs w:val="17"/>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contractual right to receive cash.</w:t>
            </w:r>
          </w:p>
        </w:tc>
        <w:tc>
          <w:tcPr>
            <w:tcW w:w="114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r>
      <w:tr>
        <w:trPr>
          <w:trHeight w:val="33"/>
        </w:trPr>
        <w:tc>
          <w:tcPr>
            <w:tcW w:w="182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240"/>
          </w:cols>
          <w:pgMar w:left="320" w:top="122" w:right="339" w:bottom="1440" w:gutter="0" w:footer="0" w:header="0"/>
        </w:sectPr>
      </w:pPr>
    </w:p>
    <w:p>
      <w:pPr>
        <w:ind w:left="40"/>
        <w:spacing w:after="0" w:line="290" w:lineRule="auto"/>
        <w:rPr>
          <w:sz w:val="20"/>
          <w:szCs w:val="20"/>
          <w:color w:val="auto"/>
        </w:rPr>
      </w:pPr>
      <w:r>
        <w:rPr>
          <w:rFonts w:ascii="Arial" w:cs="Arial" w:eastAsia="Arial" w:hAnsi="Arial"/>
          <w:sz w:val="15"/>
          <w:szCs w:val="15"/>
          <w:color w:val="auto"/>
        </w:rPr>
        <w:t>ASU 2018-13, “Fair Value Measurement (Topic 820) - Disclosure Framework - Changes to the Disclosure Requirements for Fair Value Measurement”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20"/>
                <w:szCs w:val="20"/>
                <w:color w:val="auto"/>
              </w:rPr>
            </w:pPr>
            <w:r>
              <w:rPr>
                <w:rFonts w:ascii="Arial" w:cs="Arial" w:eastAsia="Arial" w:hAnsi="Arial"/>
                <w:sz w:val="16"/>
                <w:szCs w:val="16"/>
                <w:color w:val="auto"/>
                <w:w w:val="95"/>
              </w:rPr>
              <w:t>This update modifies the fair value measurement disclosure</w:t>
            </w:r>
          </w:p>
        </w:tc>
        <w:tc>
          <w:tcPr>
            <w:tcW w:w="1100" w:type="dxa"/>
            <w:vAlign w:val="bottom"/>
          </w:tcPr>
          <w:p>
            <w:pPr>
              <w:ind w:left="220"/>
              <w:spacing w:after="0"/>
              <w:rPr>
                <w:sz w:val="20"/>
                <w:szCs w:val="20"/>
                <w:color w:val="auto"/>
              </w:rPr>
            </w:pPr>
            <w:r>
              <w:rPr>
                <w:rFonts w:ascii="Arial" w:cs="Arial" w:eastAsia="Arial" w:hAnsi="Arial"/>
                <w:sz w:val="16"/>
                <w:szCs w:val="16"/>
                <w:color w:val="auto"/>
              </w:rPr>
              <w:t>Q1 2020</w:t>
            </w:r>
          </w:p>
        </w:tc>
        <w:tc>
          <w:tcPr>
            <w:tcW w:w="4040" w:type="dxa"/>
            <w:vAlign w:val="bottom"/>
          </w:tcPr>
          <w:p>
            <w:pPr>
              <w:ind w:left="340"/>
              <w:spacing w:after="0"/>
              <w:rPr>
                <w:sz w:val="20"/>
                <w:szCs w:val="20"/>
                <w:color w:val="auto"/>
              </w:rPr>
            </w:pPr>
            <w:r>
              <w:rPr>
                <w:rFonts w:ascii="Arial" w:cs="Arial" w:eastAsia="Arial" w:hAnsi="Arial"/>
                <w:sz w:val="16"/>
                <w:szCs w:val="16"/>
                <w:color w:val="auto"/>
                <w:w w:val="91"/>
              </w:rPr>
              <w:t>The Partnership adopted this update effective January 1,</w:t>
            </w:r>
          </w:p>
        </w:tc>
      </w:tr>
      <w:tr>
        <w:trPr>
          <w:trHeight w:val="203"/>
        </w:trPr>
        <w:tc>
          <w:tcPr>
            <w:tcW w:w="4060" w:type="dxa"/>
            <w:vAlign w:val="bottom"/>
          </w:tcPr>
          <w:p>
            <w:pPr>
              <w:spacing w:after="0"/>
              <w:rPr>
                <w:sz w:val="20"/>
                <w:szCs w:val="20"/>
                <w:color w:val="auto"/>
              </w:rPr>
            </w:pPr>
            <w:r>
              <w:rPr>
                <w:rFonts w:ascii="Arial" w:cs="Arial" w:eastAsia="Arial" w:hAnsi="Arial"/>
                <w:sz w:val="16"/>
                <w:szCs w:val="16"/>
                <w:color w:val="auto"/>
              </w:rPr>
              <w:t>requirements specifically related to Level 3 fair value</w:t>
            </w:r>
          </w:p>
        </w:tc>
        <w:tc>
          <w:tcPr>
            <w:tcW w:w="110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Arial" w:cs="Arial" w:eastAsia="Arial" w:hAnsi="Arial"/>
                <w:sz w:val="16"/>
                <w:szCs w:val="16"/>
                <w:color w:val="auto"/>
                <w:w w:val="91"/>
              </w:rPr>
              <w:t>2020. The adoption of this update did not have an impact</w:t>
            </w:r>
          </w:p>
        </w:tc>
      </w:tr>
      <w:tr>
        <w:trPr>
          <w:trHeight w:val="203"/>
        </w:trPr>
        <w:tc>
          <w:tcPr>
            <w:tcW w:w="4060" w:type="dxa"/>
            <w:vAlign w:val="bottom"/>
          </w:tcPr>
          <w:p>
            <w:pPr>
              <w:spacing w:after="0"/>
              <w:rPr>
                <w:sz w:val="20"/>
                <w:szCs w:val="20"/>
                <w:color w:val="auto"/>
              </w:rPr>
            </w:pPr>
            <w:r>
              <w:rPr>
                <w:rFonts w:ascii="Arial" w:cs="Arial" w:eastAsia="Arial" w:hAnsi="Arial"/>
                <w:sz w:val="16"/>
                <w:szCs w:val="16"/>
                <w:color w:val="auto"/>
              </w:rPr>
              <w:t>measurements and transfers between levels.</w:t>
            </w:r>
          </w:p>
        </w:tc>
        <w:tc>
          <w:tcPr>
            <w:tcW w:w="110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Arial" w:cs="Arial" w:eastAsia="Arial" w:hAnsi="Arial"/>
                <w:sz w:val="16"/>
                <w:szCs w:val="16"/>
                <w:color w:val="auto"/>
                <w:w w:val="94"/>
              </w:rPr>
              <w:t>on its financial position, results of operations or liquidity</w:t>
            </w:r>
          </w:p>
        </w:tc>
      </w:tr>
      <w:tr>
        <w:trPr>
          <w:trHeight w:val="206"/>
        </w:trPr>
        <w:tc>
          <w:tcPr>
            <w:tcW w:w="4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Arial" w:cs="Arial" w:eastAsia="Arial" w:hAnsi="Arial"/>
                <w:sz w:val="16"/>
                <w:szCs w:val="16"/>
                <w:color w:val="auto"/>
                <w:w w:val="90"/>
              </w:rPr>
              <w:t>since it does not have transfers between fair value levels.</w:t>
            </w:r>
          </w:p>
        </w:tc>
      </w:tr>
    </w:tbl>
    <w:p>
      <w:pPr>
        <w:spacing w:after="0" w:line="437" w:lineRule="exact"/>
        <w:rPr>
          <w:sz w:val="20"/>
          <w:szCs w:val="20"/>
          <w:color w:val="auto"/>
        </w:rPr>
      </w:pPr>
    </w:p>
    <w:p>
      <w:pPr>
        <w:sectPr>
          <w:pgSz w:w="11900" w:h="16838" w:orient="portrait"/>
          <w:cols w:equalWidth="0" w:num="2">
            <w:col w:w="1880" w:space="80"/>
            <w:col w:w="92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ASU 2018-15, “Intangibles</w:t>
            </w:r>
          </w:p>
        </w:tc>
        <w:tc>
          <w:tcPr>
            <w:tcW w:w="52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9"/>
              </w:rPr>
              <w:t>This update requires the capitalization of implementation costs   Q1 2020</w:t>
            </w:r>
          </w:p>
        </w:tc>
        <w:tc>
          <w:tcPr>
            <w:tcW w:w="4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The Partnership adopted this update prospectively</w:t>
            </w:r>
          </w:p>
        </w:tc>
      </w:tr>
      <w:tr>
        <w:trPr>
          <w:trHeight w:val="203"/>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Goodwill and Other -</w:t>
            </w:r>
          </w:p>
        </w:tc>
        <w:tc>
          <w:tcPr>
            <w:tcW w:w="5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incurred in a hosting arrangement that is a service contract for</w:t>
            </w:r>
          </w:p>
        </w:tc>
        <w:tc>
          <w:tcPr>
            <w:tcW w:w="41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effective January 1, 2020. The adoption of this update did</w:t>
            </w:r>
          </w:p>
        </w:tc>
      </w:tr>
      <w:tr>
        <w:trPr>
          <w:trHeight w:val="203"/>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Internal - Use Software</w:t>
            </w:r>
          </w:p>
        </w:tc>
        <w:tc>
          <w:tcPr>
            <w:tcW w:w="5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internal-use software. Training and certain data conversion costs</w:t>
            </w:r>
          </w:p>
        </w:tc>
        <w:tc>
          <w:tcPr>
            <w:tcW w:w="4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 have an impact on its financial position, results of</w:t>
            </w:r>
          </w:p>
        </w:tc>
      </w:tr>
      <w:tr>
        <w:trPr>
          <w:trHeight w:val="203"/>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(Subtopic 350-40):</w:t>
            </w:r>
          </w:p>
        </w:tc>
        <w:tc>
          <w:tcPr>
            <w:tcW w:w="5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cannot be capitalized. The entity is required to expense the</w:t>
            </w:r>
          </w:p>
        </w:tc>
        <w:tc>
          <w:tcPr>
            <w:tcW w:w="4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operations or liquidity.</w:t>
            </w:r>
          </w:p>
        </w:tc>
      </w:tr>
      <w:tr>
        <w:trPr>
          <w:trHeight w:val="203"/>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Customer’s Accounting for</w:t>
            </w:r>
          </w:p>
        </w:tc>
        <w:tc>
          <w:tcPr>
            <w:tcW w:w="5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capitalized implementation costs over the term of the hosting</w:t>
            </w:r>
          </w:p>
        </w:tc>
        <w:tc>
          <w:tcPr>
            <w:tcW w:w="4120" w:type="dxa"/>
            <w:vAlign w:val="bottom"/>
            <w:shd w:val="clear" w:color="auto" w:fill="CCEEFF"/>
          </w:tcPr>
          <w:p>
            <w:pPr>
              <w:spacing w:after="0"/>
              <w:rPr>
                <w:sz w:val="17"/>
                <w:szCs w:val="17"/>
                <w:color w:val="auto"/>
              </w:rPr>
            </w:pPr>
          </w:p>
        </w:tc>
      </w:tr>
      <w:tr>
        <w:trPr>
          <w:trHeight w:val="203"/>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Implementation Costs</w:t>
            </w:r>
          </w:p>
        </w:tc>
        <w:tc>
          <w:tcPr>
            <w:tcW w:w="5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agreement.</w:t>
            </w:r>
          </w:p>
        </w:tc>
        <w:tc>
          <w:tcPr>
            <w:tcW w:w="4120" w:type="dxa"/>
            <w:vAlign w:val="bottom"/>
            <w:shd w:val="clear" w:color="auto" w:fill="CCEEFF"/>
          </w:tcPr>
          <w:p>
            <w:pPr>
              <w:spacing w:after="0"/>
              <w:rPr>
                <w:sz w:val="17"/>
                <w:szCs w:val="17"/>
                <w:color w:val="auto"/>
              </w:rPr>
            </w:pPr>
          </w:p>
        </w:tc>
      </w:tr>
      <w:tr>
        <w:trPr>
          <w:trHeight w:val="203"/>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Incurred in a Cloud</w:t>
            </w:r>
          </w:p>
        </w:tc>
        <w:tc>
          <w:tcPr>
            <w:tcW w:w="52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r>
      <w:tr>
        <w:trPr>
          <w:trHeight w:val="203"/>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Computing Arrangement</w:t>
            </w:r>
          </w:p>
        </w:tc>
        <w:tc>
          <w:tcPr>
            <w:tcW w:w="52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r>
      <w:tr>
        <w:trPr>
          <w:trHeight w:val="206"/>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That Is a Service Contract”</w:t>
            </w:r>
          </w:p>
        </w:tc>
        <w:tc>
          <w:tcPr>
            <w:tcW w:w="52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r>
      <w:tr>
        <w:trPr>
          <w:trHeight w:val="33"/>
        </w:trPr>
        <w:tc>
          <w:tcPr>
            <w:tcW w:w="188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jc w:val="both"/>
        <w:ind w:left="40"/>
        <w:spacing w:after="0" w:line="305" w:lineRule="auto"/>
        <w:rPr>
          <w:sz w:val="20"/>
          <w:szCs w:val="20"/>
          <w:color w:val="auto"/>
        </w:rPr>
      </w:pPr>
      <w:r>
        <w:rPr>
          <w:rFonts w:ascii="Arial" w:cs="Arial" w:eastAsia="Arial" w:hAnsi="Arial"/>
          <w:sz w:val="15"/>
          <w:szCs w:val="15"/>
          <w:color w:val="auto"/>
        </w:rPr>
        <w:t>ASU 2019-05, “Financial Instruments-Credit Losses (Topic 326)”</w:t>
      </w:r>
    </w:p>
    <w:p>
      <w:pPr>
        <w:spacing w:after="0" w:line="4" w:lineRule="exact"/>
        <w:rPr>
          <w:sz w:val="20"/>
          <w:szCs w:val="20"/>
          <w:color w:val="auto"/>
        </w:rPr>
      </w:pPr>
    </w:p>
    <w:p>
      <w:pPr>
        <w:jc w:val="both"/>
        <w:ind w:left="40" w:right="340"/>
        <w:spacing w:after="0" w:line="328" w:lineRule="auto"/>
        <w:rPr>
          <w:sz w:val="20"/>
          <w:szCs w:val="20"/>
          <w:color w:val="auto"/>
        </w:rPr>
      </w:pPr>
      <w:r>
        <w:rPr>
          <w:rFonts w:ascii="Arial" w:cs="Arial" w:eastAsia="Arial" w:hAnsi="Arial"/>
          <w:sz w:val="15"/>
          <w:szCs w:val="15"/>
          <w:color w:val="auto"/>
        </w:rPr>
        <w:t>ASU 2020-04, “Rate Reform (Topic 848)”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20"/>
                <w:szCs w:val="20"/>
                <w:color w:val="auto"/>
              </w:rPr>
            </w:pPr>
            <w:r>
              <w:rPr>
                <w:rFonts w:ascii="Arial" w:cs="Arial" w:eastAsia="Arial" w:hAnsi="Arial"/>
                <w:sz w:val="16"/>
                <w:szCs w:val="16"/>
                <w:color w:val="auto"/>
                <w:w w:val="96"/>
              </w:rPr>
              <w:t>This update allows a fair value option to be elected for certain</w:t>
            </w:r>
          </w:p>
        </w:tc>
        <w:tc>
          <w:tcPr>
            <w:tcW w:w="620" w:type="dxa"/>
            <w:vAlign w:val="bottom"/>
          </w:tcPr>
          <w:p>
            <w:pPr>
              <w:ind w:left="60"/>
              <w:spacing w:after="0"/>
              <w:rPr>
                <w:sz w:val="20"/>
                <w:szCs w:val="20"/>
                <w:color w:val="auto"/>
              </w:rPr>
            </w:pPr>
            <w:r>
              <w:rPr>
                <w:rFonts w:ascii="Arial" w:cs="Arial" w:eastAsia="Arial" w:hAnsi="Arial"/>
                <w:sz w:val="16"/>
                <w:szCs w:val="16"/>
                <w:color w:val="auto"/>
                <w:w w:val="87"/>
              </w:rPr>
              <w:t>Q1 2020</w:t>
            </w: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w w:val="93"/>
              </w:rPr>
              <w:t>financial assets, other than held-to-maturity debt securities, that</w:t>
            </w:r>
          </w:p>
        </w:tc>
        <w:tc>
          <w:tcPr>
            <w:tcW w:w="620" w:type="dxa"/>
            <w:vAlign w:val="bottom"/>
          </w:tcPr>
          <w:p>
            <w:pPr>
              <w:spacing w:after="0"/>
              <w:rPr>
                <w:sz w:val="17"/>
                <w:szCs w:val="17"/>
                <w:color w:val="auto"/>
              </w:rPr>
            </w:pP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auto"/>
                <w:w w:val="90"/>
              </w:rPr>
              <w:t>were previously required to be measured at amortized cost basis.</w:t>
            </w:r>
          </w:p>
        </w:tc>
        <w:tc>
          <w:tcPr>
            <w:tcW w:w="620" w:type="dxa"/>
            <w:vAlign w:val="bottom"/>
          </w:tcPr>
          <w:p>
            <w:pPr>
              <w:spacing w:after="0"/>
              <w:rPr>
                <w:sz w:val="17"/>
                <w:szCs w:val="17"/>
                <w:color w:val="auto"/>
              </w:rPr>
            </w:pPr>
          </w:p>
        </w:tc>
      </w:tr>
      <w:tr>
        <w:trPr>
          <w:trHeight w:val="253"/>
        </w:trPr>
        <w:tc>
          <w:tcPr>
            <w:tcW w:w="4220" w:type="dxa"/>
            <w:vAlign w:val="bottom"/>
          </w:tcPr>
          <w:p>
            <w:pPr>
              <w:spacing w:after="0"/>
              <w:rPr>
                <w:sz w:val="20"/>
                <w:szCs w:val="20"/>
                <w:color w:val="auto"/>
              </w:rPr>
            </w:pPr>
            <w:r>
              <w:rPr>
                <w:rFonts w:ascii="Arial" w:cs="Arial" w:eastAsia="Arial" w:hAnsi="Arial"/>
                <w:sz w:val="16"/>
                <w:szCs w:val="16"/>
                <w:color w:val="auto"/>
                <w:w w:val="98"/>
              </w:rPr>
              <w:t>This update provides optional expedients and exceptions for</w:t>
            </w:r>
          </w:p>
        </w:tc>
        <w:tc>
          <w:tcPr>
            <w:tcW w:w="620" w:type="dxa"/>
            <w:vAlign w:val="bottom"/>
          </w:tcPr>
          <w:p>
            <w:pPr>
              <w:ind w:left="60"/>
              <w:spacing w:after="0"/>
              <w:rPr>
                <w:sz w:val="20"/>
                <w:szCs w:val="20"/>
                <w:color w:val="auto"/>
              </w:rPr>
            </w:pPr>
            <w:r>
              <w:rPr>
                <w:rFonts w:ascii="Arial" w:cs="Arial" w:eastAsia="Arial" w:hAnsi="Arial"/>
                <w:sz w:val="16"/>
                <w:szCs w:val="16"/>
                <w:color w:val="auto"/>
                <w:w w:val="87"/>
              </w:rPr>
              <w:t>Q1 2020</w:t>
            </w: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w w:val="97"/>
              </w:rPr>
              <w:t>applying GAAP to contracts, hedging relationships, and other</w:t>
            </w:r>
          </w:p>
        </w:tc>
        <w:tc>
          <w:tcPr>
            <w:tcW w:w="620" w:type="dxa"/>
            <w:vAlign w:val="bottom"/>
          </w:tcPr>
          <w:p>
            <w:pPr>
              <w:spacing w:after="0"/>
              <w:rPr>
                <w:sz w:val="17"/>
                <w:szCs w:val="17"/>
                <w:color w:val="auto"/>
              </w:rPr>
            </w:pP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auto"/>
              </w:rPr>
              <w:t>transactions that reference LIBOR.</w:t>
            </w:r>
          </w:p>
        </w:tc>
        <w:tc>
          <w:tcPr>
            <w:tcW w:w="6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-398780</wp:posOffset>
            </wp:positionV>
            <wp:extent cx="7132320" cy="977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328" w:lineRule="auto"/>
        <w:rPr>
          <w:sz w:val="20"/>
          <w:szCs w:val="20"/>
          <w:color w:val="auto"/>
        </w:rPr>
      </w:pPr>
      <w:r>
        <w:rPr>
          <w:rFonts w:ascii="Arial" w:cs="Arial" w:eastAsia="Arial" w:hAnsi="Arial"/>
          <w:sz w:val="14"/>
          <w:szCs w:val="14"/>
          <w:color w:val="auto"/>
        </w:rPr>
        <w:t>The Partnership adopted this update effective January 1, 2020. The adoption of this update did not have an impact on its financial position, results of operations or liquidity.</w:t>
      </w:r>
    </w:p>
    <w:p>
      <w:pPr>
        <w:spacing w:after="0" w:line="1"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The Partnership adopted this update upon issuance and elected to use the optional expedient for contracts that reference LIBOR. The amendments in this update expire on December 31, 2022. The adoption of this update did not have an impact on its financial position, results of operations or liquidity.</w:t>
      </w:r>
    </w:p>
    <w:p>
      <w:pPr>
        <w:spacing w:after="0" w:line="28" w:lineRule="exact"/>
        <w:rPr>
          <w:sz w:val="20"/>
          <w:szCs w:val="20"/>
          <w:color w:val="auto"/>
        </w:rPr>
      </w:pPr>
    </w:p>
    <w:p>
      <w:pPr>
        <w:sectPr>
          <w:pgSz w:w="11900" w:h="16838" w:orient="portrait"/>
          <w:cols w:equalWidth="0" w:num="3">
            <w:col w:w="1740" w:space="220"/>
            <w:col w:w="4840" w:space="660"/>
            <w:col w:w="3780"/>
          </w:cols>
          <w:pgMar w:left="320" w:top="122" w:right="339" w:bottom="1440" w:gutter="0" w:footer="0" w:header="0"/>
          <w:type w:val="continuous"/>
        </w:sectPr>
      </w:pPr>
    </w:p>
    <w:p>
      <w:pPr>
        <w:ind w:left="40"/>
        <w:spacing w:after="0"/>
        <w:rPr>
          <w:sz w:val="20"/>
          <w:szCs w:val="20"/>
          <w:color w:val="auto"/>
        </w:rPr>
      </w:pPr>
      <w:r>
        <w:rPr>
          <w:rFonts w:ascii="Arial" w:cs="Arial" w:eastAsia="Arial" w:hAnsi="Arial"/>
          <w:sz w:val="14"/>
          <w:szCs w:val="14"/>
          <w:i w:val="1"/>
          <w:iCs w:val="1"/>
          <w:color w:val="auto"/>
        </w:rPr>
        <w:t>Pronouncements Not Yet Adopted</w:t>
      </w:r>
    </w:p>
    <w:p>
      <w:pPr>
        <w:sectPr>
          <w:pgSz w:w="11900" w:h="16838" w:orient="portrait"/>
          <w:cols w:equalWidth="0" w:num="1">
            <w:col w:w="11240"/>
          </w:cols>
          <w:pgMar w:left="320" w:top="122" w:right="339" w:bottom="1440" w:gutter="0" w:footer="0" w:header="0"/>
          <w:type w:val="continuous"/>
        </w:sectPr>
      </w:pPr>
    </w:p>
    <w:p>
      <w:pPr>
        <w:spacing w:after="0" w:line="96" w:lineRule="exact"/>
        <w:rPr>
          <w:sz w:val="20"/>
          <w:szCs w:val="20"/>
          <w:color w:val="auto"/>
        </w:rPr>
      </w:pPr>
    </w:p>
    <w:p>
      <w:pPr>
        <w:ind w:left="40"/>
        <w:spacing w:after="0" w:line="297" w:lineRule="auto"/>
        <w:rPr>
          <w:sz w:val="20"/>
          <w:szCs w:val="20"/>
          <w:color w:val="auto"/>
        </w:rPr>
      </w:pPr>
      <w:r>
        <w:rPr>
          <w:rFonts w:ascii="Arial" w:cs="Arial" w:eastAsia="Arial" w:hAnsi="Arial"/>
          <w:sz w:val="15"/>
          <w:szCs w:val="15"/>
          <w:color w:val="auto"/>
        </w:rPr>
        <w:t>ASU 2019-12, “Income Taxes (Topic 740) - Simplifying the Accounting for Income Taxes”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20"/>
                <w:szCs w:val="20"/>
                <w:color w:val="auto"/>
              </w:rPr>
            </w:pPr>
            <w:r>
              <w:rPr>
                <w:rFonts w:ascii="Arial" w:cs="Arial" w:eastAsia="Arial" w:hAnsi="Arial"/>
                <w:sz w:val="16"/>
                <w:szCs w:val="16"/>
                <w:color w:val="auto"/>
                <w:w w:val="95"/>
              </w:rPr>
              <w:t>This update is intended to simplify the accounting for income</w:t>
            </w:r>
          </w:p>
        </w:tc>
        <w:tc>
          <w:tcPr>
            <w:tcW w:w="1040" w:type="dxa"/>
            <w:vAlign w:val="bottom"/>
          </w:tcPr>
          <w:p>
            <w:pPr>
              <w:ind w:left="160"/>
              <w:spacing w:after="0"/>
              <w:rPr>
                <w:sz w:val="20"/>
                <w:szCs w:val="20"/>
                <w:color w:val="auto"/>
              </w:rPr>
            </w:pPr>
            <w:r>
              <w:rPr>
                <w:rFonts w:ascii="Arial" w:cs="Arial" w:eastAsia="Arial" w:hAnsi="Arial"/>
                <w:sz w:val="16"/>
                <w:szCs w:val="16"/>
                <w:color w:val="auto"/>
              </w:rPr>
              <w:t>Q1 2021</w:t>
            </w:r>
          </w:p>
        </w:tc>
        <w:tc>
          <w:tcPr>
            <w:tcW w:w="4020" w:type="dxa"/>
            <w:vAlign w:val="bottom"/>
          </w:tcPr>
          <w:p>
            <w:pPr>
              <w:ind w:left="340"/>
              <w:spacing w:after="0"/>
              <w:rPr>
                <w:sz w:val="20"/>
                <w:szCs w:val="20"/>
                <w:color w:val="auto"/>
              </w:rPr>
            </w:pPr>
            <w:r>
              <w:rPr>
                <w:rFonts w:ascii="Arial" w:cs="Arial" w:eastAsia="Arial" w:hAnsi="Arial"/>
                <w:sz w:val="16"/>
                <w:szCs w:val="16"/>
                <w:color w:val="auto"/>
              </w:rPr>
              <w:t>This update is effective for public business entities</w:t>
            </w: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w w:val="98"/>
              </w:rPr>
              <w:t>taxes by removing certain exceptions and by clarifying and</w:t>
            </w:r>
          </w:p>
        </w:tc>
        <w:tc>
          <w:tcPr>
            <w:tcW w:w="1040" w:type="dxa"/>
            <w:vAlign w:val="bottom"/>
          </w:tcPr>
          <w:p>
            <w:pPr>
              <w:spacing w:after="0"/>
              <w:rPr>
                <w:sz w:val="17"/>
                <w:szCs w:val="17"/>
                <w:color w:val="auto"/>
              </w:rPr>
            </w:pPr>
          </w:p>
        </w:tc>
        <w:tc>
          <w:tcPr>
            <w:tcW w:w="4020" w:type="dxa"/>
            <w:vAlign w:val="bottom"/>
          </w:tcPr>
          <w:p>
            <w:pPr>
              <w:ind w:left="340"/>
              <w:spacing w:after="0"/>
              <w:rPr>
                <w:sz w:val="20"/>
                <w:szCs w:val="20"/>
                <w:color w:val="auto"/>
              </w:rPr>
            </w:pPr>
            <w:r>
              <w:rPr>
                <w:rFonts w:ascii="Arial" w:cs="Arial" w:eastAsia="Arial" w:hAnsi="Arial"/>
                <w:sz w:val="16"/>
                <w:szCs w:val="16"/>
                <w:color w:val="auto"/>
                <w:w w:val="94"/>
              </w:rPr>
              <w:t>beginning after December 15, 2020 with early adoption</w:t>
            </w: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amending existing guidance.</w:t>
            </w:r>
          </w:p>
        </w:tc>
        <w:tc>
          <w:tcPr>
            <w:tcW w:w="1040" w:type="dxa"/>
            <w:vAlign w:val="bottom"/>
          </w:tcPr>
          <w:p>
            <w:pPr>
              <w:spacing w:after="0"/>
              <w:rPr>
                <w:sz w:val="17"/>
                <w:szCs w:val="17"/>
                <w:color w:val="auto"/>
              </w:rPr>
            </w:pPr>
          </w:p>
        </w:tc>
        <w:tc>
          <w:tcPr>
            <w:tcW w:w="4020" w:type="dxa"/>
            <w:vAlign w:val="bottom"/>
          </w:tcPr>
          <w:p>
            <w:pPr>
              <w:ind w:left="340"/>
              <w:spacing w:after="0"/>
              <w:rPr>
                <w:sz w:val="20"/>
                <w:szCs w:val="20"/>
                <w:color w:val="auto"/>
              </w:rPr>
            </w:pPr>
            <w:r>
              <w:rPr>
                <w:rFonts w:ascii="Arial" w:cs="Arial" w:eastAsia="Arial" w:hAnsi="Arial"/>
                <w:sz w:val="16"/>
                <w:szCs w:val="16"/>
                <w:color w:val="auto"/>
                <w:w w:val="90"/>
              </w:rPr>
              <w:t>permitted. The Partnership does not believe the adoption</w:t>
            </w:r>
          </w:p>
        </w:tc>
      </w:tr>
      <w:tr>
        <w:trPr>
          <w:trHeight w:val="203"/>
        </w:trPr>
        <w:tc>
          <w:tcPr>
            <w:tcW w:w="4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20" w:type="dxa"/>
            <w:vAlign w:val="bottom"/>
          </w:tcPr>
          <w:p>
            <w:pPr>
              <w:ind w:left="340"/>
              <w:spacing w:after="0"/>
              <w:rPr>
                <w:sz w:val="20"/>
                <w:szCs w:val="20"/>
                <w:color w:val="auto"/>
              </w:rPr>
            </w:pPr>
            <w:r>
              <w:rPr>
                <w:rFonts w:ascii="Arial" w:cs="Arial" w:eastAsia="Arial" w:hAnsi="Arial"/>
                <w:sz w:val="16"/>
                <w:szCs w:val="16"/>
                <w:color w:val="auto"/>
              </w:rPr>
              <w:t>of this standard will have an impact on its financial</w:t>
            </w:r>
          </w:p>
        </w:tc>
      </w:tr>
      <w:tr>
        <w:trPr>
          <w:trHeight w:val="206"/>
        </w:trPr>
        <w:tc>
          <w:tcPr>
            <w:tcW w:w="4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20" w:type="dxa"/>
            <w:vAlign w:val="bottom"/>
          </w:tcPr>
          <w:p>
            <w:pPr>
              <w:ind w:left="340"/>
              <w:spacing w:after="0"/>
              <w:rPr>
                <w:sz w:val="20"/>
                <w:szCs w:val="20"/>
                <w:color w:val="auto"/>
              </w:rPr>
            </w:pPr>
            <w:r>
              <w:rPr>
                <w:rFonts w:ascii="Arial" w:cs="Arial" w:eastAsia="Arial" w:hAnsi="Arial"/>
                <w:sz w:val="16"/>
                <w:szCs w:val="16"/>
                <w:color w:val="auto"/>
              </w:rPr>
              <w:t>position, results of operations or liquidity.</w:t>
            </w:r>
          </w:p>
        </w:tc>
      </w:tr>
    </w:tbl>
    <w:p>
      <w:pPr>
        <w:spacing w:after="0" w:line="200" w:lineRule="exact"/>
        <w:rPr>
          <w:sz w:val="20"/>
          <w:szCs w:val="20"/>
          <w:color w:val="auto"/>
        </w:rPr>
      </w:pPr>
    </w:p>
    <w:p>
      <w:pPr>
        <w:sectPr>
          <w:pgSz w:w="11900" w:h="16838" w:orient="portrait"/>
          <w:cols w:equalWidth="0" w:num="2">
            <w:col w:w="1840" w:space="120"/>
            <w:col w:w="9280"/>
          </w:cols>
          <w:pgMar w:left="320" w:top="122" w:right="339" w:bottom="1440" w:gutter="0" w:footer="0" w:header="0"/>
          <w:type w:val="continuous"/>
        </w:sectPr>
      </w:pP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Virtually all of the Partnership’s contracts’ pricing provisions are tied to a market index.</w:t>
      </w:r>
    </w:p>
    <w:p>
      <w:pPr>
        <w:sectPr>
          <w:pgSz w:w="11900" w:h="16838" w:orient="portrait"/>
          <w:cols w:equalWidth="0" w:num="1">
            <w:col w:w="11240"/>
          </w:cols>
          <w:pgMar w:left="320" w:top="122" w:right="339"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 from oil, natural gas and natural gas liquids sales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Partnership’s oil, natural gas and natural gas liquids sales contracts are generally structured whereby the producer of the properties in which the Partnership owns a royalty interest sells the Partnership’s proportionate share of oil, natural gas and natural gas liquids production to the purchaser and the Partnership collects its percentage royalty based on the revenue generated by the sale of the oil, natural gas and natural gas liquids. In this scenario, the Partnership recognizes revenue when control transfers to the purchaser at the wellhead or at the gas processing facility based on the Partnership’s percentage ownership share of the revenue, net any deductions for gathering and transportation.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Partnership’s right to royalty income does not originate until production occurs and, therefore, is not considered to exist beyond each days’ production. Therefore, there are no remaining performance obligations under any of the Partnership’s royalty income contracts.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Partnership’s royalty income contracts, it would have the right to receive royalty income once production has occurred, at which point payment is unconditional. Accordingly, the Partnership’s royalty income contracts do not give rise to contract assets or liabilities under Accounting Standards Codification 606.</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Prior-period performance obligations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Partnership records revenue in the month production is delivered. However, settlement statements for certain natural gas and natural gas liquids sales may not be received for 30 to 90 days after the date production is delivered, and as a result, the Partnership is required to estimate the amount of royalty income to be received based upon the Partnership’s interest. The Partnership records the differences between its estimates and the actual amounts received for royalties in the month that payment is received from the producer. The Partnership has existing internal controls for its revenue estimation process and related accruals, and any identified differences between its revenue estimates and actual revenue received historically have not been significant. For the three months ended March 31, 2020, revenue recognized in the reporting period related to performance obligations satisfied in prior reporting periods was not material. The Partnership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Activity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2020, the Partnership acquired, from unrelated third-party sellers, mineral and royalty interests representing 4,948 gross (410 net royalty) acres in the Permian Basin for an aggregate purchase price of approximately $63.4 million, subject to post-closing adjustments and, as of March 31, 2020, had mineral and royalty interests representing 24,714 net royalty acres. The Partnership funded these acquisitions with cash on hand and borrowings under the Operating Company’s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Activity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2019, the Partnership acquired, from unrelated third-party sellers, mineral and royalty interests representing 627 net royalty acres for an aggregate purchase price of approximately $82.7 million and, as of March 31, 2019, had mineral and royalty interests representing 15,469 net royalty acres. The Partnership funded these acquisitions with cash on hand, a portion of the net proceeds from its February 2019 offering of common units and borrowings under the Operating Company’s revolving credit facility.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5.  OIL AND NATURAL GAS INTERESTS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7860" w:type="dxa"/>
            <w:vAlign w:val="bottom"/>
          </w:tcPr>
          <w:p>
            <w:pPr>
              <w:ind w:left="660"/>
              <w:spacing w:after="0"/>
              <w:rPr>
                <w:sz w:val="20"/>
                <w:szCs w:val="20"/>
                <w:color w:val="auto"/>
              </w:rPr>
            </w:pPr>
            <w:r>
              <w:rPr>
                <w:rFonts w:ascii="Arial" w:cs="Arial" w:eastAsia="Arial" w:hAnsi="Arial"/>
                <w:sz w:val="18"/>
                <w:szCs w:val="18"/>
                <w:color w:val="auto"/>
              </w:rPr>
              <w:t>Oil and natural gas interests include the following:</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8"/>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r>
      <w:tr>
        <w:trPr>
          <w:trHeight w:val="358"/>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gridSpan w:val="3"/>
          </w:tcPr>
          <w:p>
            <w:pPr>
              <w:jc w:val="right"/>
              <w:ind w:right="10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1,345,093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1,316,692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1,587,992</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1,551,767</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Gross oil and natural gas interests</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2,933,085</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2,868,459</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depletion and impairment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(351,116)</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(326,474)</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Oil and natural gas interests, net</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2,581,969</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2,541,985</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5,688</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5,688</w:t>
            </w:r>
          </w:p>
        </w:tc>
      </w:tr>
      <w:tr>
        <w:trPr>
          <w:trHeight w:val="297"/>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Property, net of accumulated depletion and impairment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2,587,657</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2,547,673</w:t>
            </w:r>
          </w:p>
        </w:tc>
      </w:tr>
      <w:tr>
        <w:trPr>
          <w:trHeight w:val="284"/>
        </w:trPr>
        <w:tc>
          <w:tcPr>
            <w:tcW w:w="7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Balance of costs not subject to depletion:</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Incurred in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54,062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Incurred in 2019</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827,680</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Incurred in 2018</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459,094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Incurred in 2017</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247,156</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not subject to depletion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1,587,992</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Costs associated with unevaluated interests are excluded from the full cost pool until a determination as to the existence of proved reserves can be made. The inclusion of the Partnership’s unevaluated costs into the amortization base is expected to be completed within five years.</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full cost method of accounting, the Partnership is required to perform a ceiling test each quarter. The test determines a limit, or ceiling, on the book value of the proved oil and gas interests. Net capitalized costs are limited to the lower of unamortized cost or the cost center ceiling. The cost center ceiling is defined as the sum of (a) estimated future net revenue including estimated expenditures (based on current costs) to be incurred in developing and producing the proved reserves, discounted at 10% per annum, from proved reserves, based on the trailing 12-month unweighted average of the first-day-of-the-month price, adjusted for any contract provisions or financial derivatives, if any, that hedge the Partnership’s oil and natural gas revenue, (b) the cost of interests not being amortized, if any, and (c) the lower of cost or market value of unproved interests included in the cost being amortized. If the net book value exceeds the ceiling, an impairment or non-cash write down is required.</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performing the ceiling test for the quarter ended March 31, 2020, the Partnership was not required to record an impairment. If the trailing 12-month commodity prices continue to fall as compared to the commodity prices used in prior quarters, the Partnership will have material write downs in subsequent quarters.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DEBT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0"/>
                <w:szCs w:val="20"/>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7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6"/>
        </w:trPr>
        <w:tc>
          <w:tcPr>
            <w:tcW w:w="7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27"/>
        </w:trPr>
        <w:tc>
          <w:tcPr>
            <w:tcW w:w="7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r>
      <w:tr>
        <w:trPr>
          <w:trHeight w:val="236"/>
        </w:trPr>
        <w:tc>
          <w:tcPr>
            <w:tcW w:w="7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80" w:type="dxa"/>
            <w:vAlign w:val="bottom"/>
            <w:gridSpan w:val="4"/>
          </w:tcPr>
          <w:p>
            <w:pPr>
              <w:jc w:val="right"/>
              <w:ind w:right="14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 Senior Notes due 2027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173,500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96,500</w:t>
            </w:r>
          </w:p>
        </w:tc>
      </w:tr>
      <w:tr>
        <w:trPr>
          <w:trHeight w:val="27"/>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Unamortized discount costs</w:t>
            </w:r>
          </w:p>
        </w:tc>
        <w:tc>
          <w:tcPr>
            <w:tcW w:w="3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(7,268)</w:t>
            </w:r>
          </w:p>
        </w:tc>
      </w:tr>
      <w:tr>
        <w:trPr>
          <w:trHeight w:val="27"/>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664,040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586,774</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2027 Senior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16, 2019, the Partnership completed an offering (the “Notes Offering”) of $500.0 million in aggregate principal amount of its 5.375% Senior Notes due 2027 (the “Notes”). The Partnership received net proceeds of approximately $490.0 million from the Notes Offering. The Partnership loaned the gross proceeds to the Operating Company. The Operating Company used the proceeds from the Notes Offering to pay down borrowings under its revolving credit facility.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Notes are senior unsecured obligations of the Partnership, initially are guaranteed on a senior unsecured basis by the Operating Company and pay interest semi-annually. Neither Diamondback nor the General Partner guarantee the Notes. In the future, each of the Partnership’s restricted subsidiaries that either (1) guarantees any of its or a guarantor’s other indebtedness or (2) is a domestic restricted subsidiary and is an obligor with respect to any indebtedness under any credit facility will be required to guarantee the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Intercompany Promissory Note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231F20"/>
        </w:rPr>
        <w:t>In connection with and upon closing of the Notes Offering, the Partnership loaned the gross proceeds from the Notes Offering to the Operating Company under the terms of that certain subordinated promissory note, dated as of October 16, 2019, by the Operating Company in favor of the Partnership (the “Intercompany Promissory Note”). The Intercompany Promissory Note requires the Operating Company to repay the underlying loan to the Partnership on the same terms and in the same amounts as the Notes and has the same maturity date, interest rate, change of control repurchase and redemption provisions. The Partnership’s right to receive payment under the Intercompany Promissory Note is contractually subordinated to the Operating Company’s guarantee of the Notes and is structurally subordinated to all of the Operating Company’s secured indebtedness (including all borrowings and other obligations under the Operating Company’s revolving credit facility) to the extent of the value of the collateral securing such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20, 2018, the Partnership, as guarantor, entered into an amended and restated credit agreement with the Operating Company, as borrower, Wells Fargo National Bank (“Wells Fargo”), as administrative agent, and the other lenders. The credit agreement, as amended to the date hereof, provides for a revolving credit facility in the maximum credit amount of $2.0 billion and a borrowing base based on the Operating Company’s oil and natural gas reserves and other factors (the ‘‘borrowing base’’) of $775.0 million, subject to scheduled semi-annual and other borrowing base redeterminations. The borrowing base is scheduled to be re-determined semi-annually with effective dates of May 1st and November 1st. In addition, the Operating Company and Wells Fargo each may request up to three interim redeterminations of the borrowing base during any 12-month period. As of March 31, 2020, the borrowing base was set at $775.0 million and the Operating Company had $173.5 million of outstanding borrowings and $601.5 million available for future borrowings under the Operating Company’s revolving credit facility. In connection with the regularly scheduled (semi-annual) spring 2020 redetermination, the administrative agent has recommended that the borrowing base be decreased to $580.0 million, which is expected to be effective mid May 2020. The decrease is subject to approval by the requisite lenders under the Operating Company’s revolving credit facility. Under the new expected borrowing base, the Operating Company would have had $406.5 million of availability for future borrowings under the revolving credit facility as of March 31, 2020.</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outstanding borrowings under the credit agreement bear interest at a rate elected by the Operating Company that is equal to an alternative base rate (which is equal to the greatest of the prime rate, the Federal Funds effective rate plus 0.50% and 3-month LIBOR plus 1.0%) or LIBOR, in each case plus the applicable margin. The applicable margin ranges from 0.75% to 1.75% per annum in the case of the alternative base rate and from 1.75% to 2.75% per annum in the case of LIBOR, in each case depending on the amount of loans and letters of credit outstanding in relation to the commitment, which is defined as the lesser of the maximum credit amount and the borrowing base. The Operating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of the assets of the Partnership and the Operating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14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140" w:type="dxa"/>
            <w:vAlign w:val="bottom"/>
            <w:tcBorders>
              <w:bottom w:val="single" w:sz="8" w:color="CCEEFF"/>
            </w:tcBorders>
            <w:shd w:val="clear" w:color="auto" w:fill="CCEEFF"/>
          </w:tcPr>
          <w:p>
            <w:pPr>
              <w:jc w:val="center"/>
              <w:ind w:left="159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140" w:type="dxa"/>
            <w:vAlign w:val="bottom"/>
          </w:tcPr>
          <w:p>
            <w:pPr>
              <w:jc w:val="center"/>
              <w:ind w:left="1590"/>
              <w:spacing w:after="0"/>
              <w:rPr>
                <w:sz w:val="20"/>
                <w:szCs w:val="20"/>
                <w:color w:val="auto"/>
              </w:rPr>
            </w:pPr>
            <w:r>
              <w:rPr>
                <w:rFonts w:ascii="Arial" w:cs="Arial" w:eastAsia="Arial" w:hAnsi="Arial"/>
                <w:sz w:val="18"/>
                <w:szCs w:val="18"/>
                <w:color w:val="auto"/>
                <w:w w:val="89"/>
              </w:rPr>
              <w:t>Not less than 1.0 to 1.0</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March 31, 2020, the Operating Company was in compliance with the financial maintenance covenants under its credit agreement. 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the credit agreement generally may be amended with the consent of the lenders holding a majority of the outstanding loans or commitments to lend.</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second amended and restated agreement of limited partnership, dated as of May 9, 2018, as amended as of May 10, 2018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the Partnership’s behalf and expenses allocated to the General Partner by its affiliates. The General Partner is entitled to determine the expenses that are allocable to the Partnership. For the three months ended March 31, 2020 and 2019, the General Partner allocated $0.9 million and $0.6 million, respectively, to the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connection with the closing of the IPO, the Partnership entered into a tax sharing agreement with Diamondback, dated June 23, 2014, pursuant to which the Partnership agreed to reimburse Diamondback for its share of state and local income and other taxes for which the Partnership’s results are included in a combined or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combined or consolidated group, of 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 For the three months ended March 31, 2020, the Partnership did not accrue any state income tax expense. For the three months ended March 31, 2019, the Partnership accrued state income tax expense of $47,364 for its share of Texas margin tax for which the Partnership’s results are included in a combined tax return filed by Diamondback.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Bonus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2020, Diamondback, either directly or through its consolidated subsidiaries, paid the Partnership $0.3 million in lease bonus payments to extend the term of one lease and $1.3 million in lease bonus payments for one new lease. During the three months ended March 31, 2019, Diamondback paid the Partnership $198 in lease bonus payments to extend the term of one lease and $3,101 in lease bonus payments for two new leases.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Use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Diamondback periodically pays the Partnership for surface use charges and right of way easements related to properties that Diamondback leases from the Partnership. During the three months ended March 31, 2020 and 2019, Diamondback paid the Partnership $0.1 million and less than $0.1 million, respectively.</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UNIT-BASED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IPO, the board of directors of the General Partner adopted the Viper Energy Partners LP Long Term Incentive Plan (“LTIP”), effective June 17, 2014, for employees, officers, consultants and directors of the General Partner and any of its affiliates, including Diamondback, who perform services for the Partnership. The LTIP provides for the grant of unit options, unit appreciation rights, restricted units, unit awards, phantom units, distribution equivalent rights, cash awards, performance awards, other unit-based awards and substitute awards. As of March 31, 2020, a total of 8,867,283 common units had been reserved for issuance pursuant to the LTIP. Common units that are cancelled, forfeited or withheld to satisfy exercise prices or tax withholding obligations will be available for delivery pursuant to other awards. The LTIP is administered by the board of directors of the General Partner or a committee thereof.</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2020, the Partnership incurred $0.4 million of unit–based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LTIP, the board of directors of the General Partner is authorized to issue phantom units to eligible employees and non-employee directors. The Partnership estimates the fair value of phantom units as the closing price of the Partnership’s common units on the grant date of the award, which is expensed over the applicable vesting period. Upon vesting the phantom units entitle the recipient to one common unit of the Partnership for each phantom unit.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The following table presents the phantom unit activity under the LTIP for the three months ended March 31, 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0"/>
        </w:trPr>
        <w:tc>
          <w:tcPr>
            <w:tcW w:w="6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6980" w:type="dxa"/>
            <w:vAlign w:val="bottom"/>
          </w:tcPr>
          <w:p>
            <w:pPr>
              <w:spacing w:after="0"/>
              <w:rPr>
                <w:sz w:val="18"/>
                <w:szCs w:val="18"/>
                <w:color w:val="auto"/>
              </w:rPr>
            </w:pPr>
          </w:p>
        </w:tc>
        <w:tc>
          <w:tcPr>
            <w:tcW w:w="2020" w:type="dxa"/>
            <w:vAlign w:val="bottom"/>
          </w:tcPr>
          <w:p>
            <w:pPr>
              <w:jc w:val="right"/>
              <w:ind w:right="570"/>
              <w:spacing w:after="0"/>
              <w:rPr>
                <w:sz w:val="20"/>
                <w:szCs w:val="20"/>
                <w:color w:val="auto"/>
              </w:rPr>
            </w:pPr>
            <w:r>
              <w:rPr>
                <w:rFonts w:ascii="Arial" w:cs="Arial" w:eastAsia="Arial" w:hAnsi="Arial"/>
                <w:sz w:val="18"/>
                <w:szCs w:val="18"/>
                <w:b w:val="1"/>
                <w:bCs w:val="1"/>
                <w:color w:val="auto"/>
              </w:rPr>
              <w:t>Phantom</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6980" w:type="dxa"/>
            <w:vAlign w:val="bottom"/>
          </w:tcPr>
          <w:p>
            <w:pPr>
              <w:spacing w:after="0"/>
              <w:rPr>
                <w:sz w:val="20"/>
                <w:szCs w:val="20"/>
                <w:color w:val="auto"/>
              </w:rPr>
            </w:pPr>
          </w:p>
        </w:tc>
        <w:tc>
          <w:tcPr>
            <w:tcW w:w="2020" w:type="dxa"/>
            <w:vAlign w:val="bottom"/>
          </w:tcPr>
          <w:p>
            <w:pPr>
              <w:jc w:val="right"/>
              <w:ind w:right="710"/>
              <w:spacing w:after="0"/>
              <w:rPr>
                <w:sz w:val="20"/>
                <w:szCs w:val="20"/>
                <w:color w:val="auto"/>
              </w:rPr>
            </w:pPr>
            <w:r>
              <w:rPr>
                <w:rFonts w:ascii="Arial" w:cs="Arial" w:eastAsia="Arial" w:hAnsi="Arial"/>
                <w:sz w:val="18"/>
                <w:szCs w:val="18"/>
                <w:b w:val="1"/>
                <w:bCs w:val="1"/>
                <w:color w:val="auto"/>
              </w:rPr>
              <w:t>Units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69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95,248</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Vested</w:t>
            </w:r>
          </w:p>
        </w:tc>
        <w:tc>
          <w:tcPr>
            <w:tcW w:w="2020" w:type="dxa"/>
            <w:vAlign w:val="bottom"/>
          </w:tcPr>
          <w:p>
            <w:pPr>
              <w:jc w:val="right"/>
              <w:spacing w:after="0"/>
              <w:rPr>
                <w:sz w:val="20"/>
                <w:szCs w:val="20"/>
                <w:color w:val="auto"/>
              </w:rPr>
            </w:pPr>
            <w:r>
              <w:rPr>
                <w:rFonts w:ascii="Arial" w:cs="Arial" w:eastAsia="Arial" w:hAnsi="Arial"/>
                <w:sz w:val="18"/>
                <w:szCs w:val="18"/>
                <w:color w:val="auto"/>
              </w:rPr>
              <w:t>(42,814)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23.24</w:t>
            </w:r>
          </w:p>
        </w:tc>
      </w:tr>
      <w:tr>
        <w:trPr>
          <w:trHeight w:val="27"/>
        </w:trPr>
        <w:tc>
          <w:tcPr>
            <w:tcW w:w="69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2020</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52,434</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w:t>
            </w:r>
          </w:p>
        </w:tc>
      </w:tr>
      <w:tr>
        <w:trPr>
          <w:trHeight w:val="20"/>
        </w:trPr>
        <w:tc>
          <w:tcPr>
            <w:tcW w:w="69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three months ended March 31, 2020 was $1.0 million. As of March 31, 2020, the unrecognized compensation cost related to unvested phantom units was $1.1 million. Such cost is expected to be recognized over a weighted-average period of 1.41 years.</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three months ended March 31, 2020, the Partnership modified certain of the phantom units to include distribution equivalent rights during the vesting period. This modification effected 21 awards and resulted in no incremental compensation costs to be recognized.</w:t>
      </w:r>
    </w:p>
    <w:p>
      <w:pPr>
        <w:spacing w:after="0" w:line="1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UNITHOLDERS’ EQUITY AND PARTNERSHIP DISTRIBUTIONS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 has general partner and limited partner units. At March 31, 2020, the Partnership had a total of 67,831,342 common units issued and outstanding and 90,709,946 Class B units issued and outstanding, of which 731,500 common units and 90,709,946 Class B units were owned by Diamondback, representing approximately 58% of the total Partnership’s units outstanding. The Operating Company units and the Partnership’s Class B units owned by Diamondback are exchangeable from time to time</w:t>
      </w:r>
    </w:p>
    <w:p>
      <w:pPr>
        <w:sectPr>
          <w:pgSz w:w="11900" w:h="16838" w:orient="portrait"/>
          <w:cols w:equalWidth="0" w:num="1">
            <w:col w:w="11240"/>
          </w:cols>
          <w:pgMar w:left="320" w:top="122"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Partnership’s common units (that is, one Operating Company unit and one Partnership Class B unit, together, will be exchangeable for one Partnership common unit).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ind w:left="660"/>
              <w:spacing w:after="0"/>
              <w:rPr>
                <w:sz w:val="20"/>
                <w:szCs w:val="20"/>
                <w:color w:val="auto"/>
              </w:rPr>
            </w:pPr>
            <w:r>
              <w:rPr>
                <w:rFonts w:ascii="Arial" w:cs="Arial" w:eastAsia="Arial" w:hAnsi="Arial"/>
                <w:sz w:val="18"/>
                <w:szCs w:val="18"/>
                <w:color w:val="auto"/>
              </w:rPr>
              <w:t>The following table summarizes changes in the number of the Partnership’s common units:</w:t>
            </w:r>
          </w:p>
        </w:tc>
        <w:tc>
          <w:tcPr>
            <w:tcW w:w="2140" w:type="dxa"/>
            <w:vAlign w:val="bottom"/>
          </w:tcPr>
          <w:p>
            <w:pPr>
              <w:spacing w:after="0"/>
              <w:rPr>
                <w:sz w:val="20"/>
                <w:szCs w:val="20"/>
                <w:color w:val="auto"/>
              </w:rPr>
            </w:pPr>
          </w:p>
        </w:tc>
      </w:tr>
      <w:tr>
        <w:trPr>
          <w:trHeight w:val="378"/>
        </w:trPr>
        <w:tc>
          <w:tcPr>
            <w:tcW w:w="9100" w:type="dxa"/>
            <w:vAlign w:val="bottom"/>
          </w:tcPr>
          <w:p>
            <w:pPr>
              <w:spacing w:after="0"/>
              <w:rPr>
                <w:sz w:val="24"/>
                <w:szCs w:val="24"/>
                <w:color w:val="auto"/>
              </w:rPr>
            </w:pPr>
          </w:p>
        </w:tc>
        <w:tc>
          <w:tcPr>
            <w:tcW w:w="2140" w:type="dxa"/>
            <w:vAlign w:val="bottom"/>
          </w:tcPr>
          <w:p>
            <w:pPr>
              <w:jc w:val="right"/>
              <w:ind w:right="390"/>
              <w:spacing w:after="0"/>
              <w:rPr>
                <w:sz w:val="20"/>
                <w:szCs w:val="20"/>
                <w:color w:val="auto"/>
              </w:rPr>
            </w:pPr>
            <w:r>
              <w:rPr>
                <w:rFonts w:ascii="Arial" w:cs="Arial" w:eastAsia="Arial" w:hAnsi="Arial"/>
                <w:sz w:val="18"/>
                <w:szCs w:val="18"/>
                <w:b w:val="1"/>
                <w:bCs w:val="1"/>
                <w:color w:val="auto"/>
              </w:rPr>
              <w:t>Common Units</w:t>
            </w:r>
          </w:p>
        </w:tc>
      </w:tr>
      <w:tr>
        <w:trPr>
          <w:trHeight w:val="27"/>
        </w:trPr>
        <w:tc>
          <w:tcPr>
            <w:tcW w:w="9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67,805,707</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Common units vested and issued under the LTIP</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25,635</w:t>
            </w:r>
          </w:p>
        </w:tc>
      </w:tr>
      <w:tr>
        <w:trPr>
          <w:trHeight w:val="27"/>
        </w:trPr>
        <w:tc>
          <w:tcPr>
            <w:tcW w:w="9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67,831,342</w:t>
            </w:r>
          </w:p>
        </w:tc>
      </w:tr>
      <w:tr>
        <w:trPr>
          <w:trHeight w:val="20"/>
        </w:trPr>
        <w:tc>
          <w:tcPr>
            <w:tcW w:w="9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had a total of 90,709,946 Class B units outstanding as of March 31, 2020 and December 31, 2019, respectively.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2019, the Partnership completed an underwritten public offering of 10,925,000 common units, which included 1,425,000 common units issued pursuant to an option to purchase additional common units granted to the underwriters. Following this offering, Diamondback owned approximately 54% of the total Partnership units then outstanding. The Partnership received net proceeds from this offering of approximately $340.6 million, after deducting underwriting discounts and commissions and offering expenses. The Partnership used the net proceeds to purchase units of the Operating Company. The Operating Company in turn used the net proceeds to repay a portion of the outstanding borrowings under the revolving credit facility and finance acquisitions during the period.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of the General Partner has adopted a policy for the Partnership to distribute on a quarterly basis all available cash it receives from the Operating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Amount per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Common Unit</w:t>
            </w:r>
          </w:p>
        </w:tc>
        <w:tc>
          <w:tcPr>
            <w:tcW w:w="1780" w:type="dxa"/>
            <w:vAlign w:val="bottom"/>
            <w:gridSpan w:val="2"/>
          </w:tcPr>
          <w:p>
            <w:pPr>
              <w:ind w:left="240"/>
              <w:spacing w:after="0"/>
              <w:rPr>
                <w:sz w:val="20"/>
                <w:szCs w:val="20"/>
                <w:color w:val="auto"/>
              </w:rPr>
            </w:pPr>
            <w:r>
              <w:rPr>
                <w:rFonts w:ascii="Arial" w:cs="Arial" w:eastAsia="Arial" w:hAnsi="Arial"/>
                <w:sz w:val="18"/>
                <w:szCs w:val="18"/>
                <w:color w:val="auto"/>
              </w:rPr>
              <w:t>Declaration Date</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Unitholder Record Date</w:t>
            </w:r>
          </w:p>
        </w:tc>
        <w:tc>
          <w:tcPr>
            <w:tcW w:w="1900" w:type="dxa"/>
            <w:vAlign w:val="bottom"/>
          </w:tcPr>
          <w:p>
            <w:pPr>
              <w:ind w:left="440"/>
              <w:spacing w:after="0"/>
              <w:rPr>
                <w:sz w:val="20"/>
                <w:szCs w:val="20"/>
                <w:color w:val="auto"/>
              </w:rPr>
            </w:pPr>
            <w:r>
              <w:rPr>
                <w:rFonts w:ascii="Arial" w:cs="Arial" w:eastAsia="Arial" w:hAnsi="Arial"/>
                <w:sz w:val="18"/>
                <w:szCs w:val="18"/>
                <w:color w:val="auto"/>
              </w:rPr>
              <w:t>Payment Date</w:t>
            </w:r>
          </w:p>
        </w:tc>
      </w:tr>
      <w:tr>
        <w:trPr>
          <w:trHeight w:val="27"/>
        </w:trPr>
        <w:tc>
          <w:tcPr>
            <w:tcW w:w="3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Q4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February 7, 2020</w:t>
            </w:r>
          </w:p>
        </w:tc>
        <w:tc>
          <w:tcPr>
            <w:tcW w:w="2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7"/>
              </w:rPr>
              <w:t>February 21, 2020</w:t>
            </w:r>
          </w:p>
        </w:tc>
        <w:tc>
          <w:tcPr>
            <w:tcW w:w="19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February 28, 2020</w:t>
            </w: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 quarter. Available cash for each quarter will be determined by the board of directors of the General Partner following the end of such quarter. Available cash for each quarter will generally equal Adjusted EBITDA reduced for cash needed for debt service and other contractual obligations and fixed charges and reserves for future operating or capital needs that the board of directors of the General Partner deems necessary or appropriate, if any.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to LLC Agreement - Tax Allocation Placeholder</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March 30, 2020, the Partnership, as managing member of the Operating Company, entered into the First Amendment to Second Amended and Restated Limited Liability Company Agreement of the Operating Company (the “Amendment”) to extend the remaining period of special allocations to Diamondback of the Operating Company’s income and gains over losses and deductions (but before depletion) from two to four years.</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EARNINGS PER UNIT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net (loss) income per common unit on the consolidated statements of operations is based on the net (loss) income of the Partnership for the three months ended March 31, 2020 and 2019, since this is the amount of net (loss) income that is attributable to the Partnership’s common units.</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Partnership’s net (loss) income is allocated wholly to the common units. Payments made to the Partnership’s unitholders are determined in relation to the cash distribution policy described in Note 9—Unitholders' Equity and Partnership Distributions.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Basic net (loss) income per common unit is calculated by dividing net (loss) income by the weighted-average number of common units outstanding during the period. Diluted net (loss) income per common unit gives effect, when applicable, to unvested common units granted under the LTIP.</w:t>
      </w:r>
    </w:p>
    <w:p>
      <w:pPr>
        <w:spacing w:after="0" w:line="66"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22860</wp:posOffset>
            </wp:positionV>
            <wp:extent cx="15684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760" w:type="dxa"/>
            <w:vAlign w:val="bottom"/>
          </w:tcPr>
          <w:p>
            <w:pPr>
              <w:spacing w:after="0"/>
              <w:rPr>
                <w:sz w:val="18"/>
                <w:szCs w:val="18"/>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(In thousands, except per unit</w:t>
            </w:r>
          </w:p>
        </w:tc>
        <w:tc>
          <w:tcPr>
            <w:tcW w:w="0" w:type="dxa"/>
            <w:vAlign w:val="bottom"/>
          </w:tcPr>
          <w:p>
            <w:pPr>
              <w:spacing w:after="0"/>
              <w:rPr>
                <w:sz w:val="1"/>
                <w:szCs w:val="1"/>
                <w:color w:val="auto"/>
              </w:rPr>
            </w:pPr>
          </w:p>
        </w:tc>
      </w:tr>
      <w:tr>
        <w:trPr>
          <w:trHeight w:val="234"/>
        </w:trPr>
        <w:tc>
          <w:tcPr>
            <w:tcW w:w="8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(142,169)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33,779</w:t>
            </w:r>
          </w:p>
        </w:tc>
        <w:tc>
          <w:tcPr>
            <w:tcW w:w="0" w:type="dxa"/>
            <w:vAlign w:val="bottom"/>
          </w:tcPr>
          <w:p>
            <w:pPr>
              <w:spacing w:after="0"/>
              <w:rPr>
                <w:sz w:val="1"/>
                <w:szCs w:val="1"/>
                <w:color w:val="auto"/>
              </w:rPr>
            </w:pPr>
          </w:p>
        </w:tc>
      </w:tr>
      <w:tr>
        <w:trPr>
          <w:trHeight w:val="270"/>
        </w:trPr>
        <w:tc>
          <w:tcPr>
            <w:tcW w:w="87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Less: net income allocated to participating securities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(142,189)</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33,737</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67,822</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55,448</w:t>
            </w:r>
          </w:p>
        </w:tc>
        <w:tc>
          <w:tcPr>
            <w:tcW w:w="0" w:type="dxa"/>
            <w:vAlign w:val="bottom"/>
          </w:tcPr>
          <w:p>
            <w:pPr>
              <w:spacing w:after="0"/>
              <w:rPr>
                <w:sz w:val="1"/>
                <w:szCs w:val="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units issuable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97"/>
        </w:trPr>
        <w:tc>
          <w:tcPr>
            <w:tcW w:w="8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67,823</w:t>
            </w: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55,475</w:t>
            </w:r>
          </w:p>
        </w:tc>
        <w:tc>
          <w:tcPr>
            <w:tcW w:w="0" w:type="dxa"/>
            <w:vAlign w:val="bottom"/>
          </w:tcPr>
          <w:p>
            <w:pPr>
              <w:spacing w:after="0"/>
              <w:rPr>
                <w:sz w:val="1"/>
                <w:szCs w:val="1"/>
                <w:color w:val="auto"/>
              </w:rPr>
            </w:pPr>
          </w:p>
        </w:tc>
      </w:tr>
      <w:tr>
        <w:trPr>
          <w:trHeight w:val="237"/>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common unit,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Net (loss) income per common unit,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Distribution equivalent rights granted to employees are considered participating securities.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 there were 18,169 common units that were not included in the computation of diluted earnings per common unit and for the three months ended March 31, 2019, there were no common units that were not included in the computation of diluted earnings per common unit because their inclusion would have been anti-dilutive for the periods presented but could potentially dilute basic earnings per common unit in future periods.</w:t>
      </w:r>
    </w:p>
    <w:p>
      <w:pPr>
        <w:spacing w:after="0" w:line="183"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Partnership’s effective income tax rates were 765.3% and (87.2)% for the three months ended March 31, 2020 and 2019, respectively. Total income tax expense for the three months ended March 31, 2020 differed from amounts computed by applying the United States federal statutory tax rate to pre-tax income for the period primarily due to net income attributable to the non-controlling interest and the impact of recording a valuation allowance on the Partnership’s deferred tax assets. Total income tax benefit for the three months ended March 31, 2019 differed from amounts computed by applying the United States federal statutory rate to pre-tax income for the period primarily due to net income attributable to the non-controlling interest and the revision of estimated deferred taxes recognized as a result of the Partnership’s change in tax status.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three months ended March 31, 2020, the Partnership recorded a discrete income tax expense of approximately $142.5 million related to application of a full valuation allowance on the Partnership’s beginning-of-the-year deferred tax assets, which consist primarily of its investment in the Operating Company and federal net operating loss carryforwards. A valuation allowance was also applied against the year-to-date tax benefit resulting from the Partnership’s projected pretax loss for the year. The determination to record a valuation allowance was based on its assessment of all available evidence, both positive and negative, supporting realizability of the Partnership’s deferred tax assets, as required by applicable financial accounting standards. In light of those criteria for recognizing the tax benefit of deferred tax assets, the Partnership’s assessment resulted in recording a full valuation allowance against its deferred tax assets as of March 31, 2020.</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three months ended March 31, 2019, the Partnership recorded a discrete income tax benefit of approximately $35.2 million related to the revision of estimated deferred taxes on the Partnership’s investment in the Operating Company arising from the change in the Partnership’s federal tax status. Under federal income tax provisions applicable to the Partnership’s change in tax status, the Partnership’s basis for federal income tax purposes in its interest in the Operating Company consisted primarily of the sum of the Partnership’s unitholders’ tax basis in their interests in the Partnership on the date of the tax status change. The Partnership prepared its best estimate of the resultant tax basis in the Operating Company for purposes of the Partnership’s income tax provision for the period of the change, but information necessary for the partnership to finalize its determination was not available until unitholders’ tax basis information was fully reported and the Partnership finalized its federal income tax computations for 2018. Based on information available as of March 31, 2019, the Partnership revised its estimate of the difference between its</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basis and its basis for financial accounting purposes in the Operating Company on the date of the tax status change, resulting in deferred income tax benefit of $35.2 million included in the Partnership’s income tax provision for the three months ended March 31, 2019.</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Coronavirus Aid, Relief, and Economic Security Act (“CARES Act”) was enacted on March 27, 2020. This legislation included a number of provisions applicable to U.S. income taxes for corporations, including providing for carryback of certain net operating losses, accelerated refund of minimum tax credits, and modifications to the rules limiting the deductibility of business interest expense. The Partnership has considered the impact of this legislation in the period of enactment and concluded there was not a material impact to the Partnership’s current or deferred income tax balances.</w:t>
      </w:r>
    </w:p>
    <w:p>
      <w:pPr>
        <w:spacing w:after="0" w:line="1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DERIVATIVES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combined consolidated statements of operations under the caption “Loss on derivative instruments, net.”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Commodity Contracts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 uses fixed price swap contracts, fixed price basis swap contracts and costless collars with corresponding put and call options to reduce price volatility associated with certain of its royalty income. With respect to the Partnership’s fixed price swap contracts and fixed price basis swap contracts, the counterparty is required to make a payment to the Partnership if the settlement price for any settlement period is less than the swap or basis price, and the Partnership is required to make a payment to the counterparty if the settlement price for any settlement period is greater than the swap or basis price. The Partnership has fixed price basis swaps for the spread between the Cushing crude oil price and the Midland crude oil price as well as the spread between the Henry Hub natural gas price and the Waha Hub natural gas price.</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crude oil derivative settlements based on New York Mercantile Exchange West Texas Intermediate pricing (Cushing and Midland-Cushing) and with natural gas derivative settlements based on the New York Mercantile Exchange Henry Hub and Waha Hub pricing.</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participants in the secured second amended and restated credit agreement, which is secured by substantially all of the assets of the guarantor subsidiaries; therefore, the Partnership is not required to post any collateral. The Partnership does not require collateral from its counterparties. The Partnership has entered into derivative instruments only with counterparties that are also lenders in our credit facility and have been deemed an acceptable credit risk.</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2020, the Partnership had the following outstanding derivative contracts.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59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8"/>
        </w:trPr>
        <w:tc>
          <w:tcPr>
            <w:tcW w:w="43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Volume</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Fixed Price Swap</w:t>
            </w:r>
          </w:p>
        </w:tc>
      </w:tr>
      <w:tr>
        <w:trPr>
          <w:trHeight w:val="234"/>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Swaps</w:t>
            </w:r>
          </w:p>
        </w:tc>
        <w:tc>
          <w:tcPr>
            <w:tcW w:w="388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(Bbls/MMBtu)</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(per Bbl/MMBtu)</w:t>
            </w:r>
          </w:p>
        </w:tc>
      </w:tr>
      <w:tr>
        <w:trPr>
          <w:trHeight w:val="27"/>
        </w:trPr>
        <w:tc>
          <w:tcPr>
            <w:tcW w:w="434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 Cushing</w:t>
            </w:r>
          </w:p>
        </w:tc>
        <w:tc>
          <w:tcPr>
            <w:tcW w:w="5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Oil Basis Swaps - WTI (Midland-Cushing)</w:t>
            </w:r>
          </w:p>
        </w:tc>
        <w:tc>
          <w:tcPr>
            <w:tcW w:w="5340" w:type="dxa"/>
            <w:vAlign w:val="bottom"/>
            <w:gridSpan w:val="2"/>
          </w:tcPr>
          <w:p>
            <w:pPr>
              <w:jc w:val="right"/>
              <w:ind w:right="30"/>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4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Basis Swaps - Waha Hub</w:t>
            </w:r>
          </w:p>
        </w:tc>
        <w:tc>
          <w:tcPr>
            <w:tcW w:w="5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6,875,000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648"/>
        </w:trPr>
        <w:tc>
          <w:tcPr>
            <w:tcW w:w="4340" w:type="dxa"/>
            <w:vAlign w:val="bottom"/>
          </w:tcPr>
          <w:p>
            <w:pPr>
              <w:spacing w:after="0"/>
              <w:rPr>
                <w:sz w:val="24"/>
                <w:szCs w:val="24"/>
                <w:color w:val="auto"/>
              </w:rPr>
            </w:pPr>
          </w:p>
        </w:tc>
        <w:tc>
          <w:tcPr>
            <w:tcW w:w="3880" w:type="dxa"/>
            <w:vAlign w:val="bottom"/>
          </w:tcPr>
          <w:p>
            <w:pPr>
              <w:jc w:val="right"/>
              <w:ind w:right="2410"/>
              <w:spacing w:after="0"/>
              <w:rPr>
                <w:sz w:val="20"/>
                <w:szCs w:val="20"/>
                <w:color w:val="auto"/>
              </w:rPr>
            </w:pPr>
            <w:r>
              <w:rPr>
                <w:rFonts w:ascii="Arial" w:cs="Arial" w:eastAsia="Arial" w:hAnsi="Arial"/>
                <w:sz w:val="18"/>
                <w:szCs w:val="18"/>
                <w:color w:val="auto"/>
              </w:rPr>
              <w:t>15</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Collars - WTI (Cushing)</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7"/>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Volume (Bbls)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3,650,000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Floor price (per Bbl)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Ceiling price (per Bbl)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43.05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tables present the gross amounts of recognized derivative assets and liabilities, the amounts offset under master netting arrangements with counterparties and the resulting net amounts presented in the Partnership’s consolidated balance sheets as of March 31, 2020 and 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 2020</w:t>
            </w:r>
          </w:p>
        </w:tc>
        <w:tc>
          <w:tcPr>
            <w:tcW w:w="220" w:type="dxa"/>
            <w:vAlign w:val="bottom"/>
          </w:tcPr>
          <w:p>
            <w:pPr>
              <w:spacing w:after="0"/>
              <w:rPr>
                <w:sz w:val="20"/>
                <w:szCs w:val="20"/>
                <w:color w:val="auto"/>
              </w:rPr>
            </w:pPr>
          </w:p>
        </w:tc>
        <w:tc>
          <w:tcPr>
            <w:tcW w:w="1820" w:type="dxa"/>
            <w:vAlign w:val="bottom"/>
          </w:tcPr>
          <w:p>
            <w:pPr>
              <w:ind w:left="8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3"/>
          </w:tcPr>
          <w:p>
            <w:pPr>
              <w:spacing w:after="0"/>
              <w:rPr>
                <w:sz w:val="2"/>
                <w:szCs w:val="2"/>
                <w:color w:val="auto"/>
              </w:rPr>
            </w:pPr>
          </w:p>
        </w:tc>
      </w:tr>
      <w:tr>
        <w:trPr>
          <w:trHeight w:val="237"/>
        </w:trPr>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80" w:type="dxa"/>
            <w:vAlign w:val="bottom"/>
            <w:gridSpan w:val="3"/>
          </w:tcPr>
          <w:p>
            <w:pPr>
              <w:ind w:left="122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assets presented in the Consolidated Balance Sheet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Amounts netted in the Consolidated Balance Sheet</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(24,267)</w:t>
            </w:r>
          </w:p>
        </w:tc>
        <w:tc>
          <w:tcPr>
            <w:tcW w:w="220" w:type="dxa"/>
            <w:vAlign w:val="bottom"/>
          </w:tcPr>
          <w:p>
            <w:pPr>
              <w:spacing w:after="0"/>
              <w:rPr>
                <w:sz w:val="21"/>
                <w:szCs w:val="21"/>
                <w:color w:val="auto"/>
              </w:rPr>
            </w:pP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amounts of assets presented in the Consolidated Balance Sheet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1"/>
        </w:trPr>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liabilities presented in the Consolidated Balance Sheet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Amounts netted in the Consolidated Balance Sheet</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(24,267)</w:t>
            </w:r>
          </w:p>
        </w:tc>
        <w:tc>
          <w:tcPr>
            <w:tcW w:w="220" w:type="dxa"/>
            <w:vAlign w:val="bottom"/>
          </w:tcPr>
          <w:p>
            <w:pPr>
              <w:spacing w:after="0"/>
              <w:rPr>
                <w:sz w:val="21"/>
                <w:szCs w:val="21"/>
                <w:color w:val="auto"/>
              </w:rPr>
            </w:pP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amounts of liabilities presented in the Consolidated Balance Sheet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Partnership’s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0"/>
                <w:szCs w:val="20"/>
                <w:color w:val="auto"/>
              </w:rPr>
            </w:pPr>
          </w:p>
        </w:tc>
        <w:tc>
          <w:tcPr>
            <w:tcW w:w="1740" w:type="dxa"/>
            <w:vAlign w:val="bottom"/>
          </w:tcPr>
          <w:p>
            <w:pPr>
              <w:ind w:left="6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3"/>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3"/>
          </w:tcPr>
          <w:p>
            <w:pPr>
              <w:ind w:left="114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174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7,362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derivative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 of the Partnership’s derivatives have been designated as hedges. As such, all changes in fair value are immediately recognized in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gains and losses on derivative instruments included in the consolidated statements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0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6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6"/>
        </w:trPr>
        <w:tc>
          <w:tcPr>
            <w:tcW w:w="78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6"/>
        </w:trPr>
        <w:tc>
          <w:tcPr>
            <w:tcW w:w="7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4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w w:val="93"/>
              </w:rPr>
              <w:t>(in thousands)</w:t>
            </w:r>
          </w:p>
        </w:tc>
        <w:tc>
          <w:tcPr>
            <w:tcW w:w="36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78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Change in fair value of open non-hedge derivative instruments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(7,489)</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settlement of non-hedge derivative instruments</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57"/>
        </w:trPr>
        <w:tc>
          <w:tcPr>
            <w:tcW w:w="7860" w:type="dxa"/>
            <w:vAlign w:val="bottom"/>
          </w:tcPr>
          <w:p>
            <w:pPr>
              <w:ind w:left="280"/>
              <w:spacing w:after="0"/>
              <w:rPr>
                <w:sz w:val="20"/>
                <w:szCs w:val="20"/>
                <w:color w:val="auto"/>
              </w:rPr>
            </w:pPr>
            <w:r>
              <w:rPr>
                <w:rFonts w:ascii="Arial" w:cs="Arial" w:eastAsia="Arial" w:hAnsi="Arial"/>
                <w:sz w:val="18"/>
                <w:szCs w:val="18"/>
                <w:color w:val="auto"/>
              </w:rPr>
              <w:t>Loss on derivative instruments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(7,942)</w:t>
            </w: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assets and liabilities are reported at fair value on a recurring basis, including the Partnership’s derivative instruments and cost method investment. The investment is a Level 1 classification in the fair value hierarchy. The fair values of the Partnership’s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March 31, 2020 and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March 31, 2020</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Level 1</w:t>
            </w:r>
          </w:p>
        </w:tc>
        <w:tc>
          <w:tcPr>
            <w:tcW w:w="28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Level 2</w:t>
            </w:r>
          </w:p>
        </w:tc>
        <w:tc>
          <w:tcPr>
            <w:tcW w:w="20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Level 1</w:t>
            </w:r>
          </w:p>
        </w:tc>
        <w:tc>
          <w:tcPr>
            <w:tcW w:w="20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Pr>
          <w:p>
            <w:pPr>
              <w:spacing w:after="0"/>
              <w:rPr>
                <w:sz w:val="20"/>
                <w:szCs w:val="20"/>
                <w:color w:val="auto"/>
              </w:rPr>
            </w:pP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Investment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864"/>
        </w:trPr>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4"/>
          </w:tcPr>
          <w:p>
            <w:pPr>
              <w:ind w:left="90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0"/>
                <w:szCs w:val="20"/>
                <w:color w:val="auto"/>
              </w:rPr>
            </w:pPr>
          </w:p>
        </w:tc>
        <w:tc>
          <w:tcPr>
            <w:tcW w:w="308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Carrying Value</w:t>
            </w:r>
          </w:p>
        </w:tc>
        <w:tc>
          <w:tcPr>
            <w:tcW w:w="3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173,500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173,500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96,500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96,500</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490,540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420,150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490,274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521,100</w:t>
            </w:r>
          </w:p>
        </w:tc>
      </w:tr>
    </w:tbl>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Senior Notes was determined using the March 31, 2020 quoted market price, a Level 1 classification in the fair value hierarchy.</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Partnership is a party to various legal proceedings, disputes and claims from time to time arising in the course of its business, including those that arise from interpretation of federal and state laws and regulations affecting the crude oil and natural gas industry. These proceedings, disputes and claims may include differing interpretations as to the prices at which crude oil and natural gas sales may be made, the prices at which royalty owners may be paid for production from their leases, title claims, environmental issues and other matters. While the ultimate outcome of the pending proceedings, disputes or claims, and any resulting impact on the Partnership, cannot be predicted with certainty, the Partnership believes that none of these matters, if ultimately decided adversely, will have a material adverse effect on the Partnership’s financial condition, cash flows or results of operations.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162" w:lineRule="exact"/>
        <w:rPr>
          <w:sz w:val="20"/>
          <w:szCs w:val="20"/>
          <w:color w:val="auto"/>
        </w:rPr>
      </w:pPr>
    </w:p>
    <w:p>
      <w:pPr>
        <w:ind w:left="660" w:right="8860" w:hanging="652"/>
        <w:spacing w:after="0" w:line="532" w:lineRule="auto"/>
        <w:tabs>
          <w:tab w:leader="none" w:pos="417"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Distribution</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30, 2020, the board of directors of the General Partner approved a cash distribution for the first quarter of 2020 of $0.10 per common unit, payable on May 21, 2020, to eligible unitholders of record at the close of business on May 14, 2020. This distribution represents 25% of total cash available for distribution with the remaining cash flow expected to be retained to strengthen the Partnership’s balance sheet. The board of directors of the General Partner intends to review this distribution policy quarterly.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Partnership’s Credit Facility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Partnership’s regularly scheduled (semi-annual) spring 2020 redetermination, the administrative agent has recommended that the Partnership’s borrowing base be decreased to $580.0 million, which is expected to be effective mid May 2020. The decrease is subject to approval by the requisite lenders under the Operating Company’s revolving credit facility. Under the new expected borrowing base, the Operating Company would have $406.5 million of availability for future borrowings under the revolving credit facility as of March 31,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Commodity Environment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 prices dropped sharply in early March 2020 and then continued to decline reaching levels below zero dollars per barrel. This was a result of multiple factors affecting supply and demand in global oil and natural gas markets, including the announcement of price reductions and production increases by OPEC members and other oil exporting nations and the ongoing COVID-19 pandemic. Oil and natural gas prices are expected to continue to be volatile as a result of changes in oil and natural gas production, inventories and demand, as well as national and international performance. The Partnership cannot predict when prices will improve and stabilize.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1200"/>
        <w:spacing w:after="0" w:line="26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consolidated financial statements and notes thereto presented in this report as well as our audited financial statements and notes thereto included in our Annual Report on Form 10-K for the year ended December 31, 2019.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publicly traded Delaware limited partnership formed by Diamondback on February 27, 2014 to, among other things, own, acquire and exploit oil and natural gas properties in North America. We are currently focused on owning and acquiring mineral interests and royalty interests in oil and natural gas properties in the Permian Basin and the Eagle Ford Shale. We operate in one reportable segment. Since May 10, 2018, we have been treated as a corporation for U.S. federal income tax purposes.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our general partner had a 100% general partner interest in us, and Diamondback owned 731,500 common units and all of our 90,709,946 outstanding Class B units, representing approximately 58% of our total units outstanding. Diamondback also owns and controls our general partner.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Recent Collapse in Commodity Prices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Such actions have resulted in a swift and unprecedented reduction in international and U.S. economic activity which, in turn, has adversely affected the demand for oil and natural gas and caused significant volatility and disruption of the financial markets.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early March 2020, oil prices dropped sharply, and then continued to decline reaching levels below zero dollars per barrel. This was a result of multiple factors affecting the supply and demand in global oil and natural gas markets, including the announcement of price reductions and production increases by OPEC members and other exporting nations and the ongoing COVID-19 pandemic. The commodity prices are expected to continue to be volatile as a result of changes in oil and natural gas production, inventories and demand, as well as national and international economic performance. We cannot predict when prices will improve and stabilize.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reduction in crude oil demand caused by factors discussed above, Diamondback and other operators on properties in which we have mineral and royalty interests lowered their 2020 capital budgets and production guidance, curtailed near term production and reduced their rig count, all of which may be subject to further reductions or curtailments if the commodity markets and macroeconomic conditions do not improve. These actions have had and are expected to continue to have an adverse effect on our business, financial results and cash flows.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after performing the ceiling test for the quarter ended March 31, 2020, we were not required to record an impairment on our proved oil and natural gas interests, if the commodity prices continue to fall, we will be required to record impairments in future periods and such impairments may be material. In addition, the administrative agent under the Operating Company’s revolving credit facility has recommended that our borrowing base be decreased to $580.0 million, which is expected to be effective mid May 2020. The decrease is subject to approval by the requisite lenders. Under the new expected borrowing base, the Operating Company would have had $406.5 million of availability for future borrowings under the revolving credit facility as of March 31, 2020. If commodity prices continue at current levels or decrease further, our production, proved reserves and cash flows will be adversely impacted. Our business may be further adversely impacted by any government rule, regulation or order that may impose production limits in the Permian Basin or Eagle Ford Shale, as well as pipeline capacity and storage constraints.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Update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quarter of 2020, we acquired mineral and royalty interests, from unrelated third-party sellers’, representing 4,948 gross (410 net royalty) acres in the Permian Basin for an aggregate purchase price of approximately $63.4 million, subject to post-closing adjustments and, as of March 31, 2020, had mineral and royalty interests representing 24,714 net royalty acres. We funded these acquisitions with cash on hand and borrowings under the Operating Company’s revolving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 Policy Update</w:t>
      </w:r>
    </w:p>
    <w:p>
      <w:pPr>
        <w:spacing w:after="0" w:line="225" w:lineRule="exact"/>
        <w:rPr>
          <w:sz w:val="20"/>
          <w:szCs w:val="20"/>
          <w:color w:val="auto"/>
        </w:rPr>
      </w:pPr>
    </w:p>
    <w:p>
      <w:pPr>
        <w:jc w:val="both"/>
        <w:ind w:left="40" w:firstLine="607"/>
        <w:spacing w:after="0" w:line="259" w:lineRule="auto"/>
        <w:rPr>
          <w:sz w:val="20"/>
          <w:szCs w:val="20"/>
          <w:color w:val="auto"/>
        </w:rPr>
      </w:pPr>
      <w:r>
        <w:rPr>
          <w:rFonts w:ascii="Arial" w:cs="Arial" w:eastAsia="Arial" w:hAnsi="Arial"/>
          <w:sz w:val="18"/>
          <w:szCs w:val="18"/>
          <w:color w:val="auto"/>
        </w:rPr>
        <w:t>On April 30, 2020, the board of directors of our general partner declared a cash distribution for the three months ended March 31, 2020 of $0.10 per common unit. The distribution is payable on May 21, 2020 to eligible common unitholders of record at the close of business on May 14, 2020. This distribution represents 25% of total cash available for distribution with the remaining cash flow expected to be retained to strengthen our balance sheet. The board of directors of our general partner intends to review this distribution policy quarterly.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average daily production during the first quarter of 2020 was 27,575 BOE/d (63% oil), a 6% increase from the average daily oil production during the first quarter of 2019. Our operators received an average of $45.49 per Bbl of oil, $8.94 per Bbl of natural gas liquids and $0.13 per Mcf of natural gas, for an average realized price of $30.62 per BOE. The average realized price of $0.13 per Mcf of natural gas was primarily due to the pricing terms under our operators’ natural gas delivery contracts, which are generally tied to NYMEX price quoted at Henry Hub. Actual volumetric prices realized from the sale of natural gas, however, differ from the quoted NYMEX price as a result of quality and location differentials. During the first quarter of 2020, natural gas sold at the WAHA Hub in Pecos County, Texas averaged a differential of $(1.60) relative to the NYMEX price quoted at Henry Hub. Our operators may have varying terms under which they sell their natural gas, but we are mostly impacted by location differences resulting from supply and demand imbalances and limited takeaway capacity within the Permian Basin.</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quarter of 2020, we estimate that 192 gross (4.6 net 100% royalty interest) horizontal wells, in which we have an average royalty interest of 2.4% were turned to production on our existing acreage position with an average lateral length of 9,306 feet. Of these 192 gross wells, Diamondback is the operator of 78, in which we have an average royalty interest of 3.8%, and the remaining 114 gross wells, in which have an average royalty interest of 1.4%, are operated by third parties. Additionally, during the first quarter of 2020, we acquired 410 net royalty acres for an aggregate purchase price of approximately $63.4 million, which added a further 92 gross (0.6 net 100% royalty interest) producing horizontal wells with an average royalty interest of 0.6%. In total, as of March 31, 2020, we had 2,454 vertical wells and 4,309 horizontal wells producing on our acreage with a combined average net royalty interest of 3.7%.</w:t>
      </w:r>
    </w:p>
    <w:p>
      <w:pPr>
        <w:spacing w:after="0" w:line="28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Despite the dramatic decline in oil prices, there continues to be active development across our asset base and we currently expect our full year 2020 acreage daily production to be between 22,500 to 27,000 Boe/d. Given the recent extreme weakness in commodity prices and forward pricing uncertainty, our current 2020 production guidance does not account for the potential effect of further production curtailments. Near-term activity is expected to be driven primarily by Diamondback’s operations. To that end, there are 77 gross horizontal wells operated by Diamondback currently in the process of development on our royalty acreage, in which we expect to own an average 6.6% net royalty interest (5.1 net 100% royalty interest wells). These wells currently in the process of active development include various wells being drilled by the 12 active Diamondback rigs which were on our acreage as of April 22, 2020, in addition to other wells currently waiting to be completed, actively in the process of being completed or waiting to be turned to production. Additionally, based on Diamondback’s current completion schedule, we have line-of-sight to a further 50 gross (4.1 net 100% royalty interest) wells for which the process of active development has not yet begun, but for which we have visibility to the potential of future development in coming quarters. There is currently less visibility into third party operators’ anticipated activity levels and well completion cadence given the current commodity price environment. Existing permits or active development of our royalty acreage does not ensure that those wells will be turned to production given the current depressed oil prices and tight physical markets. Notwithstanding the foregoing, third parties continue to operate on our asset base. There are 492 gross horizontal wells operated by third parties in the process of active development, in which we expect to own an average 0.9% net royalty interest (4.4 net 100% royalty interest wells). Additionally, there are 379 gross (4.2 net 100% royalty interest) wells operated by third parties that have been permitted but not yet begun the process of active development. In total, as of April 22, 2020, between Diamondback and third party operators, there were 569 (9.5 net 100% royalty interest) wells currently in the process of active development, including 37 active rigs, and a further 429 gross (8.2 net 100% royalty interest) line-of-sight wells which have not yet begun the process of active development. The acquisitions that we closed during the first quarter of 2020 contributed 39 gross (0.2 net 100% royalty interest) horizontal wells in the process of active development out of the total 569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currently in our portfolio. Further, these recent acquisitions also contributed 18 gross (0.1 net 100% royalty interest) permits out of the total 429 total gross line-of-sight wells for which the process of active development has not yet begun.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revenue and expenses and production data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Results:</w:t>
            </w:r>
          </w:p>
        </w:tc>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Royalty income</w:t>
            </w:r>
          </w:p>
        </w:tc>
        <w:tc>
          <w:tcPr>
            <w:tcW w:w="3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76,829</w:t>
            </w:r>
          </w:p>
        </w:tc>
        <w:tc>
          <w:tcPr>
            <w:tcW w:w="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60,428</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Lease bonus income</w:t>
            </w:r>
          </w:p>
        </w:tc>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1,622</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income</w:t>
            </w:r>
          </w:p>
        </w:tc>
        <w:tc>
          <w:tcPr>
            <w:tcW w:w="3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060" w:type="dxa"/>
            <w:vAlign w:val="bottom"/>
          </w:tcPr>
          <w:p>
            <w:pPr>
              <w:ind w:left="720"/>
              <w:spacing w:after="0"/>
              <w:rPr>
                <w:sz w:val="20"/>
                <w:szCs w:val="20"/>
                <w:color w:val="auto"/>
              </w:rPr>
            </w:pPr>
            <w:r>
              <w:rPr>
                <w:rFonts w:ascii="Arial" w:cs="Arial" w:eastAsia="Arial" w:hAnsi="Arial"/>
                <w:sz w:val="18"/>
                <w:szCs w:val="18"/>
                <w:color w:val="auto"/>
              </w:rPr>
              <w:t>Total operating income</w:t>
            </w:r>
          </w:p>
        </w:tc>
        <w:tc>
          <w:tcPr>
            <w:tcW w:w="30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78,692</w:t>
            </w: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61,590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Production and ad valorem taxes</w:t>
            </w:r>
          </w:p>
        </w:tc>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6,147</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Depletion</w:t>
            </w:r>
          </w:p>
        </w:tc>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24,642</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2,666</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3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33,455</w:t>
            </w: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45,237</w:t>
            </w: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40,004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(8,963)</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derivative instruments, net</w:t>
            </w:r>
          </w:p>
        </w:tc>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(Loss) gain on revaluation of investment</w:t>
            </w:r>
          </w:p>
        </w:tc>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(10,120)</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3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7"/>
        </w:trPr>
        <w:tc>
          <w:tcPr>
            <w:tcW w:w="506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0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(26,621)</w:t>
            </w: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18,616</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39,703</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142,466</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(34,608)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3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(123,850)</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74,311</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18,319</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40,532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Viper Energy Partners LP</w:t>
            </w:r>
          </w:p>
        </w:tc>
        <w:tc>
          <w:tcPr>
            <w:tcW w:w="3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(142,169)</w:t>
            </w: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33,779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2290"/>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1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8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Oil (MBbls)</w:t>
            </w: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1,587</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1,147</w:t>
            </w: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2,658</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volumes (MBOE)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w:t>
            </w:r>
          </w:p>
        </w:tc>
      </w:tr>
      <w:tr>
        <w:trPr>
          <w:trHeight w:val="324"/>
        </w:trPr>
        <w:tc>
          <w:tcPr>
            <w:tcW w:w="8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daily oil volumes (BO/d)</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3"/>
              </w:rPr>
              <w:t>17,441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Average daily combined volumes (BOE/d)</w:t>
            </w: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83"/>
              </w:rPr>
              <w:t>27,575</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19,042</w:t>
            </w: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8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Average sales prices:</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Oil ($/Bbl)</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45.31</w:t>
            </w:r>
          </w:p>
        </w:tc>
      </w:tr>
      <w:tr>
        <w:trPr>
          <w:trHeight w:val="270"/>
        </w:trPr>
        <w:tc>
          <w:tcPr>
            <w:tcW w:w="8100" w:type="dxa"/>
            <w:vAlign w:val="bottom"/>
          </w:tcPr>
          <w:p>
            <w:pPr>
              <w:ind w:left="200"/>
              <w:spacing w:after="0" w:line="270" w:lineRule="exact"/>
              <w:rPr>
                <w:sz w:val="20"/>
                <w:szCs w:val="20"/>
                <w:color w:val="auto"/>
              </w:rPr>
            </w:pPr>
            <w:r>
              <w:rPr>
                <w:rFonts w:ascii="Arial" w:cs="Arial" w:eastAsia="Arial" w:hAnsi="Arial"/>
                <w:sz w:val="18"/>
                <w:szCs w:val="18"/>
                <w:color w:val="auto"/>
              </w:rPr>
              <w:t>Natural gas ($/Mcf)</w:t>
            </w:r>
            <w:r>
              <w:rPr>
                <w:rFonts w:ascii="Arial" w:cs="Arial" w:eastAsia="Arial" w:hAnsi="Arial"/>
                <w:sz w:val="25"/>
                <w:szCs w:val="25"/>
                <w:color w:val="auto"/>
                <w:vertAlign w:val="superscript"/>
              </w:rPr>
              <w:t>(1)</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Natural gas liquids ($/Bbl)</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Combined ($/BOE)</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30.62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35.26</w:t>
            </w: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8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70"/>
        </w:trPr>
        <w:tc>
          <w:tcPr>
            <w:tcW w:w="8100" w:type="dxa"/>
            <w:vAlign w:val="bottom"/>
          </w:tcPr>
          <w:p>
            <w:pPr>
              <w:ind w:left="200"/>
              <w:spacing w:after="0" w:line="270" w:lineRule="exact"/>
              <w:rPr>
                <w:sz w:val="20"/>
                <w:szCs w:val="20"/>
                <w:color w:val="auto"/>
              </w:rPr>
            </w:pPr>
            <w:r>
              <w:rPr>
                <w:rFonts w:ascii="Arial" w:cs="Arial" w:eastAsia="Arial" w:hAnsi="Arial"/>
                <w:sz w:val="18"/>
                <w:szCs w:val="18"/>
                <w:color w:val="auto"/>
              </w:rPr>
              <w:t>Oil, hedged ($/Bbl)</w:t>
            </w:r>
            <w:r>
              <w:rPr>
                <w:rFonts w:ascii="Arial" w:cs="Arial" w:eastAsia="Arial" w:hAnsi="Arial"/>
                <w:sz w:val="25"/>
                <w:szCs w:val="25"/>
                <w:color w:val="auto"/>
                <w:vertAlign w:val="superscript"/>
              </w:rPr>
              <w:t>(2)</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45.49</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45.31</w:t>
            </w:r>
          </w:p>
        </w:tc>
      </w:tr>
      <w:tr>
        <w:trPr>
          <w:trHeight w:val="270"/>
        </w:trPr>
        <w:tc>
          <w:tcPr>
            <w:tcW w:w="81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Natural gas, hedged ($/MMbtu)</w:t>
            </w:r>
            <w:r>
              <w:rPr>
                <w:rFonts w:ascii="Arial" w:cs="Arial" w:eastAsia="Arial" w:hAnsi="Arial"/>
                <w:sz w:val="25"/>
                <w:szCs w:val="25"/>
                <w:color w:val="auto"/>
                <w:vertAlign w:val="superscript"/>
              </w:rPr>
              <w:t>(2)</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70"/>
        </w:trPr>
        <w:tc>
          <w:tcPr>
            <w:tcW w:w="8100" w:type="dxa"/>
            <w:vAlign w:val="bottom"/>
          </w:tcPr>
          <w:p>
            <w:pPr>
              <w:ind w:left="200"/>
              <w:spacing w:after="0" w:line="27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5"/>
                <w:szCs w:val="25"/>
                <w:color w:val="auto"/>
                <w:vertAlign w:val="superscript"/>
              </w:rPr>
              <w:t>(2)</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18.09</w:t>
            </w:r>
          </w:p>
        </w:tc>
      </w:tr>
      <w:tr>
        <w:trPr>
          <w:trHeight w:val="270"/>
        </w:trPr>
        <w:tc>
          <w:tcPr>
            <w:tcW w:w="81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5"/>
                <w:szCs w:val="25"/>
                <w:color w:val="auto"/>
                <w:vertAlign w:val="superscript"/>
              </w:rPr>
              <w:t>(2)</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35.26</w:t>
            </w:r>
          </w:p>
        </w:tc>
      </w:tr>
      <w:tr>
        <w:trPr>
          <w:trHeight w:val="324"/>
        </w:trPr>
        <w:tc>
          <w:tcPr>
            <w:tcW w:w="8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Costs ($/BOE):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Production and ad valorem taxes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 cash component</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r>
      <w:tr>
        <w:trPr>
          <w:trHeight w:val="297"/>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expense - cash</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r>
      <w:tr>
        <w:trPr>
          <w:trHeight w:val="311"/>
        </w:trPr>
        <w:tc>
          <w:tcPr>
            <w:tcW w:w="8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General and administrative - non-cash component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7"/>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Depletion</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9.45</w:t>
            </w:r>
          </w:p>
        </w:tc>
      </w:tr>
    </w:tbl>
    <w:p>
      <w:pPr>
        <w:spacing w:after="0" w:line="13" w:lineRule="exact"/>
        <w:rPr>
          <w:sz w:val="20"/>
          <w:szCs w:val="20"/>
          <w:color w:val="auto"/>
        </w:rPr>
      </w:pPr>
    </w:p>
    <w:p>
      <w:pPr>
        <w:jc w:val="both"/>
        <w:ind w:left="340" w:hanging="332"/>
        <w:spacing w:after="0" w:line="25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average realized price of $0.13 per Mcf of natural gas was primarily due to the pricing terms under our operators’ natural gas delivery contracts, which are generally tied to NYMEX price quoted at Henry Hub. Actual volumetric prices realized from the sale of natural gas, however, differ from the quoted NYMEX price as a result of quality and location differentials. During the first quarter of 2020, natural gas sold at the WAHA Hub in Pecos County, Texas averaged a differential of $(1.60) relative to the NYMEX price quoted at Henry Hub. Our operators may have varying terms under which they sell their natural gas, but we are mostly impacted by location differences resulting from supply and demand imbalances and limited takeaway capacity within the Permian Basin.</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includes gains and losses on cash settlements for commodity derivatives, which we do not designate for hedge accounting. We did not have any derivative contracts prior to February of 2020.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royalty income for the three months ended March 31, 2020 and 2019 was $76.8 million and $60.4 million, respectively. Our royalty income is a function of oil, natural gas liquids and natural gas production volumes sold and average prices received for those volumes.</w:t>
      </w:r>
    </w:p>
    <w:p>
      <w:pPr>
        <w:spacing w:after="0" w:line="14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decrease in average prices received during the three months ended March 31, 2020 as compared to the three months ended March 31, 2019 was partially offset by a 46% increase in combined volumes sold by our operators as compared to the three months ended March 31, 2019.</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Production</w:t>
            </w:r>
          </w:p>
        </w:tc>
        <w:tc>
          <w:tcPr>
            <w:tcW w:w="14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700" w:type="dxa"/>
            <w:vAlign w:val="bottom"/>
          </w:tcPr>
          <w:p>
            <w:pPr>
              <w:spacing w:after="0"/>
              <w:rPr>
                <w:sz w:val="22"/>
                <w:szCs w:val="22"/>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Change in prices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600"/>
              <w:spacing w:after="0"/>
              <w:rPr>
                <w:sz w:val="20"/>
                <w:szCs w:val="20"/>
                <w:color w:val="auto"/>
              </w:rPr>
            </w:pPr>
            <w:r>
              <w:rPr>
                <w:rFonts w:ascii="Arial" w:cs="Arial" w:eastAsia="Arial" w:hAnsi="Arial"/>
                <w:sz w:val="18"/>
                <w:szCs w:val="18"/>
                <w:color w:val="auto"/>
              </w:rPr>
              <w:t>Oil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294</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2,658</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r>
      <w:tr>
        <w:trPr>
          <w:trHeight w:val="243"/>
        </w:trPr>
        <w:tc>
          <w:tcPr>
            <w:tcW w:w="670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(4,383)</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due to change in price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r>
      <w:tr>
        <w:trPr>
          <w:trHeight w:val="414"/>
        </w:trPr>
        <w:tc>
          <w:tcPr>
            <w:tcW w:w="6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production</w:t>
            </w:r>
          </w:p>
        </w:tc>
        <w:tc>
          <w:tcPr>
            <w:tcW w:w="16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Prior period</w:t>
            </w:r>
          </w:p>
        </w:tc>
        <w:tc>
          <w:tcPr>
            <w:tcW w:w="14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1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600"/>
              <w:spacing w:after="0"/>
              <w:rPr>
                <w:sz w:val="20"/>
                <w:szCs w:val="20"/>
                <w:color w:val="auto"/>
              </w:rPr>
            </w:pPr>
            <w:r>
              <w:rPr>
                <w:rFonts w:ascii="Arial" w:cs="Arial" w:eastAsia="Arial" w:hAnsi="Arial"/>
                <w:sz w:val="18"/>
                <w:szCs w:val="18"/>
                <w:color w:val="auto"/>
              </w:rPr>
              <w:t>Oil</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45.31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19,919</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r>
      <w:tr>
        <w:trPr>
          <w:trHeight w:val="243"/>
        </w:trPr>
        <w:tc>
          <w:tcPr>
            <w:tcW w:w="670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18.09</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4,066</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due to change in production volumes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25,599</w:t>
            </w:r>
          </w:p>
        </w:tc>
      </w:tr>
      <w:tr>
        <w:trPr>
          <w:trHeight w:val="250"/>
        </w:trPr>
        <w:tc>
          <w:tcPr>
            <w:tcW w:w="6700" w:type="dxa"/>
            <w:vAlign w:val="bottom"/>
          </w:tcPr>
          <w:p>
            <w:pPr>
              <w:ind w:left="600"/>
              <w:spacing w:after="0"/>
              <w:rPr>
                <w:sz w:val="20"/>
                <w:szCs w:val="20"/>
                <w:color w:val="auto"/>
              </w:rPr>
            </w:pPr>
            <w:r>
              <w:rPr>
                <w:rFonts w:ascii="Arial" w:cs="Arial" w:eastAsia="Arial" w:hAnsi="Arial"/>
                <w:sz w:val="18"/>
                <w:szCs w:val="18"/>
                <w:color w:val="auto"/>
              </w:rPr>
              <w:t>Total change in income</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8255</wp:posOffset>
            </wp:positionV>
            <wp:extent cx="9944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Production volumes are presented in MBbls for oil and natural gas liquids and MMcf for natural gas.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Lease Bonus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-404495</wp:posOffset>
            </wp:positionV>
            <wp:extent cx="9944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Lease bonus income increased by $0.5 million for the three months ended March 31, 2020 as compared to the three months ended March 31, 2019. During the three months ended March 31, 2020, we received $0.3 million in lease bonus payments to extend the term of one lease and $1.3 million for two new leases. During the three months ended March 31, 2019, we received $44,688 in lease bonus payments to extend the term of five leases and $1.1 million for six new leases.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Production taxes per unit of production for the three months ended March 31, 2020 and 2019 were $1.43 and $1.75, respectively. The decrease in production taxes per unit of production during the three months ended March 31, 2020 was primarily due to a higher percentage increase in production volumes as compared to production taxes. Ad valorem taxes per unit of production for the three months ended March 31, 2020 and 2019 were $1.02 and $0.40, respectively. The increase in ad valorem taxes per unit of production during the three months ended March 31, 2020 was primarily due to an increase in production volumes from wells drilled and acquired in 2019, along with an increase in the valuation of oil and natural gas interests year over year.</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BOE</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Per BOE</w:t>
            </w: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 valorem taxes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0.40</w:t>
            </w: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production and ad valorem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5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Depletion expense increased by $8.4 million to $24.6 million for the three months ended March 31, 2020 from $16.2 million for the three months ended March 31, 2019. The increase resulted primarily from higher production levels and an increase in net book value on new reserves added.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general and administrative expenses primarily reflect costs associated with us being a publicly traded limited partnership, unit-based compensation and the amounts reimbursed to our general partner under our partnership agreement. For the three months ended March 31, 2020 and 2019, we incurred general and administrative expenses of $2.7 million and $1.7 million, respectively. The increase of $1.0 million during the three months ended March 31, 2020 was due to an increase in expenses allocated from the General Partner under the Partnership Agreement, an increase in software expenses, bad debt expense </w:t>
      </w:r>
      <w:r>
        <w:rPr>
          <w:rFonts w:ascii="Arial" w:cs="Arial" w:eastAsia="Arial" w:hAnsi="Arial"/>
          <w:sz w:val="17"/>
          <w:szCs w:val="17"/>
          <w:color w:val="212529"/>
        </w:rPr>
        <w:t>and additional professional service fees attributable to</w:t>
      </w:r>
      <w:r>
        <w:rPr>
          <w:rFonts w:ascii="Arial" w:cs="Arial" w:eastAsia="Arial" w:hAnsi="Arial"/>
          <w:sz w:val="17"/>
          <w:szCs w:val="17"/>
          <w:color w:val="auto"/>
        </w:rPr>
        <w:t xml:space="preserve"> acquisitions.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interest expense for the three months ended March 31, 2020 and 2019 was $9.0 million and $4.5 million, respectively. The increase of $4.4 million in net interest expense for three months ended March 31, 2020 as compared to 2019 was due to increased borrowings and our senior notes issued in October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recorded a loss on derivatives for the three months ended March 31, 2020 of $7.9 million. We had no derivatives during the three months ended March 31, 2019.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“Loss on derivative instruments, net.”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recorded income tax expense of $142.5 million and income tax benefit of $34.6 million for the three months ended March 31, 2020 and 2019, respectively. The change in our income tax provision was primarily due to the application of a valuation allowance on the our deferred tax assets during the three months ended March 31, 2020, and the revision during the three months ended March 31, 2019 of estimated deferred taxes recognized as a result of our change in federal income tax status. Total income tax provision for the three months ended March 31, 2020 differed from amounts computed by applying the federal statutory tax rate to pre-tax income for the period primarily due to impact of recording a valuation allowance on our deferred tax assets and net income attributable to the non-controlling interest.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Adjusted EBITDA is a supplemental non-GAAP financial measure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period to period without regard to our financing methods or capital structure. In addition, management uses Adjusted EBITDA to evaluate cash flow available to pay distributions to our common unitholders.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define Adjusted EBITDA as net income (loss) plus interest expense, net, non-cash unit-based compensation expense, depletion expense, (loss) gain on revaluation of investment, non-cash loss (gain) on derivative instruments and provision for (benefit from) income taxes. Adjusted EBITDA is not a measure of net (loss) income as determined by GAAP. We exclude the items listed above from net (loss) income in arriving at Adjusted EBITDA because these amounts can vary substantially from company to company within our industry depending upon accounting methods and book values of assets, capital structures and the method by which the assets were acquired. Certain items excluded from Adjusted EBITDA are significant components in understanding and assessing a company’s financial performance, such as a company’s cost of capital and tax structure, as well as historic costs of depreciable assets, none of which are components of Adjusted EBITDA.</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Adjusted EBITDA should not be considered an alternative to, or more meaningful than, net income, royalty income, cash flow from operating activities or any other measure of financial performance or liquidity presented in accordance with GAAP. Our computations of Adjusted EBITDA may not be comparable to other similarly titled measures of other companies.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(loss), our most directly comparable GAAP financial measure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(123,850)</w:t>
            </w:r>
          </w:p>
        </w:tc>
        <w:tc>
          <w:tcPr>
            <w:tcW w:w="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74,311</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8,963</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4,549</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unit-based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Depletion</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24,642</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16,199</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revaluation of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10,120</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Non-cash loss on derivative instruments, net</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7,489</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142,466</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(34,608)</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Consolidated Adjusted EBITDA</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70,217</w:t>
            </w: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57,264</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(40,175)</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(30,708)</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Adjusted EBITDA attributable to Viper Energy Partners LP</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30,042</w:t>
            </w:r>
          </w:p>
        </w:tc>
        <w:tc>
          <w:tcPr>
            <w:tcW w:w="6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26,556</w:t>
            </w:r>
          </w:p>
        </w:tc>
      </w:tr>
      <w:tr>
        <w:trPr>
          <w:trHeight w:val="27"/>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oil, natural gas, and natural gas liquids sales and net sales prices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Revenues and gathering and transportation expenses related to production are reported net in our financial statements under GAAP. This impacts the comparability of certain operating metrics, such as per-unit sales prices, as those metrics are prepared in accordance with GAAP using the net presentation for some revenues and the gross presentation for other metrics. In order to provide metrics consistent with management’s assessment of our operating results, we have presented both net (GAAP) and gross (non-GAAP) oil, natural gas, and natural gas liquid sales and the gross sales price. The gross sales price (non-GAAP), is calculated by using the net oil, natural gas, and natural liquid gas net revenues plus gathering and transportation expenses divided by the sales volumes. We believe presenting our gross revenues and sales prices allows for a useful comparison of net and gross sales prices for prior periods.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net oil, natural gas and natural gas liquids sales (GAAP) to gross oil, natural gas and natural gas liquids sales (non-GAAP) for the periods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gridSpan w:val="11"/>
          </w:tcPr>
          <w:p>
            <w:pPr>
              <w:ind w:left="400"/>
              <w:spacing w:after="0"/>
              <w:rPr>
                <w:sz w:val="20"/>
                <w:szCs w:val="20"/>
                <w:color w:val="auto"/>
              </w:rPr>
            </w:pPr>
            <w:r>
              <w:rPr>
                <w:rFonts w:ascii="Arial" w:cs="Arial" w:eastAsia="Arial" w:hAnsi="Arial"/>
                <w:sz w:val="18"/>
                <w:szCs w:val="18"/>
                <w:b w:val="1"/>
                <w:bCs w:val="1"/>
                <w:color w:val="auto"/>
              </w:rPr>
              <w:t>Three Months Ended March 31, 2020</w:t>
            </w:r>
          </w:p>
        </w:tc>
        <w:tc>
          <w:tcPr>
            <w:tcW w:w="260" w:type="dxa"/>
            <w:vAlign w:val="bottom"/>
          </w:tcPr>
          <w:p>
            <w:pPr>
              <w:spacing w:after="0"/>
              <w:rPr>
                <w:sz w:val="20"/>
                <w:szCs w:val="20"/>
                <w:color w:val="auto"/>
              </w:rPr>
            </w:pPr>
          </w:p>
        </w:tc>
        <w:tc>
          <w:tcPr>
            <w:tcW w:w="3880" w:type="dxa"/>
            <w:vAlign w:val="bottom"/>
            <w:gridSpan w:val="10"/>
          </w:tcPr>
          <w:p>
            <w:pPr>
              <w:jc w:val="right"/>
              <w:ind w:right="530"/>
              <w:spacing w:after="0"/>
              <w:rPr>
                <w:sz w:val="20"/>
                <w:szCs w:val="20"/>
                <w:color w:val="auto"/>
              </w:rPr>
            </w:pPr>
            <w:r>
              <w:rPr>
                <w:rFonts w:ascii="Arial" w:cs="Arial" w:eastAsia="Arial" w:hAnsi="Arial"/>
                <w:sz w:val="18"/>
                <w:szCs w:val="18"/>
                <w:b w:val="1"/>
                <w:bCs w:val="1"/>
                <w:color w:val="auto"/>
              </w:rPr>
              <w:t>Three Months Ended March 31, 2019</w:t>
            </w:r>
          </w:p>
        </w:tc>
      </w:tr>
      <w:tr>
        <w:trPr>
          <w:trHeight w:val="27"/>
        </w:trPr>
        <w:tc>
          <w:tcPr>
            <w:tcW w:w="2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Oil</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Natural</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Natural</w:t>
            </w:r>
          </w:p>
        </w:tc>
        <w:tc>
          <w:tcPr>
            <w:tcW w:w="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Oil</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Natural</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Natural</w:t>
            </w:r>
          </w:p>
        </w:tc>
        <w:tc>
          <w:tcPr>
            <w:tcW w:w="22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34"/>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7"/>
              </w:rPr>
              <w:t>gas</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gas liquids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7"/>
              </w:rPr>
              <w:t>gas</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gas liquids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oil, natural gas and natural gas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liquids sales (GAAP)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60,428</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Plus: Gathering and transportation</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8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
        </w:trPr>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Gross oil, natural gas and natural gas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liquids sales (non-GAAP)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61,216</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Sales volumes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820" w:type="dxa"/>
            <w:vAlign w:val="bottom"/>
          </w:tcPr>
          <w:p>
            <w:pPr>
              <w:ind w:left="40"/>
              <w:spacing w:after="0"/>
              <w:rPr>
                <w:sz w:val="20"/>
                <w:szCs w:val="20"/>
                <w:color w:val="auto"/>
              </w:rPr>
            </w:pPr>
            <w:r>
              <w:rPr>
                <w:rFonts w:ascii="Arial" w:cs="Arial" w:eastAsia="Arial" w:hAnsi="Arial"/>
                <w:sz w:val="18"/>
                <w:szCs w:val="18"/>
                <w:color w:val="auto"/>
              </w:rPr>
              <w:t>(MBbl/MMcf/MBbl/MBOE)</w:t>
            </w:r>
          </w:p>
        </w:tc>
        <w:tc>
          <w:tcPr>
            <w:tcW w:w="2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1,714</w:t>
            </w:r>
          </w:p>
        </w:tc>
      </w:tr>
      <w:tr>
        <w:trPr>
          <w:trHeight w:val="27"/>
        </w:trPr>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sales price (non-GAAP)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35.72</w:t>
            </w:r>
          </w:p>
        </w:tc>
      </w:tr>
      <w:tr>
        <w:trPr>
          <w:trHeight w:val="27"/>
        </w:trPr>
        <w:tc>
          <w:tcPr>
            <w:tcW w:w="2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primary sources of liquidity have been cash flows from operations, proceeds from equity offerings and borrowings under our credit agreement, and our primary uses of cash have been, and are expected to continue to be, distributions to our unitholders and replacement and growth capital expenditures, including the acquisition of mineral interests and royalty interests in oil and natural gas properties. We intend to finance potential future acquisitions through a combination of cash on hand, borrowings under our credit agreement, issuance of common units to the sellers and, subject to market conditions and other factors, proceeds from one or more capital market transactions, which may include debt or equity offerings. Our ability to generate cash is subject to several factors, some of which are beyond our control, including commodity prices and general economic, financial, competitive, legislative, regulatory and other factors, including weather.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w:t>
      </w:r>
    </w:p>
    <w:p>
      <w:pPr>
        <w:spacing w:after="0" w:line="1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partnership agreement does not require us to distribute any of the cash we generate from operations. However, the board of directors of our general partner has adopted a policy pursuant to which the Operating Company will distribute all of the available cash it generates each quarter to its unitholders (including us), and we, in turn, will distribute all of the available cash we receive from the Operating Company to our common unitholders.</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Cash distributions are made to the common unitholders of record on the applicable record date, generally within 60 days after the end of each quarter. Available cash for us and the Operating Company for each quarter is determined by the board of directors of our general partner following the end of such quarter. Available cash for the Operating Company for each quarter will generally equal its Adjusted EBITDA reduced for cash needed for debt service and other contractual obligations and fixed charges and reserves for future operating or capital needs that the board of directors of our general partner deems necessary or appropriate, if any, and our available cash will generally equal our Adjusted EBITDA (which will be our proportionate share of the available cash distributed to us by the Operating Company), less, as a result of the our election to be treated as a corporation for U.S. federal income tax purposes effective, May 10, 2018, cash needed for the payment of income taxes payable by us, if any.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30, 2020, the board of directors of our general partner approved a cash distribution for the first quarter of 2020 of $0.10 per common unit, payable on May 21, 2020, to eligible unitholders of record at the close of business on May 14,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Equity Offering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2019, we completed an underwritten public offering of 10,925,000 common units, which included 1,425,000 common units issued pursuant to an option to purchase additional common units granted to the underwriters. Following this offering, Diamondback owned approximately 54% of our total units then outstanding. We received net proceeds from this offering of approximately $340.6 million, after deducting underwriting discounts and commissions and estimated offering expenses. We used the net proceeds to purchase units of the Operating Company. The Operating Company in turn used the net proceeds to repay a portion of the outstanding borrowings under the Operating Company’s revolving credit facility and finance acquisitions during the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Cash Flows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8540" w:type="dxa"/>
            <w:vAlign w:val="bottom"/>
          </w:tcPr>
          <w:p>
            <w:pPr>
              <w:ind w:left="660"/>
              <w:spacing w:after="0"/>
              <w:rPr>
                <w:sz w:val="20"/>
                <w:szCs w:val="20"/>
                <w:color w:val="auto"/>
              </w:rPr>
            </w:pPr>
            <w:r>
              <w:rPr>
                <w:rFonts w:ascii="Arial" w:cs="Arial" w:eastAsia="Arial" w:hAnsi="Arial"/>
                <w:sz w:val="18"/>
                <w:szCs w:val="18"/>
                <w:color w:val="auto"/>
              </w:rPr>
              <w:t>The following table presents our cash flows for the period indicated: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r>
      <w:tr>
        <w:trPr>
          <w:trHeight w:val="358"/>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Data:</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96,111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46,451</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(81,923)</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5,184</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22,929</w:t>
            </w:r>
          </w:p>
        </w:tc>
      </w:tr>
      <w:tr>
        <w:trPr>
          <w:trHeight w:val="27"/>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(12,543)</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are the volatility of prices for oil and natural gas and the volume of oil and natural gas sold by our producers.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was $64.6 million and $81.9 million during the three months ended March 31, 2020 and 2019, respectively, and related to acquisitions of oil and natural gas interests and 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was $5.2 million during the three months ended March 31, 2020, primarily related to net borrowing activity under the Operating Company’s revolving credit facility of $77.0 million and partially offset by distributions of $71.4 million to our unitholders during the period. Net cash provided by financing activities was $22.9 million during the three months ended March 31, 2019, primarily related to net proceeds from our public offering of common units of $340.6 million, partially offset by net repayments on borrowings of $254.0 million under the revolving credit facility and distributions of $63.3 million to our unitholders during that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25" w:lineRule="exact"/>
        <w:rPr>
          <w:sz w:val="20"/>
          <w:szCs w:val="20"/>
          <w:color w:val="auto"/>
        </w:rPr>
      </w:pPr>
    </w:p>
    <w:p>
      <w:pPr>
        <w:jc w:val="both"/>
        <w:ind w:left="40" w:firstLine="648"/>
        <w:spacing w:after="0" w:line="270" w:lineRule="auto"/>
        <w:rPr>
          <w:sz w:val="20"/>
          <w:szCs w:val="20"/>
          <w:color w:val="auto"/>
        </w:rPr>
      </w:pPr>
      <w:r>
        <w:rPr>
          <w:rFonts w:ascii="Arial" w:cs="Arial" w:eastAsia="Arial" w:hAnsi="Arial"/>
          <w:sz w:val="17"/>
          <w:szCs w:val="17"/>
          <w:color w:val="auto"/>
        </w:rPr>
        <w:t>On July 20, 2018, we, as guarantor, entered into an amended and restated credit agreement with the Operating Company, as borrower, Wells Fargo, as administrative agent, and the other lenders. The credit agreement, as amended to the date hereof, provides for a revolving credit facility in the maximum credit amount of $2.0 billion and a borrowing base based on our oil and natural gas reserves and other factors of $725.0 million, subject to scheduled semi-annual and other borrowing base redeterminations. The borrowing base is scheduled to be re-determined semi-annually with effective dates of May 1st and November 1st. In addition, the Operating Company and Wells Fargo each may request up to three interim redeterminations of the borrowing base during any 12-month period. As of March 31, 2020, the borrowing base was set at $775.0 million and the Operating Company had $173.5 million of outstanding borrowings and $601.5 million available for future borrowings under the Operating Company’s revolving credit facility. In connection with our regularly scheduled (semi-annual) spring 2020 redetermination, our administrative agent has recommended that our borrowing base be decreased to $580.0 million, which is expected to be effective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left="40"/>
        <w:spacing w:after="0" w:line="263" w:lineRule="auto"/>
        <w:rPr>
          <w:sz w:val="20"/>
          <w:szCs w:val="20"/>
          <w:color w:val="auto"/>
        </w:rPr>
      </w:pPr>
      <w:r>
        <w:rPr>
          <w:rFonts w:ascii="Arial" w:cs="Arial" w:eastAsia="Arial" w:hAnsi="Arial"/>
          <w:sz w:val="18"/>
          <w:szCs w:val="18"/>
          <w:color w:val="auto"/>
        </w:rPr>
        <w:t>mid May 2020. The decrease is subject to approval by the requisite lenders under the Operating Company’s revolving credit facility. Under the new expected borrowing base, the Operating Company would have had $406.5 million of availability for future borrowings under the revolving credit facility as of March 31, 2020.</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credit agreement bear interest at a per annum rate elected by us that is equal to an alternate base rate (which is equal to the greatest of the prime rate, the Federal Funds effective rate plus 0.50%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We are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of our and our subsidiary’s assets.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14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140" w:type="dxa"/>
            <w:vAlign w:val="bottom"/>
            <w:tcBorders>
              <w:bottom w:val="single" w:sz="8" w:color="CCEEFF"/>
            </w:tcBorders>
            <w:shd w:val="clear" w:color="auto" w:fill="CCEEFF"/>
          </w:tcPr>
          <w:p>
            <w:pPr>
              <w:jc w:val="center"/>
              <w:ind w:left="159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140" w:type="dxa"/>
            <w:vAlign w:val="bottom"/>
          </w:tcPr>
          <w:p>
            <w:pPr>
              <w:jc w:val="center"/>
              <w:ind w:left="159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March 31, 2020, the Operating Company was in compliance with the financial maintenance covenants under its credit agreement. The lenders may accelerate all of the indebtedness under the Operating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credit agreement generally may be amended with the consent of the lenders holding a majority of the outstanding loans or commitments to lend.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Offering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16, 2019, we issued our 5.375% Senior Notes due 2027 in the aggregate principal amount of $500.0 million (which we refer to as the Notes) in a notes offering (which we refer to as the Notes Offering) under an indenture, dated as of October 16, 2019, among the Partnership, as issuer, the Operating Company, as guarantor and Wells Fargo Bank, National Association, as trustee, which we refer to as the Indenture. We received net proceeds of approximately $490.0 million from the Notes Offering. We loaned the gross proceeds of the Notes Offering to the Operating Company. The Operating Company used the proceeds from the Notes Offering to repay then outstanding borrowings under its revolving credit facility. Interest on the Notes accrues at a rate of 5.375% per annum on the outstanding principal amount thereof from October 16, 2019, payable semi-annually on May 1 and November 1 of each year, commencing on May 1, 2020. The Notes will mature on November 1, 2027.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Operating Company guaranteed the Notes pursuant to the Indenture. Neither Diamondback nor the General Partner guarantees the Notes. The Indenture contains restrictive certain covenants that, subject to certain exceptions and qualifications, among other things, limit our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including equity of restricted subsidiaries, agree to payment restrictions affecting our restricted subsidiaries, consolidate, merge, sell or otherwise dispose of all or substantially all of our assets, enter into transactions with affiliates, incur liens and designate certain of our subsidiaries as unrestricted subsidiaries. Certain of these covenants are subject to termination upon the occurrence of certain events. We may use cash on hand to repurchase a portion of the Notes in privately negotiated transactions, open market purchases or otherwise, but we are under no obligation to do so.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Intercompany Promissory Note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and upon closing of the Notes Offering, we loaned the gross proceeds from the Notes Offering to the Operating Company under the terms of that certain subordinated promissory note, dated as of October 16, 2019, by the Operating Company in favor of us, which we refer to as the Intercompany Promissory Note. The Intercompany Promissory Note requires the Operating Company to repay the underlying loan to us on the same terms and in the same amounts as the Notes and has the same maturity date, interest rate, change of control repurchase and redemption provisions. Our right to receive payment under the Intercompany Promissory Note is contractually subordinated to the Operating Company’s guarantee of the notes and is structurally subordinated to all of the Operating Company’s secured indebtedness (including all borrowings and other obligations under the Operating Company’s revolving credit facility) to the extent of the value of the collateral securing such indebtedness.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in our contractual obligations and other commitments as disclosed in our Annual Report on Form 10-K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from those disclosed in our Annual Report on Form 10-K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off-balance sheet arrangements.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Oil, natural gas liquids and natural gas prices have historically been volatile. Further, oil prices dropped sharply in early March 2020 and then continued to decline reaching levels below zero dollars per barrel. This was as a result of multiple factors affecting supply and demand in the global oil and gas markets, including the announcement of price reductions and production increases by OPEC members and other oil exporting nations and the ongoing COVID-19 pandemic. Oil and natural gas prices are expected to continue to be volatile as a result of changes in oil and natural gas production, inventories and demand, as well as national and international performance. We cannot predict when prices will improve and stabilize.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fixed price swap contracts, fixed price basis swap contracts and costless collars with corresponding put and call options to reduce price volatility associated with certain of its royalty income. With respect to our fixed price swap contracts and fixed price basis swap contracts, the counterparty is required to make a payment to us if the settlement price for any settlement period is less than the swap or basis price, and we are required to make a payment to the counterparty if the settlement price for any settlement period is greater than the swap or basis price. We have fixed price basis swaps for the spread between the Henry Hub natural gas price and the Waha Hub natural gas price.</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March 31, 2020, we had a net liability derivative position related to our commodity price derivatives of $7.5 million, related to our price swap, price basis swap derivatives and costless collars. We did not have any derivative contracts prior to February 2020. Utilizing actual derivative contractual volumes under our fixed price swaps as of March 31, 2020, a 10% increase in forward curves associated with the underlying commodity would have increased the net liability position to $13.3 million, an increase of $5.8 million, while a 10% decrease in forward curves associated with the underlying commodity would have decreased the net liability derivative position to $1.7 million, an decrease of $5.8 million. However, any cash derivative gain or loss would be substantially offset by a decrease or increase, respectively, in the actual sales value of production covered by the derivative instrument.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risk resulting from the concentration of royalty income in producing oil and natural gas interests and receivables with several significant purchasers and producers. For the three months ended March 31, 2020, three purchasers each accounted for more than 10% of our royalty income: Trafigura Trading LLC (28%), Vitol Midstream Pipeline LLC (16%) and Shell Trading (US) Company (16%). For the three months ended March 31, 2019, three purchasers each accounted for more than 10% of our royalty income: Trafigura Trading LLC (38%), Concho Resources, Inc. (13%) and Shell Trading (US) Company (11%). We do not require collateral and the inability of our significant purchasers to meet their obligations to us or their insolvency or liquidation may adversely affect our financial results. The ongoing COVID-19 pandemic, depressed commodity pricing environment and adverse macroeconomic conditions may enhance our purchaser credit risk.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our credit agreement. The terms of our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0.75% to 1.75% in the case of the alternative base rate and from 1.75% to 2.75% in the case of LIBOR, in each case depending on the amount of the loan outstanding in relation to the borrowing base. We entered into this credit agreement on July 8, 2014, as subsequently amended, and as of March 31, 2020, we had $173.5 million in outstanding borrowings. Our weighted average interest rate on borrowings under our revolving credit facility was 2.78%. An increase or decrease of 1% in the interest rate would have a corresponding increase or decrease in our interest expense of approximately $1.7 million based on the $173.5 million outstanding in the aggregate under our credit agreement.</w:t>
      </w:r>
    </w:p>
    <w:p>
      <w:pPr>
        <w:spacing w:after="0" w:line="17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March 31, 2020, our disclosure controls and procedures are 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March 31, 2020 that have materially affected, or are reasonably likely to materially affect, internal controls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14—Commitments and Contingencies.</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discussed in Part I, Item 1A. Risk Factors in our Annual Report on Form 10–K for the year ended December 31, 2019 and in subsequent filings we make with the SEC, as well as risk factors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will likely continue to be adversely affected by the recent COVID-19 coronavirus outbreak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spread of COVID-19 caused, and is continuing to cause, severe disruptions in the worldwide and U.S. economy, including the global and domestic demand for oil and natural gas, which could have an adverse effect on our operators and, in turn, on our business, financial condition and cash flows. Moreover, since the beginning of January 2020, the COVID-19 pandemic has caused significant disruption in the financial markets both globally and in the United States. The continued spread of COVID-19 could also negatively impact the availability of key personnel necessary to conduct our business. If COVID-19 continues to spread or the response to contain the COVID-19 pandemic is unsuccessful, we could continue to experience material adverse effects on our business, financial condition and cash available for distribution to our unitholders. Due to the rapid development and fluidity of this situation, we cannot make any prediction as to the ultimate material adverse impact of the COVID -19 pandemic on our business, financial condition and cash available for distribution to our unitholders.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sharp decline in oil and natural gas prices and continued volatility in the oil and natural gas markets have negatively impacted, and are likely to continue to negatively impact, exploration and production activities of our operators and, as a result, our revenue and cash available for distribution to our unitholders.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 prices dropped sharply in early March 2020 and then continued to decline reaching levels below zero dollars per barrel. This was a result of multiple factors affecting the supply and demand in global oil and gas markets, including the announcement of price reductions and production increases by OPEC members and other oil exporting nations and the ongoing COVID-19 pandemic. Oil and natural gas prices are expected to continue to be volatile as a result of changes in oil and natural gas production, inventories and demand, as well as national and international economic performance. We cannot predict when prices will improve and stabilize.</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significant factors that are likely to continue to affect commodity prices in current and future periods include, but are not limited to, actions by OPEC members and other oil exporting nations, the effect of U.S. energy, monetary and trade policies, U.S. and global economic conditions, U.S. and global political and economic developments, including the outcome of the U.S. presidential election and resulting energy and environmental policies, the impact of the ongoing COVID-19 pandemic and conditions in the U.S. oil and gas industry, all of which are beyond our control.</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current prices of oil, natural gas and natural gas liquids, as well as ongoing volatility, have had an adverse impact on the level of drilling and exploration and production activity of our operators, which could continue to materially and adversely affect. As a result of the reduction in crude oil demand caused by factors discussed above, Diamondback and other operators on properties in which we have mineral and royalty interests lowered their 2020 capital budgets and production guidance, curtailed near term production and reduced their rig count; all of which may be subject to further reductions or curtailments if the commodity markets and macroeconomic conditions do not improve. These actions have had and are expected to continue to have an adverse effect on our business, financial results and cash flows and, given the recent extreme weakness in commodity prices and forward pricing uncertainty, our current production guidance does not account for the potential effect of further production curtailments. Lower commodity prices may also adversely impact estimates of our proved reserves.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after performing the ceiling test for the quarter ended March 31, 2020, we were not required to record an impairment on our proved oil and natural gas interests, if the commodity prices continue to fall, we will be required to record impairments in future periods and such impairments may be material. In addition, the administrative agent under the Operating Company’s revolving credit facility has recommended that our borrowing base be decreased to $580.0 million and is expected to be effective mid May 2020, subject to approval by the requisite lenders under the Operating Company’s revolving credit facility. Under the new expected borrowing base, the Operating Company would have had $406.5 million of availability for future borrowings under the revolving credit facility as of March 31, 2020.</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business may be also adversely impacted by any future government rule, regulation or order that may impose production limits, as well as pipeline capacity and storage constraints, in the Permian Basin or Eagle Ford Shale where we have mineral and royalty interests.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cannot predict the ultimate impact of these factors on our business, financial condition and cash available for distribution to our unitholders.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Number Description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9860" w:type="dxa"/>
            <w:vAlign w:val="bottom"/>
            <w:tcBorders>
              <w:top w:val="single" w:sz="8" w:color="auto"/>
              <w:bottom w:val="single" w:sz="8" w:color="0000FF"/>
              <w:right w:val="single" w:sz="8" w:color="CCEEFF"/>
            </w:tcBorders>
            <w:gridSpan w:val="9"/>
            <w:shd w:val="clear" w:color="auto" w:fill="CCEEFF"/>
          </w:tcPr>
          <w:p>
            <w:pPr>
              <w:spacing w:after="0"/>
              <w:rPr>
                <w:rFonts w:ascii="Arial" w:cs="Arial" w:eastAsia="Arial" w:hAnsi="Arial"/>
                <w:sz w:val="18"/>
                <w:szCs w:val="18"/>
                <w:color w:val="0000FF"/>
              </w:rPr>
            </w:pPr>
            <w:hyperlink r:id="rId16">
              <w:r>
                <w:rPr>
                  <w:rFonts w:ascii="Arial" w:cs="Arial" w:eastAsia="Arial" w:hAnsi="Arial"/>
                  <w:sz w:val="18"/>
                  <w:szCs w:val="18"/>
                  <w:color w:val="0000FF"/>
                </w:rPr>
                <w:t>Certificate of Limited Partnership of Viper Energy Partners LP (incorporated by reference to Exhibit 3.1 of the Partnership’s</w:t>
              </w:r>
            </w:hyperlink>
          </w:p>
        </w:tc>
      </w:tr>
      <w:tr>
        <w:trPr>
          <w:trHeight w:val="196"/>
        </w:trPr>
        <w:tc>
          <w:tcPr>
            <w:tcW w:w="1380" w:type="dxa"/>
            <w:vAlign w:val="bottom"/>
            <w:shd w:val="clear" w:color="auto" w:fill="CCEEFF"/>
          </w:tcPr>
          <w:p>
            <w:pPr>
              <w:spacing w:after="0"/>
              <w:rPr>
                <w:sz w:val="17"/>
                <w:szCs w:val="17"/>
                <w:color w:val="auto"/>
              </w:rPr>
            </w:pPr>
          </w:p>
        </w:tc>
        <w:tc>
          <w:tcPr>
            <w:tcW w:w="986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Registration Statement on Form S-1 (File 333-195769) filed on May 7, 2014).</w:t>
              </w:r>
            </w:hyperlink>
          </w:p>
        </w:tc>
      </w:tr>
      <w:tr>
        <w:trPr>
          <w:trHeight w:val="74"/>
        </w:trPr>
        <w:tc>
          <w:tcPr>
            <w:tcW w:w="1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0000FF"/>
            </w:tcBorders>
            <w:shd w:val="clear" w:color="auto" w:fill="CCEEFF"/>
          </w:tcPr>
          <w:p>
            <w:pPr>
              <w:spacing w:after="0"/>
              <w:rPr>
                <w:sz w:val="6"/>
                <w:szCs w:val="6"/>
                <w:color w:val="auto"/>
              </w:rPr>
            </w:pPr>
          </w:p>
        </w:tc>
        <w:tc>
          <w:tcPr>
            <w:tcW w:w="240" w:type="dxa"/>
            <w:vAlign w:val="bottom"/>
            <w:tcBorders>
              <w:top w:val="single" w:sz="8" w:color="0000FF"/>
            </w:tcBorders>
            <w:shd w:val="clear" w:color="auto" w:fill="CCEEFF"/>
          </w:tcPr>
          <w:p>
            <w:pPr>
              <w:spacing w:after="0"/>
              <w:rPr>
                <w:sz w:val="6"/>
                <w:szCs w:val="6"/>
                <w:color w:val="auto"/>
              </w:rPr>
            </w:pPr>
          </w:p>
        </w:tc>
        <w:tc>
          <w:tcPr>
            <w:tcW w:w="560" w:type="dxa"/>
            <w:vAlign w:val="bottom"/>
            <w:tcBorders>
              <w:top w:val="single" w:sz="8" w:color="0000FF"/>
            </w:tcBorders>
            <w:shd w:val="clear" w:color="auto" w:fill="CCEEFF"/>
          </w:tcPr>
          <w:p>
            <w:pPr>
              <w:spacing w:after="0"/>
              <w:rPr>
                <w:sz w:val="6"/>
                <w:szCs w:val="6"/>
                <w:color w:val="auto"/>
              </w:rPr>
            </w:pPr>
          </w:p>
        </w:tc>
        <w:tc>
          <w:tcPr>
            <w:tcW w:w="460" w:type="dxa"/>
            <w:vAlign w:val="bottom"/>
            <w:tcBorders>
              <w:top w:val="single" w:sz="8" w:color="0000FF"/>
            </w:tcBorders>
            <w:shd w:val="clear" w:color="auto" w:fill="CCEEFF"/>
          </w:tcPr>
          <w:p>
            <w:pPr>
              <w:spacing w:after="0"/>
              <w:rPr>
                <w:sz w:val="6"/>
                <w:szCs w:val="6"/>
                <w:color w:val="auto"/>
              </w:rPr>
            </w:pPr>
          </w:p>
        </w:tc>
        <w:tc>
          <w:tcPr>
            <w:tcW w:w="1200" w:type="dxa"/>
            <w:vAlign w:val="bottom"/>
            <w:tcBorders>
              <w:top w:val="single" w:sz="8" w:color="0000FF"/>
            </w:tcBorders>
            <w:shd w:val="clear" w:color="auto" w:fill="CCEEFF"/>
          </w:tcPr>
          <w:p>
            <w:pPr>
              <w:spacing w:after="0"/>
              <w:rPr>
                <w:sz w:val="6"/>
                <w:szCs w:val="6"/>
                <w:color w:val="auto"/>
              </w:rPr>
            </w:pPr>
          </w:p>
        </w:tc>
        <w:tc>
          <w:tcPr>
            <w:tcW w:w="380" w:type="dxa"/>
            <w:vAlign w:val="bottom"/>
            <w:tcBorders>
              <w:top w:val="single" w:sz="8" w:color="0000FF"/>
            </w:tcBorders>
            <w:shd w:val="clear" w:color="auto" w:fill="CCEEFF"/>
          </w:tcPr>
          <w:p>
            <w:pPr>
              <w:spacing w:after="0"/>
              <w:rPr>
                <w:sz w:val="6"/>
                <w:szCs w:val="6"/>
                <w:color w:val="auto"/>
              </w:rPr>
            </w:pPr>
          </w:p>
        </w:tc>
        <w:tc>
          <w:tcPr>
            <w:tcW w:w="2320" w:type="dxa"/>
            <w:vAlign w:val="bottom"/>
            <w:tcBorders>
              <w:top w:val="single" w:sz="8" w:color="0000FF"/>
            </w:tcBorders>
            <w:shd w:val="clear" w:color="auto" w:fill="CCEEFF"/>
          </w:tcPr>
          <w:p>
            <w:pPr>
              <w:spacing w:after="0"/>
              <w:rPr>
                <w:sz w:val="6"/>
                <w:szCs w:val="6"/>
                <w:color w:val="auto"/>
              </w:rPr>
            </w:pPr>
          </w:p>
        </w:tc>
        <w:tc>
          <w:tcPr>
            <w:tcW w:w="2040" w:type="dxa"/>
            <w:vAlign w:val="bottom"/>
            <w:tcBorders>
              <w:top w:val="single" w:sz="8" w:color="CCEEFF"/>
            </w:tcBorders>
            <w:shd w:val="clear" w:color="auto" w:fill="CCEEFF"/>
          </w:tcPr>
          <w:p>
            <w:pPr>
              <w:spacing w:after="0"/>
              <w:rPr>
                <w:sz w:val="6"/>
                <w:szCs w:val="6"/>
                <w:color w:val="auto"/>
              </w:rPr>
            </w:pPr>
          </w:p>
        </w:tc>
        <w:tc>
          <w:tcPr>
            <w:tcW w:w="2200" w:type="dxa"/>
            <w:vAlign w:val="bottom"/>
            <w:tcBorders>
              <w:top w:val="single" w:sz="8" w:color="CCEEFF"/>
              <w:right w:val="single" w:sz="8" w:color="CCEEFF"/>
            </w:tcBorders>
            <w:shd w:val="clear" w:color="auto" w:fill="CCEEFF"/>
          </w:tcPr>
          <w:p>
            <w:pPr>
              <w:spacing w:after="0"/>
              <w:rPr>
                <w:sz w:val="6"/>
                <w:szCs w:val="6"/>
                <w:color w:val="auto"/>
              </w:rPr>
            </w:pPr>
          </w:p>
        </w:tc>
      </w:tr>
      <w:tr>
        <w:trPr>
          <w:trHeight w:val="203"/>
        </w:trPr>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3.2</w:t>
            </w:r>
          </w:p>
        </w:tc>
        <w:tc>
          <w:tcPr>
            <w:tcW w:w="9860" w:type="dxa"/>
            <w:vAlign w:val="bottom"/>
            <w:tcBorders>
              <w:bottom w:val="single" w:sz="8" w:color="0000FF"/>
            </w:tcBorders>
            <w:gridSpan w:val="9"/>
          </w:tcPr>
          <w:p>
            <w:pPr>
              <w:spacing w:after="0" w:line="202"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Second Amended and Restated Agreement of Limited Partnership of Viper Energy Partners LP, dated as of May 9, 2018 (incorporated</w:t>
              </w:r>
            </w:hyperlink>
          </w:p>
        </w:tc>
      </w:tr>
      <w:tr>
        <w:trPr>
          <w:trHeight w:val="237"/>
        </w:trPr>
        <w:tc>
          <w:tcPr>
            <w:tcW w:w="1380" w:type="dxa"/>
            <w:vAlign w:val="bottom"/>
          </w:tcPr>
          <w:p>
            <w:pPr>
              <w:spacing w:after="0"/>
              <w:rPr>
                <w:sz w:val="20"/>
                <w:szCs w:val="20"/>
                <w:color w:val="auto"/>
              </w:rPr>
            </w:pPr>
          </w:p>
        </w:tc>
        <w:tc>
          <w:tcPr>
            <w:tcW w:w="9860" w:type="dxa"/>
            <w:vAlign w:val="bottom"/>
            <w:gridSpan w:val="9"/>
          </w:tcPr>
          <w:p>
            <w:pPr>
              <w:spacing w:after="0"/>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by reference to Exhibit 3.1 of the Partnership’s Current Report on Form 8-K (File 001-36505) filed on May 15, 2018).</w:t>
              </w:r>
            </w:hyperlink>
          </w:p>
        </w:tc>
      </w:tr>
      <w:tr>
        <w:trPr>
          <w:trHeight w:val="27"/>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03"/>
        </w:trPr>
        <w:tc>
          <w:tcPr>
            <w:tcW w:w="13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3.3</w:t>
            </w:r>
          </w:p>
        </w:tc>
        <w:tc>
          <w:tcPr>
            <w:tcW w:w="9860" w:type="dxa"/>
            <w:vAlign w:val="bottom"/>
            <w:tcBorders>
              <w:bottom w:val="single" w:sz="8" w:color="0000FF"/>
              <w:right w:val="single" w:sz="8" w:color="CCEEFF"/>
            </w:tcBorders>
            <w:gridSpan w:val="9"/>
            <w:shd w:val="clear" w:color="auto" w:fill="CCEEFF"/>
          </w:tcPr>
          <w:p>
            <w:pPr>
              <w:spacing w:after="0" w:line="202"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First Amendment to Second Amended and Restated Agreement of Limited Partnership of Viper Energy Partners LP, dated as of May</w:t>
              </w:r>
            </w:hyperlink>
          </w:p>
        </w:tc>
      </w:tr>
      <w:tr>
        <w:trPr>
          <w:trHeight w:val="196"/>
        </w:trPr>
        <w:tc>
          <w:tcPr>
            <w:tcW w:w="1380" w:type="dxa"/>
            <w:vAlign w:val="bottom"/>
            <w:shd w:val="clear" w:color="auto" w:fill="CCEEFF"/>
          </w:tcPr>
          <w:p>
            <w:pPr>
              <w:spacing w:after="0"/>
              <w:rPr>
                <w:sz w:val="17"/>
                <w:szCs w:val="17"/>
                <w:color w:val="auto"/>
              </w:rPr>
            </w:pPr>
          </w:p>
        </w:tc>
        <w:tc>
          <w:tcPr>
            <w:tcW w:w="986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10, 2018. (incorporated by reference to Exhibit 3.2 of the Partnership’s Current Report on Form 8-K (File 001-36505) filed on May 15,</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2018).</w:t>
              </w:r>
            </w:hyperlink>
          </w:p>
        </w:tc>
        <w:tc>
          <w:tcPr>
            <w:tcW w:w="56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tcBorders>
            <w:shd w:val="clear" w:color="auto" w:fill="CCEEFF"/>
          </w:tcPr>
          <w:p>
            <w:pPr>
              <w:spacing w:after="0"/>
              <w:rPr>
                <w:sz w:val="17"/>
                <w:szCs w:val="17"/>
                <w:color w:val="auto"/>
              </w:rPr>
            </w:pPr>
          </w:p>
        </w:tc>
        <w:tc>
          <w:tcPr>
            <w:tcW w:w="1200" w:type="dxa"/>
            <w:vAlign w:val="bottom"/>
            <w:tcBorders>
              <w:top w:val="single" w:sz="8" w:color="0000FF"/>
            </w:tcBorders>
            <w:shd w:val="clear" w:color="auto" w:fill="CCEEFF"/>
          </w:tcPr>
          <w:p>
            <w:pPr>
              <w:spacing w:after="0"/>
              <w:rPr>
                <w:sz w:val="17"/>
                <w:szCs w:val="17"/>
                <w:color w:val="auto"/>
              </w:rPr>
            </w:pPr>
          </w:p>
        </w:tc>
        <w:tc>
          <w:tcPr>
            <w:tcW w:w="380" w:type="dxa"/>
            <w:vAlign w:val="bottom"/>
            <w:tcBorders>
              <w:top w:val="single" w:sz="8" w:color="0000FF"/>
            </w:tcBorders>
            <w:shd w:val="clear" w:color="auto" w:fill="CCEEFF"/>
          </w:tcPr>
          <w:p>
            <w:pPr>
              <w:spacing w:after="0"/>
              <w:rPr>
                <w:sz w:val="17"/>
                <w:szCs w:val="17"/>
                <w:color w:val="auto"/>
              </w:rPr>
            </w:pPr>
          </w:p>
        </w:tc>
        <w:tc>
          <w:tcPr>
            <w:tcW w:w="2320" w:type="dxa"/>
            <w:vAlign w:val="bottom"/>
            <w:tcBorders>
              <w:top w:val="single" w:sz="8" w:color="0000FF"/>
            </w:tcBorders>
            <w:shd w:val="clear" w:color="auto" w:fill="CCEEFF"/>
          </w:tcPr>
          <w:p>
            <w:pPr>
              <w:spacing w:after="0"/>
              <w:rPr>
                <w:sz w:val="17"/>
                <w:szCs w:val="17"/>
                <w:color w:val="auto"/>
              </w:rPr>
            </w:pPr>
          </w:p>
        </w:tc>
        <w:tc>
          <w:tcPr>
            <w:tcW w:w="2040" w:type="dxa"/>
            <w:vAlign w:val="bottom"/>
            <w:tcBorders>
              <w:top w:val="single" w:sz="8" w:color="0000FF"/>
            </w:tcBorders>
            <w:shd w:val="clear" w:color="auto" w:fill="CCEEFF"/>
          </w:tcPr>
          <w:p>
            <w:pPr>
              <w:spacing w:after="0"/>
              <w:rPr>
                <w:sz w:val="17"/>
                <w:szCs w:val="17"/>
                <w:color w:val="auto"/>
              </w:rPr>
            </w:pPr>
          </w:p>
        </w:tc>
        <w:tc>
          <w:tcPr>
            <w:tcW w:w="2200" w:type="dxa"/>
            <w:vAlign w:val="bottom"/>
            <w:tcBorders>
              <w:top w:val="single" w:sz="8" w:color="0000FF"/>
              <w:right w:val="single" w:sz="8" w:color="CCEEFF"/>
            </w:tcBorders>
            <w:shd w:val="clear" w:color="auto" w:fill="CCEEFF"/>
          </w:tcPr>
          <w:p>
            <w:pPr>
              <w:spacing w:after="0"/>
              <w:rPr>
                <w:sz w:val="17"/>
                <w:szCs w:val="17"/>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3.4</w:t>
            </w:r>
          </w:p>
        </w:tc>
        <w:tc>
          <w:tcPr>
            <w:tcW w:w="9860" w:type="dxa"/>
            <w:vAlign w:val="bottom"/>
            <w:tcBorders>
              <w:bottom w:val="single" w:sz="8" w:color="0000FF"/>
            </w:tcBorders>
            <w:gridSpan w:val="9"/>
          </w:tcPr>
          <w:p>
            <w:pPr>
              <w:spacing w:after="0" w:line="202" w:lineRule="exact"/>
              <w:rPr>
                <w:rFonts w:ascii="Arial" w:cs="Arial" w:eastAsia="Arial" w:hAnsi="Arial"/>
                <w:sz w:val="18"/>
                <w:szCs w:val="18"/>
                <w:color w:val="0000FF"/>
                <w:w w:val="97"/>
              </w:rPr>
            </w:pPr>
            <w:hyperlink r:id="rId19">
              <w:r>
                <w:rPr>
                  <w:rFonts w:ascii="Arial" w:cs="Arial" w:eastAsia="Arial" w:hAnsi="Arial"/>
                  <w:sz w:val="18"/>
                  <w:szCs w:val="18"/>
                  <w:color w:val="0000FF"/>
                  <w:w w:val="97"/>
                </w:rPr>
                <w:t>Second Amended and Restated Limited Liability Company Agreement of Viper Energy Partners LLC, dated as of May 9, 2018.</w:t>
              </w:r>
            </w:hyperlink>
          </w:p>
        </w:tc>
      </w:tr>
      <w:tr>
        <w:trPr>
          <w:trHeight w:val="237"/>
        </w:trPr>
        <w:tc>
          <w:tcPr>
            <w:tcW w:w="1380" w:type="dxa"/>
            <w:vAlign w:val="bottom"/>
          </w:tcPr>
          <w:p>
            <w:pPr>
              <w:spacing w:after="0"/>
              <w:rPr>
                <w:sz w:val="20"/>
                <w:szCs w:val="20"/>
                <w:color w:val="auto"/>
              </w:rPr>
            </w:pPr>
          </w:p>
        </w:tc>
        <w:tc>
          <w:tcPr>
            <w:tcW w:w="9860" w:type="dxa"/>
            <w:vAlign w:val="bottom"/>
            <w:gridSpan w:val="9"/>
          </w:tcPr>
          <w:p>
            <w:pPr>
              <w:spacing w:after="0"/>
              <w:rPr>
                <w:rFonts w:ascii="Arial" w:cs="Arial" w:eastAsia="Arial" w:hAnsi="Arial"/>
                <w:sz w:val="18"/>
                <w:szCs w:val="18"/>
                <w:u w:val="single" w:color="auto"/>
                <w:color w:val="0000FF"/>
                <w:w w:val="94"/>
              </w:rPr>
            </w:pPr>
            <w:hyperlink r:id="rId19">
              <w:r>
                <w:rPr>
                  <w:rFonts w:ascii="Arial" w:cs="Arial" w:eastAsia="Arial" w:hAnsi="Arial"/>
                  <w:sz w:val="18"/>
                  <w:szCs w:val="18"/>
                  <w:u w:val="single" w:color="auto"/>
                  <w:color w:val="0000FF"/>
                  <w:w w:val="94"/>
                </w:rPr>
                <w:t>(incorporated by reference to Exhibit 3.3 of the Partnership’s Current Report on Form 8-K (File 001-36505) filed on May 15, 2018).</w:t>
              </w:r>
            </w:hyperlink>
          </w:p>
        </w:tc>
      </w:tr>
      <w:tr>
        <w:trPr>
          <w:trHeight w:val="27"/>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03"/>
        </w:trPr>
        <w:tc>
          <w:tcPr>
            <w:tcW w:w="1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3.5</w:t>
            </w:r>
          </w:p>
        </w:tc>
        <w:tc>
          <w:tcPr>
            <w:tcW w:w="9860" w:type="dxa"/>
            <w:vAlign w:val="bottom"/>
            <w:tcBorders>
              <w:right w:val="single" w:sz="8" w:color="CCEEFF"/>
            </w:tcBorders>
            <w:gridSpan w:val="9"/>
            <w:shd w:val="clear" w:color="auto" w:fill="CCEEFF"/>
          </w:tcPr>
          <w:p>
            <w:pPr>
              <w:spacing w:after="0" w:line="202"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First Amendment to Second Amended and Restated Limited Liability Company Agreement of Viper Energy Partners LLC, dated as of</w:t>
              </w:r>
            </w:hyperlink>
          </w:p>
        </w:tc>
      </w:tr>
      <w:tr>
        <w:trPr>
          <w:trHeight w:val="20"/>
        </w:trPr>
        <w:tc>
          <w:tcPr>
            <w:tcW w:w="138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March 30, 2020 (incorporated by reference to Exhibit 3.1 of the Partnership’s Current Report on Form 8-K (File 001-36505) filed on</w:t>
              </w:r>
            </w:hyperlink>
          </w:p>
        </w:tc>
      </w:tr>
      <w:tr>
        <w:trPr>
          <w:trHeight w:val="243"/>
        </w:trPr>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March 31, 2020).</w:t>
              </w:r>
            </w:hyperlink>
          </w:p>
        </w:tc>
        <w:tc>
          <w:tcPr>
            <w:tcW w:w="8600" w:type="dxa"/>
            <w:vAlign w:val="bottom"/>
            <w:tcBorders>
              <w:bottom w:val="single" w:sz="8" w:color="CCEEFF"/>
              <w:right w:val="single" w:sz="8" w:color="CCEEFF"/>
            </w:tcBorders>
            <w:gridSpan w:val="6"/>
            <w:shd w:val="clear" w:color="auto" w:fill="CCEEFF"/>
          </w:tcPr>
          <w:p>
            <w:pPr>
              <w:spacing w:after="0"/>
              <w:rPr>
                <w:sz w:val="21"/>
                <w:szCs w:val="21"/>
                <w:color w:val="auto"/>
              </w:rPr>
            </w:pPr>
          </w:p>
        </w:tc>
      </w:tr>
      <w:tr>
        <w:trPr>
          <w:trHeight w:val="203"/>
        </w:trPr>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4.1</w:t>
            </w:r>
          </w:p>
        </w:tc>
        <w:tc>
          <w:tcPr>
            <w:tcW w:w="9860" w:type="dxa"/>
            <w:vAlign w:val="bottom"/>
            <w:gridSpan w:val="9"/>
          </w:tcPr>
          <w:p>
            <w:pPr>
              <w:spacing w:after="0" w:line="202"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Description of Securities of the Partnership (incorporated by reference to Exhibit 4.1 of the Partnership’s Annual Report on Form 10-K</w:t>
              </w:r>
            </w:hyperlink>
          </w:p>
        </w:tc>
      </w:tr>
      <w:tr>
        <w:trPr>
          <w:trHeight w:val="196"/>
        </w:trPr>
        <w:tc>
          <w:tcPr>
            <w:tcW w:w="1380" w:type="dxa"/>
            <w:vAlign w:val="bottom"/>
          </w:tcPr>
          <w:p>
            <w:pPr>
              <w:spacing w:after="0"/>
              <w:rPr>
                <w:sz w:val="17"/>
                <w:szCs w:val="17"/>
                <w:color w:val="auto"/>
              </w:rPr>
            </w:pPr>
          </w:p>
        </w:tc>
        <w:tc>
          <w:tcPr>
            <w:tcW w:w="98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(File 001-36505) filed on February 18, 2020).</w:t>
              </w:r>
            </w:hyperlink>
          </w:p>
        </w:tc>
      </w:tr>
      <w:tr>
        <w:trPr>
          <w:trHeight w:val="48"/>
        </w:trPr>
        <w:tc>
          <w:tcPr>
            <w:tcW w:w="13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3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4.2</w:t>
            </w:r>
          </w:p>
        </w:tc>
        <w:tc>
          <w:tcPr>
            <w:tcW w:w="9860" w:type="dxa"/>
            <w:vAlign w:val="bottom"/>
            <w:tcBorders>
              <w:bottom w:val="single" w:sz="8" w:color="0000FF"/>
              <w:right w:val="single" w:sz="8" w:color="CCEEFF"/>
            </w:tcBorders>
            <w:gridSpan w:val="9"/>
            <w:shd w:val="clear" w:color="auto" w:fill="CCEEFF"/>
          </w:tcPr>
          <w:p>
            <w:pPr>
              <w:spacing w:after="0" w:line="202" w:lineRule="exact"/>
              <w:rPr>
                <w:rFonts w:ascii="Arial" w:cs="Arial" w:eastAsia="Arial" w:hAnsi="Arial"/>
                <w:sz w:val="18"/>
                <w:szCs w:val="18"/>
                <w:color w:val="0000FF"/>
                <w:w w:val="95"/>
              </w:rPr>
            </w:pPr>
            <w:hyperlink r:id="rId22">
              <w:r>
                <w:rPr>
                  <w:rFonts w:ascii="Arial" w:cs="Arial" w:eastAsia="Arial" w:hAnsi="Arial"/>
                  <w:sz w:val="18"/>
                  <w:szCs w:val="18"/>
                  <w:color w:val="0000FF"/>
                  <w:w w:val="95"/>
                </w:rPr>
                <w:t>Amended and Restated Registration Rights Agreement, dated as of May 9, 2018, by and between Viper Energy Partners LP and</w:t>
              </w:r>
            </w:hyperlink>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Diamondback Energy, Inc. (incorporated by reference to Exhibit 4.1 of the Partnership’s Current Report on Form 8-K (File 001-36505)</w:t>
              </w:r>
            </w:hyperlink>
          </w:p>
        </w:tc>
      </w:tr>
      <w:tr>
        <w:trPr>
          <w:trHeight w:val="243"/>
        </w:trPr>
        <w:tc>
          <w:tcPr>
            <w:tcW w:w="1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filed on May 15, 2018).</w:t>
              </w:r>
            </w:hyperlink>
          </w:p>
        </w:tc>
        <w:tc>
          <w:tcPr>
            <w:tcW w:w="8140" w:type="dxa"/>
            <w:vAlign w:val="bottom"/>
            <w:tcBorders>
              <w:bottom w:val="single" w:sz="8" w:color="CCEEFF"/>
              <w:right w:val="single" w:sz="8" w:color="CCEEFF"/>
            </w:tcBorders>
            <w:gridSpan w:val="5"/>
            <w:shd w:val="clear" w:color="auto" w:fill="CCEEFF"/>
          </w:tcPr>
          <w:p>
            <w:pPr>
              <w:spacing w:after="0"/>
              <w:rPr>
                <w:sz w:val="21"/>
                <w:szCs w:val="21"/>
                <w:color w:val="auto"/>
              </w:rPr>
            </w:pPr>
          </w:p>
        </w:tc>
      </w:tr>
      <w:tr>
        <w:trPr>
          <w:trHeight w:val="203"/>
        </w:trPr>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10.1+</w:t>
            </w:r>
          </w:p>
        </w:tc>
        <w:tc>
          <w:tcPr>
            <w:tcW w:w="9860" w:type="dxa"/>
            <w:vAlign w:val="bottom"/>
            <w:gridSpan w:val="9"/>
          </w:tcPr>
          <w:p>
            <w:pPr>
              <w:spacing w:after="0" w:line="202"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Form of Phantom Unit Agreement (incorporated by reference to Exhibit 10.8 of the Partnership’s Annual Report on Form 10-K (File</w:t>
              </w:r>
            </w:hyperlink>
          </w:p>
        </w:tc>
      </w:tr>
      <w:tr>
        <w:trPr>
          <w:trHeight w:val="196"/>
        </w:trPr>
        <w:tc>
          <w:tcPr>
            <w:tcW w:w="1380" w:type="dxa"/>
            <w:vAlign w:val="bottom"/>
          </w:tcPr>
          <w:p>
            <w:pPr>
              <w:spacing w:after="0"/>
              <w:rPr>
                <w:sz w:val="17"/>
                <w:szCs w:val="17"/>
                <w:color w:val="auto"/>
              </w:rPr>
            </w:pPr>
          </w:p>
        </w:tc>
        <w:tc>
          <w:tcPr>
            <w:tcW w:w="98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001-36505) filed on February 18, 2020).</w:t>
              </w:r>
            </w:hyperlink>
          </w:p>
        </w:tc>
      </w:tr>
      <w:tr>
        <w:trPr>
          <w:trHeight w:val="48"/>
        </w:trPr>
        <w:tc>
          <w:tcPr>
            <w:tcW w:w="13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31.1*</w:t>
            </w:r>
          </w:p>
        </w:tc>
        <w:tc>
          <w:tcPr>
            <w:tcW w:w="9860" w:type="dxa"/>
            <w:vAlign w:val="bottom"/>
            <w:tcBorders>
              <w:bottom w:val="single" w:sz="8" w:color="0000FF"/>
              <w:right w:val="single" w:sz="8" w:color="CCEEFF"/>
            </w:tcBorders>
            <w:gridSpan w:val="9"/>
            <w:shd w:val="clear" w:color="auto" w:fill="CCEEFF"/>
          </w:tcPr>
          <w:p>
            <w:pPr>
              <w:spacing w:after="0" w:line="202" w:lineRule="exact"/>
              <w:rPr>
                <w:rFonts w:ascii="Arial" w:cs="Arial" w:eastAsia="Arial" w:hAnsi="Arial"/>
                <w:sz w:val="18"/>
                <w:szCs w:val="18"/>
                <w:color w:val="0000FF"/>
                <w:w w:val="97"/>
              </w:rPr>
            </w:pPr>
            <w:hyperlink w:anchor="page43">
              <w:r>
                <w:rPr>
                  <w:rFonts w:ascii="Arial" w:cs="Arial" w:eastAsia="Arial" w:hAnsi="Arial"/>
                  <w:sz w:val="18"/>
                  <w:szCs w:val="18"/>
                  <w:color w:val="0000FF"/>
                  <w:w w:val="97"/>
                </w:rPr>
                <w:t>Certification of Chief Executive Officer pursuant to Rule 13a-14(a) promulgated under the Securities Exchange Act of 1934, as</w:t>
              </w:r>
            </w:hyperlink>
          </w:p>
        </w:tc>
      </w:tr>
      <w:tr>
        <w:trPr>
          <w:trHeight w:val="196"/>
        </w:trPr>
        <w:tc>
          <w:tcPr>
            <w:tcW w:w="1380" w:type="dxa"/>
            <w:vAlign w:val="bottom"/>
            <w:shd w:val="clear" w:color="auto" w:fill="CCEEFF"/>
          </w:tcPr>
          <w:p>
            <w:pPr>
              <w:spacing w:after="0"/>
              <w:rPr>
                <w:sz w:val="17"/>
                <w:szCs w:val="17"/>
                <w:color w:val="auto"/>
              </w:rPr>
            </w:pPr>
          </w:p>
        </w:tc>
        <w:tc>
          <w:tcPr>
            <w:tcW w:w="986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amended.</w:t>
              </w:r>
            </w:hyperlink>
          </w:p>
        </w:tc>
      </w:tr>
      <w:tr>
        <w:trPr>
          <w:trHeight w:val="75"/>
        </w:trPr>
        <w:tc>
          <w:tcPr>
            <w:tcW w:w="1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0000FF"/>
            </w:tcBorders>
            <w:shd w:val="clear" w:color="auto" w:fill="CCEEFF"/>
          </w:tcPr>
          <w:p>
            <w:pPr>
              <w:spacing w:after="0"/>
              <w:rPr>
                <w:sz w:val="6"/>
                <w:szCs w:val="6"/>
                <w:color w:val="auto"/>
              </w:rPr>
            </w:pPr>
          </w:p>
        </w:tc>
        <w:tc>
          <w:tcPr>
            <w:tcW w:w="240" w:type="dxa"/>
            <w:vAlign w:val="bottom"/>
            <w:tcBorders>
              <w:top w:val="single" w:sz="8" w:color="0000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2040" w:type="dxa"/>
            <w:vAlign w:val="bottom"/>
            <w:tcBorders>
              <w:top w:val="single" w:sz="8" w:color="CCEEFF"/>
            </w:tcBorders>
            <w:shd w:val="clear" w:color="auto" w:fill="CCEEFF"/>
          </w:tcPr>
          <w:p>
            <w:pPr>
              <w:spacing w:after="0"/>
              <w:rPr>
                <w:sz w:val="6"/>
                <w:szCs w:val="6"/>
                <w:color w:val="auto"/>
              </w:rPr>
            </w:pPr>
          </w:p>
        </w:tc>
        <w:tc>
          <w:tcPr>
            <w:tcW w:w="2200" w:type="dxa"/>
            <w:vAlign w:val="bottom"/>
            <w:tcBorders>
              <w:top w:val="single" w:sz="8" w:color="CCEEFF"/>
              <w:right w:val="single" w:sz="8" w:color="CCEEFF"/>
            </w:tcBorders>
            <w:shd w:val="clear" w:color="auto" w:fill="CCEEFF"/>
          </w:tcPr>
          <w:p>
            <w:pPr>
              <w:spacing w:after="0"/>
              <w:rPr>
                <w:sz w:val="6"/>
                <w:szCs w:val="6"/>
                <w:color w:val="auto"/>
              </w:rPr>
            </w:pPr>
          </w:p>
        </w:tc>
      </w:tr>
      <w:tr>
        <w:trPr>
          <w:trHeight w:val="203"/>
        </w:trPr>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31.2*</w:t>
            </w:r>
          </w:p>
        </w:tc>
        <w:tc>
          <w:tcPr>
            <w:tcW w:w="9860" w:type="dxa"/>
            <w:vAlign w:val="bottom"/>
            <w:gridSpan w:val="9"/>
          </w:tcPr>
          <w:p>
            <w:pPr>
              <w:spacing w:after="0" w:line="202" w:lineRule="exact"/>
              <w:rPr>
                <w:rFonts w:ascii="Arial" w:cs="Arial" w:eastAsia="Arial" w:hAnsi="Arial"/>
                <w:sz w:val="18"/>
                <w:szCs w:val="18"/>
                <w:color w:val="0000FF"/>
                <w:w w:val="98"/>
              </w:rPr>
            </w:pPr>
            <w:hyperlink w:anchor="page44">
              <w:r>
                <w:rPr>
                  <w:rFonts w:ascii="Arial" w:cs="Arial" w:eastAsia="Arial" w:hAnsi="Arial"/>
                  <w:sz w:val="18"/>
                  <w:szCs w:val="18"/>
                  <w:color w:val="0000FF"/>
                  <w:w w:val="98"/>
                </w:rPr>
                <w:t>Certification of Chief Financial Officer pursuant to Rule 13a-14(a) promulgated under the Securities Exchange Act of 1934, as</w:t>
              </w:r>
            </w:hyperlink>
          </w:p>
        </w:tc>
      </w:tr>
      <w:tr>
        <w:trPr>
          <w:trHeight w:val="196"/>
        </w:trPr>
        <w:tc>
          <w:tcPr>
            <w:tcW w:w="1380" w:type="dxa"/>
            <w:vAlign w:val="bottom"/>
          </w:tcPr>
          <w:p>
            <w:pPr>
              <w:spacing w:after="0"/>
              <w:rPr>
                <w:sz w:val="17"/>
                <w:szCs w:val="17"/>
                <w:color w:val="auto"/>
              </w:rPr>
            </w:pPr>
          </w:p>
        </w:tc>
        <w:tc>
          <w:tcPr>
            <w:tcW w:w="98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amended.</w:t>
              </w:r>
            </w:hyperlink>
          </w:p>
        </w:tc>
      </w:tr>
      <w:tr>
        <w:trPr>
          <w:trHeight w:val="75"/>
        </w:trPr>
        <w:tc>
          <w:tcPr>
            <w:tcW w:w="1380" w:type="dxa"/>
            <w:vAlign w:val="bottom"/>
          </w:tcPr>
          <w:p>
            <w:pPr>
              <w:spacing w:after="0"/>
              <w:rPr>
                <w:sz w:val="6"/>
                <w:szCs w:val="6"/>
                <w:color w:val="auto"/>
              </w:rPr>
            </w:pPr>
          </w:p>
        </w:tc>
        <w:tc>
          <w:tcPr>
            <w:tcW w:w="46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200" w:type="dxa"/>
            <w:vAlign w:val="bottom"/>
          </w:tcPr>
          <w:p>
            <w:pPr>
              <w:spacing w:after="0"/>
              <w:rPr>
                <w:sz w:val="6"/>
                <w:szCs w:val="6"/>
                <w:color w:val="auto"/>
              </w:rPr>
            </w:pPr>
          </w:p>
        </w:tc>
      </w:tr>
      <w:tr>
        <w:trPr>
          <w:trHeight w:val="203"/>
        </w:trPr>
        <w:tc>
          <w:tcPr>
            <w:tcW w:w="1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32.1**</w:t>
            </w:r>
          </w:p>
        </w:tc>
        <w:tc>
          <w:tcPr>
            <w:tcW w:w="9860" w:type="dxa"/>
            <w:vAlign w:val="bottom"/>
            <w:tcBorders>
              <w:right w:val="single" w:sz="8" w:color="CCEEFF"/>
            </w:tcBorders>
            <w:gridSpan w:val="9"/>
            <w:shd w:val="clear" w:color="auto" w:fill="CCEEFF"/>
          </w:tcPr>
          <w:p>
            <w:pPr>
              <w:spacing w:after="0" w:line="202"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Certification of Chief Executive Officer and Chief Financial Officer pursuant to Rule 13a-14(b) promulgated under the Securities</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Exchange Act of 1934, as amended, and Section 1350 of Chapter 63 of Title 18 of the United States Code.</w:t>
              </w:r>
            </w:hyperlink>
          </w:p>
        </w:tc>
      </w:tr>
      <w:tr>
        <w:trPr>
          <w:trHeight w:val="74"/>
        </w:trPr>
        <w:tc>
          <w:tcPr>
            <w:tcW w:w="13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0000FF"/>
            </w:tcBorders>
            <w:shd w:val="clear" w:color="auto" w:fill="CCEEFF"/>
          </w:tcPr>
          <w:p>
            <w:pPr>
              <w:spacing w:after="0"/>
              <w:rPr>
                <w:sz w:val="6"/>
                <w:szCs w:val="6"/>
                <w:color w:val="auto"/>
              </w:rPr>
            </w:pPr>
          </w:p>
        </w:tc>
        <w:tc>
          <w:tcPr>
            <w:tcW w:w="240" w:type="dxa"/>
            <w:vAlign w:val="bottom"/>
            <w:tcBorders>
              <w:top w:val="single" w:sz="8" w:color="0000FF"/>
            </w:tcBorders>
            <w:shd w:val="clear" w:color="auto" w:fill="CCEEFF"/>
          </w:tcPr>
          <w:p>
            <w:pPr>
              <w:spacing w:after="0"/>
              <w:rPr>
                <w:sz w:val="6"/>
                <w:szCs w:val="6"/>
                <w:color w:val="auto"/>
              </w:rPr>
            </w:pPr>
          </w:p>
        </w:tc>
        <w:tc>
          <w:tcPr>
            <w:tcW w:w="560" w:type="dxa"/>
            <w:vAlign w:val="bottom"/>
            <w:tcBorders>
              <w:top w:val="single" w:sz="8" w:color="0000FF"/>
            </w:tcBorders>
            <w:shd w:val="clear" w:color="auto" w:fill="CCEEFF"/>
          </w:tcPr>
          <w:p>
            <w:pPr>
              <w:spacing w:after="0"/>
              <w:rPr>
                <w:sz w:val="6"/>
                <w:szCs w:val="6"/>
                <w:color w:val="auto"/>
              </w:rPr>
            </w:pPr>
          </w:p>
        </w:tc>
        <w:tc>
          <w:tcPr>
            <w:tcW w:w="460" w:type="dxa"/>
            <w:vAlign w:val="bottom"/>
            <w:tcBorders>
              <w:top w:val="single" w:sz="8" w:color="0000FF"/>
            </w:tcBorders>
            <w:shd w:val="clear" w:color="auto" w:fill="CCEEFF"/>
          </w:tcPr>
          <w:p>
            <w:pPr>
              <w:spacing w:after="0"/>
              <w:rPr>
                <w:sz w:val="6"/>
                <w:szCs w:val="6"/>
                <w:color w:val="auto"/>
              </w:rPr>
            </w:pPr>
          </w:p>
        </w:tc>
        <w:tc>
          <w:tcPr>
            <w:tcW w:w="1200" w:type="dxa"/>
            <w:vAlign w:val="bottom"/>
            <w:tcBorders>
              <w:top w:val="single" w:sz="8" w:color="0000FF"/>
            </w:tcBorders>
            <w:shd w:val="clear" w:color="auto" w:fill="CCEEFF"/>
          </w:tcPr>
          <w:p>
            <w:pPr>
              <w:spacing w:after="0"/>
              <w:rPr>
                <w:sz w:val="6"/>
                <w:szCs w:val="6"/>
                <w:color w:val="auto"/>
              </w:rPr>
            </w:pPr>
          </w:p>
        </w:tc>
        <w:tc>
          <w:tcPr>
            <w:tcW w:w="380" w:type="dxa"/>
            <w:vAlign w:val="bottom"/>
            <w:tcBorders>
              <w:top w:val="single" w:sz="8" w:color="0000FF"/>
            </w:tcBorders>
            <w:shd w:val="clear" w:color="auto" w:fill="CCEEFF"/>
          </w:tcPr>
          <w:p>
            <w:pPr>
              <w:spacing w:after="0"/>
              <w:rPr>
                <w:sz w:val="6"/>
                <w:szCs w:val="6"/>
                <w:color w:val="auto"/>
              </w:rPr>
            </w:pPr>
          </w:p>
        </w:tc>
        <w:tc>
          <w:tcPr>
            <w:tcW w:w="2320" w:type="dxa"/>
            <w:vAlign w:val="bottom"/>
            <w:tcBorders>
              <w:top w:val="single" w:sz="8" w:color="0000FF"/>
            </w:tcBorders>
            <w:shd w:val="clear" w:color="auto" w:fill="CCEEFF"/>
          </w:tcPr>
          <w:p>
            <w:pPr>
              <w:spacing w:after="0"/>
              <w:rPr>
                <w:sz w:val="6"/>
                <w:szCs w:val="6"/>
                <w:color w:val="auto"/>
              </w:rPr>
            </w:pPr>
          </w:p>
        </w:tc>
        <w:tc>
          <w:tcPr>
            <w:tcW w:w="2040" w:type="dxa"/>
            <w:vAlign w:val="bottom"/>
            <w:tcBorders>
              <w:top w:val="single" w:sz="8" w:color="0000FF"/>
            </w:tcBorders>
            <w:shd w:val="clear" w:color="auto" w:fill="CCEEFF"/>
          </w:tcPr>
          <w:p>
            <w:pPr>
              <w:spacing w:after="0"/>
              <w:rPr>
                <w:sz w:val="6"/>
                <w:szCs w:val="6"/>
                <w:color w:val="auto"/>
              </w:rPr>
            </w:pPr>
          </w:p>
        </w:tc>
        <w:tc>
          <w:tcPr>
            <w:tcW w:w="2200" w:type="dxa"/>
            <w:vAlign w:val="bottom"/>
            <w:tcBorders>
              <w:top w:val="single" w:sz="8" w:color="CCEEFF"/>
              <w:right w:val="single" w:sz="8" w:color="CCEEFF"/>
            </w:tcBorders>
            <w:shd w:val="clear" w:color="auto" w:fill="CCEEFF"/>
          </w:tcPr>
          <w:p>
            <w:pPr>
              <w:spacing w:after="0"/>
              <w:rPr>
                <w:sz w:val="6"/>
                <w:szCs w:val="6"/>
                <w:color w:val="auto"/>
              </w:rPr>
            </w:pPr>
          </w:p>
        </w:tc>
      </w:tr>
    </w:tbl>
    <w:p>
      <w:pPr>
        <w:spacing w:after="0" w:line="13" w:lineRule="exact"/>
        <w:rPr>
          <w:sz w:val="20"/>
          <w:szCs w:val="20"/>
          <w:color w:val="auto"/>
        </w:rPr>
      </w:pPr>
    </w:p>
    <w:p>
      <w:pPr>
        <w:jc w:val="both"/>
        <w:ind w:left="1380" w:right="20" w:hanging="1318"/>
        <w:spacing w:after="0" w:line="259"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March 31, 2020, formatted in Inline XBRL: (i) Consolidated Balance Sheets, (ii) Consolidated Statements of Operations, (iii) Consolidated Statement of Changes in Unitholders’ Equity, (iv)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13"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82" w:lineRule="exact"/>
        <w:rPr>
          <w:sz w:val="20"/>
          <w:szCs w:val="20"/>
          <w:color w:val="auto"/>
        </w:rPr>
      </w:pPr>
    </w:p>
    <w:p>
      <w:pPr>
        <w:ind w:left="500" w:hanging="465"/>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both"/>
        <w:ind w:left="500" w:right="20" w:hanging="465"/>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2" w:lineRule="exact"/>
        <w:rPr>
          <w:sz w:val="20"/>
          <w:szCs w:val="20"/>
          <w:color w:val="auto"/>
        </w:rPr>
      </w:pPr>
    </w:p>
    <w:p>
      <w:pPr>
        <w:ind w:left="500" w:hanging="46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760" w:type="dxa"/>
            <w:vAlign w:val="bottom"/>
            <w:gridSpan w:val="2"/>
          </w:tcPr>
          <w:p>
            <w:pPr>
              <w:ind w:left="1840"/>
              <w:spacing w:after="0"/>
              <w:rPr>
                <w:sz w:val="20"/>
                <w:szCs w:val="20"/>
                <w:color w:val="auto"/>
              </w:rPr>
            </w:pPr>
            <w:r>
              <w:rPr>
                <w:rFonts w:ascii="Arial" w:cs="Arial" w:eastAsia="Arial" w:hAnsi="Arial"/>
                <w:sz w:val="18"/>
                <w:szCs w:val="18"/>
                <w:b w:val="1"/>
                <w:bCs w:val="1"/>
                <w:color w:val="auto"/>
              </w:rPr>
              <w:t>VIPER ENERGY PARTNERS LP</w:t>
            </w:r>
          </w:p>
        </w:tc>
      </w:tr>
      <w:tr>
        <w:trPr>
          <w:trHeight w:val="594"/>
        </w:trPr>
        <w:tc>
          <w:tcPr>
            <w:tcW w:w="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760" w:type="dxa"/>
            <w:vAlign w:val="bottom"/>
            <w:gridSpan w:val="2"/>
          </w:tcPr>
          <w:p>
            <w:pPr>
              <w:ind w:left="1840"/>
              <w:spacing w:after="0"/>
              <w:rPr>
                <w:sz w:val="20"/>
                <w:szCs w:val="20"/>
                <w:color w:val="auto"/>
              </w:rPr>
            </w:pPr>
            <w:r>
              <w:rPr>
                <w:rFonts w:ascii="Arial" w:cs="Arial" w:eastAsia="Arial" w:hAnsi="Arial"/>
                <w:sz w:val="18"/>
                <w:szCs w:val="18"/>
                <w:color w:val="auto"/>
              </w:rPr>
              <w:t>By:  VIPER ENERGY PARTNERS GP LLC</w:t>
            </w:r>
          </w:p>
        </w:tc>
      </w:tr>
      <w:tr>
        <w:trPr>
          <w:trHeight w:val="270"/>
        </w:trPr>
        <w:tc>
          <w:tcPr>
            <w:tcW w:w="5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567"/>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60"/>
              <w:spacing w:after="0"/>
              <w:rPr>
                <w:sz w:val="20"/>
                <w:szCs w:val="20"/>
                <w:color w:val="auto"/>
              </w:rPr>
            </w:pPr>
            <w:r>
              <w:rPr>
                <w:rFonts w:ascii="Arial" w:cs="Arial" w:eastAsia="Arial" w:hAnsi="Arial"/>
                <w:sz w:val="18"/>
                <w:szCs w:val="18"/>
                <w:color w:val="auto"/>
              </w:rPr>
              <w:t>May 7, 2020</w:t>
            </w:r>
          </w:p>
        </w:tc>
        <w:tc>
          <w:tcPr>
            <w:tcW w:w="2260" w:type="dxa"/>
            <w:vAlign w:val="bottom"/>
          </w:tcPr>
          <w:p>
            <w:pPr>
              <w:ind w:left="1840"/>
              <w:spacing w:after="0"/>
              <w:rPr>
                <w:sz w:val="20"/>
                <w:szCs w:val="20"/>
                <w:color w:val="auto"/>
              </w:rPr>
            </w:pPr>
            <w:r>
              <w:rPr>
                <w:rFonts w:ascii="Arial" w:cs="Arial" w:eastAsia="Arial" w:hAnsi="Arial"/>
                <w:sz w:val="18"/>
                <w:szCs w:val="18"/>
                <w:color w:val="auto"/>
              </w:rPr>
              <w:t>By:</w:t>
            </w:r>
          </w:p>
        </w:tc>
        <w:tc>
          <w:tcPr>
            <w:tcW w:w="5500" w:type="dxa"/>
            <w:vAlign w:val="bottom"/>
          </w:tcPr>
          <w:p>
            <w:pPr>
              <w:ind w:left="40"/>
              <w:spacing w:after="0"/>
              <w:rPr>
                <w:sz w:val="20"/>
                <w:szCs w:val="20"/>
                <w:color w:val="auto"/>
              </w:rPr>
            </w:pPr>
            <w:r>
              <w:rPr>
                <w:rFonts w:ascii="Arial" w:cs="Arial" w:eastAsia="Arial" w:hAnsi="Arial"/>
                <w:sz w:val="18"/>
                <w:szCs w:val="18"/>
                <w:color w:val="auto"/>
              </w:rPr>
              <w:t>/s/ Travis D. Stice</w:t>
            </w:r>
          </w:p>
        </w:tc>
      </w:tr>
      <w:tr>
        <w:trPr>
          <w:trHeight w:val="27"/>
        </w:trPr>
        <w:tc>
          <w:tcPr>
            <w:tcW w:w="5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Travis D. Stice</w:t>
            </w:r>
          </w:p>
        </w:tc>
      </w:tr>
      <w:tr>
        <w:trPr>
          <w:trHeight w:val="270"/>
        </w:trPr>
        <w:tc>
          <w:tcPr>
            <w:tcW w:w="5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567"/>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60"/>
              <w:spacing w:after="0"/>
              <w:rPr>
                <w:sz w:val="20"/>
                <w:szCs w:val="20"/>
                <w:color w:val="auto"/>
              </w:rPr>
            </w:pPr>
            <w:r>
              <w:rPr>
                <w:rFonts w:ascii="Arial" w:cs="Arial" w:eastAsia="Arial" w:hAnsi="Arial"/>
                <w:sz w:val="18"/>
                <w:szCs w:val="18"/>
                <w:color w:val="auto"/>
              </w:rPr>
              <w:t>May 7, 2020</w:t>
            </w:r>
          </w:p>
        </w:tc>
        <w:tc>
          <w:tcPr>
            <w:tcW w:w="2260" w:type="dxa"/>
            <w:vAlign w:val="bottom"/>
          </w:tcPr>
          <w:p>
            <w:pPr>
              <w:ind w:left="1840"/>
              <w:spacing w:after="0"/>
              <w:rPr>
                <w:sz w:val="20"/>
                <w:szCs w:val="20"/>
                <w:color w:val="auto"/>
              </w:rPr>
            </w:pPr>
            <w:r>
              <w:rPr>
                <w:rFonts w:ascii="Arial" w:cs="Arial" w:eastAsia="Arial" w:hAnsi="Arial"/>
                <w:sz w:val="18"/>
                <w:szCs w:val="18"/>
                <w:color w:val="auto"/>
              </w:rPr>
              <w:t>By:</w:t>
            </w:r>
          </w:p>
        </w:tc>
        <w:tc>
          <w:tcPr>
            <w:tcW w:w="5500" w:type="dxa"/>
            <w:vAlign w:val="bottom"/>
          </w:tcPr>
          <w:p>
            <w:pPr>
              <w:ind w:left="40"/>
              <w:spacing w:after="0"/>
              <w:rPr>
                <w:sz w:val="20"/>
                <w:szCs w:val="20"/>
                <w:color w:val="auto"/>
              </w:rPr>
            </w:pPr>
            <w:r>
              <w:rPr>
                <w:rFonts w:ascii="Arial" w:cs="Arial" w:eastAsia="Arial" w:hAnsi="Arial"/>
                <w:sz w:val="18"/>
                <w:szCs w:val="18"/>
                <w:color w:val="auto"/>
              </w:rPr>
              <w:t>/s/ Teresa L. Dick</w:t>
            </w:r>
          </w:p>
        </w:tc>
      </w:tr>
      <w:tr>
        <w:trPr>
          <w:trHeight w:val="27"/>
        </w:trPr>
        <w:tc>
          <w:tcPr>
            <w:tcW w:w="5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Teresa L. Dick</w:t>
            </w:r>
          </w:p>
        </w:tc>
      </w:tr>
      <w:tr>
        <w:trPr>
          <w:trHeight w:val="270"/>
        </w:trPr>
        <w:tc>
          <w:tcPr>
            <w:tcW w:w="5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5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891"/>
        </w:trPr>
        <w:tc>
          <w:tcPr>
            <w:tcW w:w="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60" w:type="dxa"/>
            <w:vAlign w:val="bottom"/>
          </w:tcPr>
          <w:p>
            <w:pPr>
              <w:ind w:left="2060"/>
              <w:spacing w:after="0"/>
              <w:rPr>
                <w:sz w:val="20"/>
                <w:szCs w:val="20"/>
                <w:color w:val="auto"/>
              </w:rPr>
            </w:pPr>
            <w:r>
              <w:rPr>
                <w:rFonts w:ascii="Arial" w:cs="Arial" w:eastAsia="Arial" w:hAnsi="Arial"/>
                <w:sz w:val="18"/>
                <w:szCs w:val="18"/>
                <w:color w:val="auto"/>
                <w:w w:val="89"/>
              </w:rPr>
              <w:t>36</w:t>
            </w:r>
          </w:p>
        </w:tc>
        <w:tc>
          <w:tcPr>
            <w:tcW w:w="550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9"/>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jc w:val="both"/>
        <w:ind w:left="460" w:right="320" w:hanging="439"/>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460" w:hanging="439"/>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9"/>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82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(as general partner of Viper Energy Partners LP)</w:t>
      </w:r>
    </w:p>
    <w:p>
      <w:pPr>
        <w:sectPr>
          <w:pgSz w:w="11900" w:h="16838" w:orient="portrait"/>
          <w:cols w:equalWidth="0" w:num="1">
            <w:col w:w="11240"/>
          </w:cols>
          <w:pgMar w:left="320" w:top="55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9"/>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jc w:val="both"/>
        <w:ind w:left="460" w:right="320" w:hanging="439"/>
        <w:spacing w:after="0" w:line="26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460" w:hanging="439"/>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9"/>
        <w:spacing w:after="0" w:line="26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70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(as general partner of Viper Energy Partners LP)</w:t>
      </w:r>
    </w:p>
    <w:p>
      <w:pPr>
        <w:sectPr>
          <w:pgSz w:w="11900" w:h="16838" w:orient="portrait"/>
          <w:cols w:equalWidth="0" w:num="1">
            <w:col w:w="11240"/>
          </w:cols>
          <w:pgMar w:left="320" w:top="55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70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(as general partner of Viper Energy Partners LP)</w:t>
      </w:r>
    </w:p>
    <w:p>
      <w:pPr>
        <w:spacing w:after="0" w:line="360" w:lineRule="exact"/>
        <w:rPr>
          <w:sz w:val="20"/>
          <w:szCs w:val="20"/>
          <w:color w:val="auto"/>
        </w:rPr>
      </w:pPr>
    </w:p>
    <w:p>
      <w:pPr>
        <w:ind w:left="40"/>
        <w:spacing w:after="0"/>
        <w:tabs>
          <w:tab w:leader="none" w:pos="70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(as general partner of Viper Energy Partners LP)</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1"/>
    </w:lvl>
  </w:abstractNum>
  <w:abstractNum w:abstractNumId="4">
    <w:nsid w:val="12200854"/>
    <w:multiLevelType w:val="hybridMultilevel"/>
    <w:lvl w:ilvl="0">
      <w:lvlJc w:val="left"/>
      <w:lvlText w:val="%1."/>
      <w:numFmt w:val="decimal"/>
      <w:start w:val="15"/>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0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16" Type="http://schemas.openxmlformats.org/officeDocument/2006/relationships/hyperlink" Target="http://www.sec.gov/Archives/edgar/data/1602065/000119312514187469/d673207dex31.htm" TargetMode="External"/><Relationship Id="rId17" Type="http://schemas.openxmlformats.org/officeDocument/2006/relationships/hyperlink" Target="http://www.sec.gov/Archives/edgar/data/1602065/000160206518000017/viperex31-5x15x18.htm" TargetMode="External"/><Relationship Id="rId18" Type="http://schemas.openxmlformats.org/officeDocument/2006/relationships/hyperlink" Target="http://www.sec.gov/Archives/edgar/data/1602065/000160206518000017/viperex32-5x15x18.htm" TargetMode="External"/><Relationship Id="rId19" Type="http://schemas.openxmlformats.org/officeDocument/2006/relationships/hyperlink" Target="http://www.sec.gov/Archives/edgar/data/1602065/000160206518000017/viperex33-5x15x18.htm" TargetMode="External"/><Relationship Id="rId20" Type="http://schemas.openxmlformats.org/officeDocument/2006/relationships/hyperlink" Target="http://www.sec.gov/Archives/edgar/data/1602065/000160206520000014/viperex31-33120.htm" TargetMode="External"/><Relationship Id="rId21" Type="http://schemas.openxmlformats.org/officeDocument/2006/relationships/hyperlink" Target="http://www.sec.gov/Archives/edgar/data/1602065/000160206520000009/viper201910-kxex41.htm" TargetMode="External"/><Relationship Id="rId22" Type="http://schemas.openxmlformats.org/officeDocument/2006/relationships/hyperlink" Target="http://www.sec.gov/Archives/edgar/data/1602065/000160206518000017/viperex41-5x15x18.htm" TargetMode="External"/><Relationship Id="rId23" Type="http://schemas.openxmlformats.org/officeDocument/2006/relationships/hyperlink" Target="http://www.sec.gov/Archives/edgar/data/1602065/000160206520000009/viper201910-kx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2020-05-08T05:17:46Z</dcterms:created>
  <dcterms:modified xsi:type="dcterms:W3CDTF">2020-05-08T05:17:46Z</dcterms:modified>
</cp:coreProperties>
</file>